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44E3E6C4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5A9ABAF8" w:rsidR="00EA3D3C" w:rsidRDefault="00654E8F" w:rsidP="0001436A">
      <w:pPr>
        <w:pStyle w:val="Heading1"/>
      </w:pPr>
      <w:r w:rsidRPr="00994A3D">
        <w:t xml:space="preserve">Supplementary </w:t>
      </w:r>
      <w:r w:rsidR="00C76A16">
        <w:t>Methods</w:t>
      </w:r>
    </w:p>
    <w:p w14:paraId="5E712270" w14:textId="77777777" w:rsidR="00C76A16" w:rsidRPr="00C76A16" w:rsidRDefault="00C76A16" w:rsidP="00C76A16">
      <w:pPr>
        <w:pStyle w:val="Heading2"/>
      </w:pPr>
      <w:r w:rsidRPr="00C76A16">
        <w:t>Selection criteria for COVID-19 patients</w:t>
      </w:r>
    </w:p>
    <w:p w14:paraId="6ED698A3" w14:textId="71C4ABE4" w:rsid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t>Inclusion criteria for the COVID-19 group were: positive RT-PCR assay result from an upper respiratory tract specimen for SARS</w:t>
      </w:r>
      <w:r w:rsidRPr="00C76A16">
        <w:rPr>
          <w:rFonts w:cs="Times New Roman"/>
          <w:szCs w:val="24"/>
        </w:rPr>
        <w:noBreakHyphen/>
        <w:t xml:space="preserve">CoV-2; associated abnormalities or infiltrates on chest x-ray/CT scan; active or documented within 48h fever or antipyretic use; and hypoxemia (room-air oxygen saturation &lt;92% or requirement of </w:t>
      </w:r>
      <w:r w:rsidR="008C730B">
        <w:rPr>
          <w:rFonts w:cs="Times New Roman"/>
          <w:szCs w:val="24"/>
        </w:rPr>
        <w:t>Supplementary</w:t>
      </w:r>
      <w:r w:rsidRPr="00C76A16">
        <w:rPr>
          <w:rFonts w:cs="Times New Roman"/>
          <w:szCs w:val="24"/>
        </w:rPr>
        <w:t xml:space="preserve"> oxygen). Exclusion criteria included: age &lt;18 years; onset of COVID-19 symptoms 14 days before hospitalization; concomitant systemic bacterial or fungal infection; history of immunodeficiency or neutropenia (absolute neutrophil count &lt;1500/mm3); active neoplasm; history of severe pulmonary disease requiring home oxygen therapy or mechanical ventilation; history of current systemic autoimmune or auto-inflammatory disease, or previous therapy with long-term oral corticosteroids, anti-IL-1</w:t>
      </w:r>
      <w:r w:rsidRPr="00C76A16">
        <w:rPr>
          <w:rFonts w:cs="Times New Roman"/>
          <w:szCs w:val="24"/>
        </w:rPr>
        <w:sym w:font="Symbol" w:char="F062"/>
      </w:r>
      <w:r w:rsidRPr="00C76A16">
        <w:rPr>
          <w:rFonts w:cs="Times New Roman"/>
          <w:szCs w:val="24"/>
        </w:rPr>
        <w:t xml:space="preserve"> , anti-IL-6 or anti-TNF</w:t>
      </w:r>
      <w:r w:rsidRPr="00C76A16">
        <w:rPr>
          <w:rFonts w:cs="Times New Roman"/>
          <w:szCs w:val="24"/>
        </w:rPr>
        <w:sym w:font="Symbol" w:char="F061"/>
      </w:r>
      <w:r w:rsidRPr="00C76A16">
        <w:rPr>
          <w:rFonts w:cs="Times New Roman"/>
          <w:szCs w:val="24"/>
        </w:rPr>
        <w:t xml:space="preserve">. </w:t>
      </w:r>
    </w:p>
    <w:p w14:paraId="23161FF4" w14:textId="77777777" w:rsidR="00C76A16" w:rsidRPr="00C76A16" w:rsidRDefault="00C76A16" w:rsidP="00C76A16">
      <w:pPr>
        <w:pStyle w:val="Heading2"/>
      </w:pPr>
      <w:r w:rsidRPr="00C76A16">
        <w:t>PBMCs and plasma isolation</w:t>
      </w:r>
    </w:p>
    <w:p w14:paraId="22D4A743" w14:textId="77777777" w:rsidR="00C76A16" w:rsidRP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t xml:space="preserve">20 mL of blood were collected by venipuncture into heparinized tubes, layered on top of 10 mL </w:t>
      </w:r>
      <w:proofErr w:type="spellStart"/>
      <w:r w:rsidRPr="00C76A16">
        <w:rPr>
          <w:rFonts w:cs="Times New Roman"/>
          <w:szCs w:val="24"/>
        </w:rPr>
        <w:t>Ficoll-Paque</w:t>
      </w:r>
      <w:proofErr w:type="spellEnd"/>
      <w:r w:rsidRPr="00C76A16">
        <w:rPr>
          <w:rFonts w:cs="Times New Roman"/>
          <w:szCs w:val="24"/>
        </w:rPr>
        <w:t xml:space="preserve"> Plus (</w:t>
      </w:r>
      <w:proofErr w:type="spellStart"/>
      <w:r w:rsidRPr="00C76A16">
        <w:rPr>
          <w:rFonts w:cs="Times New Roman"/>
          <w:szCs w:val="24"/>
        </w:rPr>
        <w:t>Amersham</w:t>
      </w:r>
      <w:proofErr w:type="spellEnd"/>
      <w:r w:rsidRPr="00C76A16">
        <w:rPr>
          <w:rFonts w:cs="Times New Roman"/>
          <w:szCs w:val="24"/>
        </w:rPr>
        <w:t xml:space="preserve"> Biosciences) and centrifuged at 1500 rpm for 20 minutes at 24°C. Plasma was removed from the upper layer, PBMCs were removed from the interphase and washed in PBS.</w:t>
      </w:r>
    </w:p>
    <w:p w14:paraId="1E3713E1" w14:textId="0549B7B2" w:rsidR="00C76A16" w:rsidRPr="00C76A16" w:rsidRDefault="00C76A16" w:rsidP="00C76A16">
      <w:pPr>
        <w:pStyle w:val="Heading2"/>
      </w:pPr>
      <w:r w:rsidRPr="00C76A16">
        <w:t>Cytokine</w:t>
      </w:r>
      <w:r>
        <w:t>s’</w:t>
      </w:r>
      <w:r w:rsidRPr="00C76A16">
        <w:t xml:space="preserve"> analysis</w:t>
      </w:r>
    </w:p>
    <w:p w14:paraId="42026D30" w14:textId="77777777" w:rsidR="00C76A16" w:rsidRP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t>Inflammatory cytokines IL-1β and IL-6 concentration was measured using BD Human Inflammatory Cytokine CBA kit (551811, Becton-Dickinson Biosciences, Belgium), acquired by BD FACS-</w:t>
      </w:r>
      <w:proofErr w:type="spellStart"/>
      <w:r w:rsidRPr="00C76A16">
        <w:rPr>
          <w:rFonts w:cs="Times New Roman"/>
          <w:szCs w:val="24"/>
        </w:rPr>
        <w:t>Calibur</w:t>
      </w:r>
      <w:proofErr w:type="spellEnd"/>
      <w:r w:rsidRPr="00C76A16">
        <w:rPr>
          <w:rFonts w:cs="Times New Roman"/>
          <w:szCs w:val="24"/>
        </w:rPr>
        <w:t xml:space="preserve"> flow cytometer (Becton-Dickinson Biosciences, Belgium) and analyzed by FCAP Array software (Becton-Dickinson Biosciences, Belgium). </w:t>
      </w:r>
    </w:p>
    <w:p w14:paraId="5D679DB2" w14:textId="77777777" w:rsidR="00C76A16" w:rsidRPr="00C76A16" w:rsidRDefault="00C76A16" w:rsidP="00C76A16">
      <w:pPr>
        <w:pStyle w:val="Heading2"/>
      </w:pPr>
      <w:r w:rsidRPr="00C76A16">
        <w:t>mRNA isolation and quantification by qPCR</w:t>
      </w:r>
    </w:p>
    <w:p w14:paraId="6B1997BE" w14:textId="0E3F3116" w:rsidR="00C76A16" w:rsidRP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t xml:space="preserve">RNA was extracted using High Pure RNA Isolation Kit (Roche Diagnostics, Switzerland). 1μg of RNA was retrotranscribed using High-Capacity cDNA Reverse Transcription kit (Applied Biosystems, USA). RNA levels were measured by </w:t>
      </w:r>
      <w:proofErr w:type="spellStart"/>
      <w:r w:rsidRPr="00C76A16">
        <w:rPr>
          <w:rFonts w:cs="Times New Roman"/>
          <w:szCs w:val="24"/>
        </w:rPr>
        <w:t>RTqPCR</w:t>
      </w:r>
      <w:proofErr w:type="spellEnd"/>
      <w:r w:rsidRPr="00C76A16">
        <w:rPr>
          <w:rFonts w:cs="Times New Roman"/>
          <w:szCs w:val="24"/>
        </w:rPr>
        <w:t xml:space="preserve"> using </w:t>
      </w:r>
      <w:proofErr w:type="spellStart"/>
      <w:r w:rsidRPr="00C76A16">
        <w:rPr>
          <w:rFonts w:cs="Times New Roman"/>
          <w:szCs w:val="24"/>
        </w:rPr>
        <w:t>QuantiMix</w:t>
      </w:r>
      <w:proofErr w:type="spellEnd"/>
      <w:r w:rsidRPr="00C76A16">
        <w:rPr>
          <w:rFonts w:cs="Times New Roman"/>
          <w:szCs w:val="24"/>
        </w:rPr>
        <w:t xml:space="preserve"> Easy kit (</w:t>
      </w:r>
      <w:proofErr w:type="spellStart"/>
      <w:r w:rsidRPr="00C76A16">
        <w:rPr>
          <w:rFonts w:cs="Times New Roman"/>
          <w:szCs w:val="24"/>
        </w:rPr>
        <w:t>Biotools</w:t>
      </w:r>
      <w:proofErr w:type="spellEnd"/>
      <w:r w:rsidRPr="00C76A16">
        <w:rPr>
          <w:rFonts w:cs="Times New Roman"/>
          <w:szCs w:val="24"/>
        </w:rPr>
        <w:t>, Spain) and Light-Cycler system (Roche Diagnostics, Switzerland) and results normalized to 18S expression. Primer sequences are listed in</w:t>
      </w:r>
      <w:r w:rsidR="00450A73">
        <w:rPr>
          <w:rFonts w:cs="Times New Roman"/>
          <w:szCs w:val="24"/>
        </w:rPr>
        <w:t xml:space="preserve"> Supplementary</w:t>
      </w:r>
      <w:r w:rsidRPr="00C76A16">
        <w:rPr>
          <w:rFonts w:cs="Times New Roman"/>
          <w:szCs w:val="24"/>
        </w:rPr>
        <w:t xml:space="preserve"> Table 5 and were synthesized by Eurofins Scientific SE (Luxembourg).</w:t>
      </w:r>
    </w:p>
    <w:p w14:paraId="4458F622" w14:textId="77777777" w:rsidR="00C76A16" w:rsidRPr="00C76A16" w:rsidRDefault="00C76A16" w:rsidP="00C76A16">
      <w:pPr>
        <w:pStyle w:val="Heading2"/>
      </w:pPr>
      <w:r w:rsidRPr="00C76A16">
        <w:t>Flow cytometry</w:t>
      </w:r>
    </w:p>
    <w:p w14:paraId="23E7476D" w14:textId="744C0B1D" w:rsidR="00C76A16" w:rsidRP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t xml:space="preserve">PBMCs were treated following a standard protocol using the Transcription Factor Buffer Set (Becton-Dickinson Biosciences). Cells were labeled (30 minutes, 4ºC) with antibodies detailed in </w:t>
      </w:r>
      <w:r w:rsidR="00450A73">
        <w:rPr>
          <w:rFonts w:cs="Times New Roman"/>
          <w:szCs w:val="24"/>
        </w:rPr>
        <w:t xml:space="preserve">Supplementary </w:t>
      </w:r>
      <w:r w:rsidRPr="00C76A16">
        <w:rPr>
          <w:rFonts w:cs="Times New Roman"/>
          <w:szCs w:val="24"/>
        </w:rPr>
        <w:t xml:space="preserve">Table 6. Cells were acquired using BD FACS-Celesta flow cytometer (Becton-Dickinson Biosciences, Belgium), and data were analyzed using </w:t>
      </w:r>
      <w:proofErr w:type="spellStart"/>
      <w:r w:rsidRPr="00C76A16">
        <w:rPr>
          <w:rFonts w:cs="Times New Roman"/>
          <w:szCs w:val="24"/>
        </w:rPr>
        <w:t>FlowJo</w:t>
      </w:r>
      <w:proofErr w:type="spellEnd"/>
      <w:r w:rsidRPr="00C76A16">
        <w:rPr>
          <w:rFonts w:cs="Times New Roman"/>
          <w:szCs w:val="24"/>
        </w:rPr>
        <w:t xml:space="preserve"> vX.0.7 software (</w:t>
      </w:r>
      <w:proofErr w:type="spellStart"/>
      <w:r w:rsidRPr="00C76A16">
        <w:rPr>
          <w:rFonts w:cs="Times New Roman"/>
          <w:szCs w:val="24"/>
        </w:rPr>
        <w:t>FlowJo</w:t>
      </w:r>
      <w:proofErr w:type="spellEnd"/>
      <w:r w:rsidRPr="00C76A16">
        <w:rPr>
          <w:rFonts w:cs="Times New Roman"/>
          <w:szCs w:val="24"/>
        </w:rPr>
        <w:t xml:space="preserve">, USA). </w:t>
      </w:r>
    </w:p>
    <w:p w14:paraId="30074B24" w14:textId="77777777" w:rsidR="00C76A16" w:rsidRPr="00C76A16" w:rsidRDefault="00C76A16" w:rsidP="00C76A16">
      <w:pPr>
        <w:pStyle w:val="Heading2"/>
      </w:pPr>
      <w:r w:rsidRPr="00C76A16">
        <w:t>Hypoxia and plasma stimulation model</w:t>
      </w:r>
    </w:p>
    <w:p w14:paraId="22DA6CD6" w14:textId="77777777" w:rsidR="00C76A16" w:rsidRP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szCs w:val="24"/>
        </w:rPr>
        <w:lastRenderedPageBreak/>
        <w:t>PBMCs were isolated from blood samples of healthy volunteers. After isolation, 2 x 10</w:t>
      </w:r>
      <w:r w:rsidRPr="00C76A16">
        <w:rPr>
          <w:rFonts w:cs="Times New Roman"/>
          <w:szCs w:val="24"/>
          <w:vertAlign w:val="superscript"/>
        </w:rPr>
        <w:t>6</w:t>
      </w:r>
      <w:r w:rsidRPr="00C76A16">
        <w:rPr>
          <w:rFonts w:cs="Times New Roman"/>
          <w:szCs w:val="24"/>
        </w:rPr>
        <w:t xml:space="preserve"> PBMCs/well were cultured in M6 plates in RPMI medium supplemented with 100 U/mL Penicillin and 100 </w:t>
      </w:r>
      <w:proofErr w:type="spellStart"/>
      <w:r w:rsidRPr="00C76A16">
        <w:rPr>
          <w:rFonts w:cs="Times New Roman"/>
          <w:szCs w:val="24"/>
        </w:rPr>
        <w:t>μg</w:t>
      </w:r>
      <w:proofErr w:type="spellEnd"/>
      <w:r w:rsidRPr="00C76A16">
        <w:rPr>
          <w:rFonts w:cs="Times New Roman"/>
          <w:szCs w:val="24"/>
        </w:rPr>
        <w:t>/mL Streptomycin. Cells were stimulated with 10% plasma from either HC subjects or COVID-19 patients and cultured for 16 hours in standard conditions (37°C, 21% O</w:t>
      </w:r>
      <w:r w:rsidRPr="00C76A16">
        <w:rPr>
          <w:rFonts w:cs="Times New Roman"/>
          <w:szCs w:val="24"/>
          <w:vertAlign w:val="subscript"/>
        </w:rPr>
        <w:t>2</w:t>
      </w:r>
      <w:r w:rsidRPr="00C76A16">
        <w:rPr>
          <w:rFonts w:cs="Times New Roman"/>
          <w:szCs w:val="24"/>
        </w:rPr>
        <w:t>, 5% CO</w:t>
      </w:r>
      <w:r w:rsidRPr="00C76A16">
        <w:rPr>
          <w:rFonts w:cs="Times New Roman"/>
          <w:szCs w:val="24"/>
          <w:vertAlign w:val="subscript"/>
        </w:rPr>
        <w:t>2</w:t>
      </w:r>
      <w:r w:rsidRPr="00C76A16">
        <w:rPr>
          <w:rFonts w:cs="Times New Roman"/>
          <w:szCs w:val="24"/>
        </w:rPr>
        <w:t>) or using a specific hypoxic chamber (</w:t>
      </w:r>
      <w:proofErr w:type="spellStart"/>
      <w:r w:rsidRPr="00C76A16">
        <w:rPr>
          <w:rFonts w:cs="Times New Roman"/>
          <w:szCs w:val="24"/>
        </w:rPr>
        <w:t>Oxycycler</w:t>
      </w:r>
      <w:proofErr w:type="spellEnd"/>
      <w:r w:rsidRPr="00C76A16">
        <w:rPr>
          <w:rFonts w:cs="Times New Roman"/>
          <w:szCs w:val="24"/>
        </w:rPr>
        <w:t xml:space="preserve"> C42 from </w:t>
      </w:r>
      <w:hyperlink r:id="rId8" w:history="1">
        <w:proofErr w:type="spellStart"/>
        <w:r w:rsidRPr="00C76A16">
          <w:rPr>
            <w:rStyle w:val="Hyperlink"/>
            <w:rFonts w:cs="Times New Roman"/>
            <w:szCs w:val="24"/>
          </w:rPr>
          <w:t>Biospherix</w:t>
        </w:r>
        <w:proofErr w:type="spellEnd"/>
      </w:hyperlink>
      <w:r w:rsidRPr="00C76A16">
        <w:rPr>
          <w:rFonts w:cs="Times New Roman"/>
          <w:szCs w:val="24"/>
        </w:rPr>
        <w:t>, USA) which can maintain 9% O</w:t>
      </w:r>
      <w:r w:rsidRPr="00C76A16">
        <w:rPr>
          <w:rFonts w:cs="Times New Roman"/>
          <w:szCs w:val="24"/>
          <w:vertAlign w:val="subscript"/>
        </w:rPr>
        <w:t>2</w:t>
      </w:r>
      <w:r w:rsidRPr="00C76A16">
        <w:rPr>
          <w:rFonts w:cs="Times New Roman"/>
          <w:szCs w:val="24"/>
        </w:rPr>
        <w:t xml:space="preserve">. </w:t>
      </w:r>
    </w:p>
    <w:p w14:paraId="54F69A50" w14:textId="77777777" w:rsidR="00C76A16" w:rsidRPr="00C76A16" w:rsidRDefault="00C76A16" w:rsidP="00C76A16">
      <w:pPr>
        <w:pStyle w:val="Heading2"/>
      </w:pPr>
      <w:r w:rsidRPr="00C76A16">
        <w:t>Platelet isolation and stimulation</w:t>
      </w:r>
    </w:p>
    <w:p w14:paraId="138ADAF6" w14:textId="7818D66B" w:rsidR="00C76A16" w:rsidRDefault="00C76A16" w:rsidP="00C76A16">
      <w:pPr>
        <w:jc w:val="both"/>
        <w:rPr>
          <w:rFonts w:cs="Times New Roman"/>
          <w:szCs w:val="24"/>
        </w:rPr>
      </w:pPr>
      <w:r w:rsidRPr="00C76A16">
        <w:rPr>
          <w:rFonts w:cs="Times New Roman"/>
          <w:bCs/>
          <w:szCs w:val="24"/>
        </w:rPr>
        <w:t xml:space="preserve">O negative blood sample from healthy volunteer was collected in sodium citrate tubes and centrifuged 150g for 10min at 24º C without brake to obtain platelet-rich plasma (PRP), which was diluted 1:5 in Walsh buffer </w:t>
      </w:r>
      <w:r w:rsidRPr="00C76A16">
        <w:rPr>
          <w:rFonts w:cs="Times New Roman"/>
          <w:szCs w:val="24"/>
        </w:rPr>
        <w:t xml:space="preserve">(NaCl 137mM, </w:t>
      </w:r>
      <w:proofErr w:type="spellStart"/>
      <w:r w:rsidRPr="00C76A16">
        <w:rPr>
          <w:rFonts w:cs="Times New Roman"/>
          <w:szCs w:val="24"/>
        </w:rPr>
        <w:t>KCl</w:t>
      </w:r>
      <w:proofErr w:type="spellEnd"/>
      <w:r w:rsidRPr="00C76A16">
        <w:rPr>
          <w:rFonts w:cs="Times New Roman"/>
          <w:szCs w:val="24"/>
        </w:rPr>
        <w:t xml:space="preserve"> 2.7mM, NaH</w:t>
      </w:r>
      <w:r w:rsidRPr="00C76A16">
        <w:rPr>
          <w:rFonts w:cs="Times New Roman"/>
          <w:szCs w:val="24"/>
          <w:vertAlign w:val="subscript"/>
        </w:rPr>
        <w:t>2</w:t>
      </w:r>
      <w:r w:rsidRPr="00C76A16">
        <w:rPr>
          <w:rFonts w:cs="Times New Roman"/>
          <w:szCs w:val="24"/>
        </w:rPr>
        <w:t>PO</w:t>
      </w:r>
      <w:r w:rsidRPr="00C76A16">
        <w:rPr>
          <w:rFonts w:cs="Times New Roman"/>
          <w:szCs w:val="24"/>
          <w:vertAlign w:val="subscript"/>
        </w:rPr>
        <w:t>4</w:t>
      </w:r>
      <w:r w:rsidRPr="00C76A16">
        <w:rPr>
          <w:rFonts w:cs="Times New Roman"/>
          <w:szCs w:val="24"/>
        </w:rPr>
        <w:t xml:space="preserve"> 3.3mM, MgCl</w:t>
      </w:r>
      <w:r w:rsidRPr="00C76A16">
        <w:rPr>
          <w:rFonts w:cs="Times New Roman"/>
          <w:szCs w:val="24"/>
          <w:vertAlign w:val="subscript"/>
        </w:rPr>
        <w:t xml:space="preserve">2 </w:t>
      </w:r>
      <w:r w:rsidRPr="00C76A16">
        <w:rPr>
          <w:rFonts w:cs="Times New Roman"/>
          <w:szCs w:val="24"/>
        </w:rPr>
        <w:t>1mM and HEPES 20mM in distilled water).</w:t>
      </w:r>
      <w:r w:rsidRPr="00C76A16">
        <w:rPr>
          <w:rFonts w:cs="Times New Roman"/>
          <w:bCs/>
          <w:szCs w:val="24"/>
        </w:rPr>
        <w:t>50μL of diluted PRP</w:t>
      </w:r>
      <w:r w:rsidRPr="00C76A16">
        <w:rPr>
          <w:rFonts w:cs="Times New Roman"/>
          <w:szCs w:val="24"/>
        </w:rPr>
        <w:t xml:space="preserve"> were stimulated with purified ADP (Sigma-Aldrich, ref:01905-250MG-F) or 50μL of plasma from HC or COVID-19 patients. Plasmas were untreated or treated with apyrase (0.2U/mL) (Sigma-Aldrich, ref: A6535-200UN</w:t>
      </w:r>
      <w:r w:rsidRPr="00C76A16">
        <w:rPr>
          <w:rFonts w:cs="Times New Roman"/>
          <w:szCs w:val="24"/>
          <w:lang w:val="en-GB"/>
        </w:rPr>
        <w:t>) for 20min for ADP hydrolysis. In addition, P2Y</w:t>
      </w:r>
      <w:r w:rsidRPr="00C76A16">
        <w:rPr>
          <w:rFonts w:cs="Times New Roman"/>
          <w:szCs w:val="24"/>
          <w:vertAlign w:val="subscript"/>
          <w:lang w:val="en-GB"/>
        </w:rPr>
        <w:t>12</w:t>
      </w:r>
      <w:r w:rsidRPr="00C76A16">
        <w:rPr>
          <w:rFonts w:cs="Times New Roman"/>
          <w:szCs w:val="24"/>
          <w:lang w:val="en-GB"/>
        </w:rPr>
        <w:t xml:space="preserve">R was blocked on the surface of </w:t>
      </w:r>
      <w:r w:rsidRPr="00C76A16">
        <w:rPr>
          <w:rFonts w:cs="Times New Roman"/>
          <w:szCs w:val="24"/>
        </w:rPr>
        <w:t xml:space="preserve">platelets using the commercialized drug ticagrelor (20μM) (AstraZeneca AB, </w:t>
      </w:r>
      <w:proofErr w:type="spellStart"/>
      <w:r w:rsidRPr="00C76A16">
        <w:rPr>
          <w:rFonts w:cs="Times New Roman"/>
          <w:szCs w:val="24"/>
        </w:rPr>
        <w:t>Brilique</w:t>
      </w:r>
      <w:proofErr w:type="spellEnd"/>
      <w:r w:rsidRPr="00C76A16">
        <w:rPr>
          <w:rFonts w:cs="Times New Roman"/>
          <w:szCs w:val="24"/>
        </w:rPr>
        <w:t>) for 40min. Then platelets were stained with PAC-1</w:t>
      </w:r>
      <w:r w:rsidRPr="00C76A16">
        <w:rPr>
          <w:rFonts w:cs="Times New Roman"/>
          <w:szCs w:val="24"/>
          <w:vertAlign w:val="subscript"/>
        </w:rPr>
        <w:t>FITC</w:t>
      </w:r>
      <w:r w:rsidRPr="00C76A16">
        <w:rPr>
          <w:rFonts w:cs="Times New Roman"/>
          <w:szCs w:val="24"/>
        </w:rPr>
        <w:t xml:space="preserve"> antibody (Becton-Dickinson, ref: 340507), which recognizes glycoprotein IIb/IIIa (</w:t>
      </w:r>
      <w:proofErr w:type="spellStart"/>
      <w:r w:rsidRPr="00C76A16">
        <w:rPr>
          <w:rFonts w:cs="Times New Roman"/>
          <w:szCs w:val="24"/>
        </w:rPr>
        <w:t>gpIIb</w:t>
      </w:r>
      <w:proofErr w:type="spellEnd"/>
      <w:r w:rsidRPr="00C76A16">
        <w:rPr>
          <w:rFonts w:cs="Times New Roman"/>
          <w:szCs w:val="24"/>
        </w:rPr>
        <w:t>/IIIa, α</w:t>
      </w:r>
      <w:r w:rsidRPr="00C76A16">
        <w:rPr>
          <w:rFonts w:cs="Times New Roman"/>
          <w:szCs w:val="24"/>
          <w:vertAlign w:val="subscript"/>
        </w:rPr>
        <w:t>IIb</w:t>
      </w:r>
      <w:r w:rsidRPr="00C76A16">
        <w:rPr>
          <w:rFonts w:cs="Times New Roman"/>
          <w:szCs w:val="24"/>
        </w:rPr>
        <w:t>β</w:t>
      </w:r>
      <w:r w:rsidRPr="00C76A16">
        <w:rPr>
          <w:rFonts w:cs="Times New Roman"/>
          <w:szCs w:val="24"/>
          <w:vertAlign w:val="subscript"/>
        </w:rPr>
        <w:t>3</w:t>
      </w:r>
      <w:r w:rsidRPr="00C76A16">
        <w:rPr>
          <w:rFonts w:cs="Times New Roman"/>
          <w:szCs w:val="24"/>
        </w:rPr>
        <w:t>) complex, a marker of activated platelets and analyzed by BD FACS-</w:t>
      </w:r>
      <w:proofErr w:type="spellStart"/>
      <w:r w:rsidRPr="00C76A16">
        <w:rPr>
          <w:rFonts w:cs="Times New Roman"/>
          <w:szCs w:val="24"/>
        </w:rPr>
        <w:t>Calibur</w:t>
      </w:r>
      <w:proofErr w:type="spellEnd"/>
      <w:r w:rsidRPr="00C76A16">
        <w:rPr>
          <w:rFonts w:cs="Times New Roman"/>
          <w:szCs w:val="24"/>
        </w:rPr>
        <w:t xml:space="preserve"> flow cytometer (Becton-Dickinson Biosciences, Belgium).</w:t>
      </w:r>
    </w:p>
    <w:p w14:paraId="6BE6ADE5" w14:textId="77777777" w:rsidR="00C76A16" w:rsidRPr="00C76A16" w:rsidRDefault="00C76A16" w:rsidP="00C76A16">
      <w:pPr>
        <w:jc w:val="both"/>
        <w:rPr>
          <w:rFonts w:cs="Times New Roman"/>
          <w:szCs w:val="24"/>
          <w:lang w:val="en-GB"/>
        </w:rPr>
      </w:pPr>
    </w:p>
    <w:p w14:paraId="4D059444" w14:textId="77777777" w:rsidR="00994A3D" w:rsidRPr="00994A3D" w:rsidRDefault="00654E8F" w:rsidP="0001436A">
      <w:pPr>
        <w:pStyle w:val="Heading1"/>
      </w:pPr>
      <w:r w:rsidRPr="00994A3D">
        <w:t>Supplementary Figures and Tables</w:t>
      </w:r>
    </w:p>
    <w:p w14:paraId="63D7C2B0" w14:textId="4E0203F0" w:rsidR="00994A3D" w:rsidRDefault="00994A3D" w:rsidP="0001436A">
      <w:pPr>
        <w:pStyle w:val="Heading2"/>
      </w:pPr>
      <w:r w:rsidRPr="0001436A">
        <w:t>Supplementary</w:t>
      </w:r>
      <w:r w:rsidRPr="001549D3">
        <w:t xml:space="preserve"> </w:t>
      </w:r>
      <w:r w:rsidR="00C76A16">
        <w:t>Tables</w:t>
      </w:r>
    </w:p>
    <w:p w14:paraId="26F194A1" w14:textId="5D9B6AB1" w:rsidR="00C76A16" w:rsidRPr="00C76A16" w:rsidRDefault="008C730B" w:rsidP="00C76A16">
      <w:r>
        <w:rPr>
          <w:b/>
          <w:bCs/>
        </w:rPr>
        <w:t>Supplementary</w:t>
      </w:r>
      <w:r w:rsidR="00C76A16" w:rsidRPr="00C76A16">
        <w:rPr>
          <w:b/>
          <w:bCs/>
        </w:rPr>
        <w:t xml:space="preserve"> </w:t>
      </w:r>
      <w:r w:rsidR="007A3363">
        <w:rPr>
          <w:b/>
          <w:bCs/>
        </w:rPr>
        <w:t>T</w:t>
      </w:r>
      <w:r w:rsidR="00C76A16" w:rsidRPr="00C76A16">
        <w:rPr>
          <w:b/>
          <w:bCs/>
        </w:rPr>
        <w:t xml:space="preserve">able 1. </w:t>
      </w:r>
      <w:r w:rsidR="00C76A16" w:rsidRPr="00C76A16">
        <w:rPr>
          <w:lang w:val="en-GB"/>
        </w:rPr>
        <w:t>Multivariate logistic regression model including sCD39 and D-dimer as predictors of ICU admission*</w:t>
      </w:r>
    </w:p>
    <w:tbl>
      <w:tblPr>
        <w:tblStyle w:val="Tablanormal216"/>
        <w:tblpPr w:leftFromText="141" w:rightFromText="141" w:vertAnchor="text" w:horzAnchor="margin" w:tblpY="34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200"/>
        <w:gridCol w:w="1098"/>
        <w:gridCol w:w="1632"/>
        <w:gridCol w:w="2618"/>
        <w:gridCol w:w="1423"/>
      </w:tblGrid>
      <w:tr w:rsidR="0072535D" w:rsidRPr="0072535D" w14:paraId="1739D39D" w14:textId="77777777" w:rsidTr="007E0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40CC5294" w14:textId="77777777" w:rsidR="007E0CB2" w:rsidRPr="0072535D" w:rsidRDefault="007E0CB2" w:rsidP="007E0CB2">
            <w:pPr>
              <w:spacing w:before="0" w:after="0" w:line="259" w:lineRule="auto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7988C038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B</w:t>
            </w:r>
          </w:p>
        </w:tc>
        <w:tc>
          <w:tcPr>
            <w:tcW w:w="1098" w:type="dxa"/>
            <w:vAlign w:val="center"/>
          </w:tcPr>
          <w:p w14:paraId="0E4316FD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S.E.</w:t>
            </w:r>
          </w:p>
        </w:tc>
        <w:tc>
          <w:tcPr>
            <w:tcW w:w="1632" w:type="dxa"/>
            <w:vAlign w:val="center"/>
          </w:tcPr>
          <w:p w14:paraId="3ED59817" w14:textId="77777777" w:rsidR="007E0CB2" w:rsidRPr="0072535D" w:rsidRDefault="007E0CB2" w:rsidP="007E0CB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Odds</w:t>
            </w:r>
            <w:proofErr w:type="spellEnd"/>
            <w:r w:rsidRPr="0072535D">
              <w:rPr>
                <w:rFonts w:eastAsia="Calibri" w:cs="Times New Roman"/>
                <w:sz w:val="20"/>
                <w:szCs w:val="20"/>
              </w:rPr>
              <w:t xml:space="preserve"> ratio</w:t>
            </w:r>
          </w:p>
        </w:tc>
        <w:tc>
          <w:tcPr>
            <w:tcW w:w="2618" w:type="dxa"/>
            <w:vAlign w:val="center"/>
          </w:tcPr>
          <w:p w14:paraId="23387C54" w14:textId="77777777" w:rsidR="007E0CB2" w:rsidRPr="0072535D" w:rsidRDefault="007E0CB2" w:rsidP="007E0CB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95%CI</w:t>
            </w:r>
          </w:p>
        </w:tc>
        <w:tc>
          <w:tcPr>
            <w:tcW w:w="1423" w:type="dxa"/>
            <w:vAlign w:val="center"/>
          </w:tcPr>
          <w:p w14:paraId="4906716A" w14:textId="77777777" w:rsidR="007E0CB2" w:rsidRPr="0072535D" w:rsidRDefault="007E0CB2" w:rsidP="007E0CB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p-</w:t>
            </w: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72535D" w:rsidRPr="0072535D" w14:paraId="2FB3B353" w14:textId="77777777" w:rsidTr="007E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2077FB4A" w14:textId="77777777" w:rsidR="007E0CB2" w:rsidRPr="0072535D" w:rsidRDefault="007E0CB2" w:rsidP="007E0CB2">
            <w:pPr>
              <w:spacing w:before="0" w:after="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D-</w:t>
            </w: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dimer</w:t>
            </w:r>
            <w:proofErr w:type="spellEnd"/>
          </w:p>
        </w:tc>
        <w:tc>
          <w:tcPr>
            <w:tcW w:w="1200" w:type="dxa"/>
            <w:vAlign w:val="center"/>
          </w:tcPr>
          <w:p w14:paraId="35F003C6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0.002</w:t>
            </w:r>
          </w:p>
        </w:tc>
        <w:tc>
          <w:tcPr>
            <w:tcW w:w="1098" w:type="dxa"/>
            <w:vAlign w:val="center"/>
          </w:tcPr>
          <w:p w14:paraId="53CD9E1E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0.001</w:t>
            </w:r>
          </w:p>
        </w:tc>
        <w:tc>
          <w:tcPr>
            <w:tcW w:w="1632" w:type="dxa"/>
            <w:vAlign w:val="center"/>
          </w:tcPr>
          <w:p w14:paraId="1237C0EA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1.002</w:t>
            </w:r>
          </w:p>
        </w:tc>
        <w:tc>
          <w:tcPr>
            <w:tcW w:w="2618" w:type="dxa"/>
            <w:vAlign w:val="center"/>
          </w:tcPr>
          <w:p w14:paraId="7FF08694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 xml:space="preserve">1.001 </w:t>
            </w: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to</w:t>
            </w:r>
            <w:proofErr w:type="spellEnd"/>
            <w:r w:rsidRPr="0072535D">
              <w:rPr>
                <w:rFonts w:eastAsia="Calibri" w:cs="Times New Roman"/>
                <w:sz w:val="20"/>
                <w:szCs w:val="20"/>
              </w:rPr>
              <w:t xml:space="preserve"> 1.004</w:t>
            </w:r>
          </w:p>
        </w:tc>
        <w:tc>
          <w:tcPr>
            <w:tcW w:w="1423" w:type="dxa"/>
            <w:vAlign w:val="center"/>
          </w:tcPr>
          <w:p w14:paraId="4967D719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0.003</w:t>
            </w:r>
          </w:p>
        </w:tc>
      </w:tr>
      <w:tr w:rsidR="0072535D" w:rsidRPr="0072535D" w14:paraId="21B65C75" w14:textId="77777777" w:rsidTr="007E0CB2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1BF33771" w14:textId="77777777" w:rsidR="007E0CB2" w:rsidRPr="0072535D" w:rsidRDefault="007E0CB2" w:rsidP="007E0CB2">
            <w:pPr>
              <w:spacing w:before="0" w:after="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sCD39</w:t>
            </w:r>
          </w:p>
        </w:tc>
        <w:tc>
          <w:tcPr>
            <w:tcW w:w="1200" w:type="dxa"/>
            <w:vAlign w:val="center"/>
          </w:tcPr>
          <w:p w14:paraId="5CA2BE0B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0.036</w:t>
            </w:r>
          </w:p>
        </w:tc>
        <w:tc>
          <w:tcPr>
            <w:tcW w:w="1098" w:type="dxa"/>
            <w:vAlign w:val="center"/>
          </w:tcPr>
          <w:p w14:paraId="6A619D96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0.021</w:t>
            </w:r>
          </w:p>
        </w:tc>
        <w:tc>
          <w:tcPr>
            <w:tcW w:w="1632" w:type="dxa"/>
            <w:vAlign w:val="center"/>
          </w:tcPr>
          <w:p w14:paraId="3DE76B6B" w14:textId="77777777" w:rsidR="007E0CB2" w:rsidRPr="0072535D" w:rsidRDefault="007E0CB2" w:rsidP="007E0C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1.037</w:t>
            </w:r>
          </w:p>
        </w:tc>
        <w:tc>
          <w:tcPr>
            <w:tcW w:w="2618" w:type="dxa"/>
            <w:vAlign w:val="center"/>
          </w:tcPr>
          <w:p w14:paraId="7210BF3C" w14:textId="77777777" w:rsidR="007E0CB2" w:rsidRPr="0072535D" w:rsidRDefault="007E0CB2" w:rsidP="007E0C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 xml:space="preserve">1.001 </w:t>
            </w: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to</w:t>
            </w:r>
            <w:proofErr w:type="spellEnd"/>
            <w:r w:rsidRPr="0072535D">
              <w:rPr>
                <w:rFonts w:eastAsia="Calibri" w:cs="Times New Roman"/>
                <w:sz w:val="20"/>
                <w:szCs w:val="20"/>
              </w:rPr>
              <w:t xml:space="preserve"> 1.080</w:t>
            </w:r>
          </w:p>
        </w:tc>
        <w:tc>
          <w:tcPr>
            <w:tcW w:w="1423" w:type="dxa"/>
            <w:vAlign w:val="center"/>
          </w:tcPr>
          <w:p w14:paraId="07855910" w14:textId="77777777" w:rsidR="007E0CB2" w:rsidRPr="0072535D" w:rsidRDefault="007E0CB2" w:rsidP="007E0CB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0.038</w:t>
            </w:r>
          </w:p>
        </w:tc>
      </w:tr>
      <w:tr w:rsidR="0072535D" w:rsidRPr="0072535D" w14:paraId="26FE2326" w14:textId="77777777" w:rsidTr="007E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8" w:type="dxa"/>
            <w:vAlign w:val="center"/>
          </w:tcPr>
          <w:p w14:paraId="6C05BD55" w14:textId="77777777" w:rsidR="007E0CB2" w:rsidRPr="0072535D" w:rsidRDefault="007E0CB2" w:rsidP="007E0CB2">
            <w:pPr>
              <w:spacing w:before="0" w:after="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2535D">
              <w:rPr>
                <w:rFonts w:eastAsia="Calibri" w:cs="Times New Roman"/>
                <w:sz w:val="20"/>
                <w:szCs w:val="20"/>
              </w:rPr>
              <w:t>Constant</w:t>
            </w:r>
            <w:proofErr w:type="spellEnd"/>
          </w:p>
        </w:tc>
        <w:tc>
          <w:tcPr>
            <w:tcW w:w="1200" w:type="dxa"/>
            <w:vAlign w:val="center"/>
          </w:tcPr>
          <w:p w14:paraId="333D5500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-2.128</w:t>
            </w:r>
          </w:p>
        </w:tc>
        <w:tc>
          <w:tcPr>
            <w:tcW w:w="1098" w:type="dxa"/>
            <w:vAlign w:val="center"/>
          </w:tcPr>
          <w:p w14:paraId="52F2A2DC" w14:textId="77777777" w:rsidR="007E0CB2" w:rsidRPr="0072535D" w:rsidRDefault="007E0CB2" w:rsidP="007E0CB2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1.865</w:t>
            </w:r>
          </w:p>
        </w:tc>
        <w:tc>
          <w:tcPr>
            <w:tcW w:w="1632" w:type="dxa"/>
            <w:vAlign w:val="center"/>
          </w:tcPr>
          <w:p w14:paraId="415EC529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2618" w:type="dxa"/>
            <w:vAlign w:val="center"/>
          </w:tcPr>
          <w:p w14:paraId="6BBE9DAB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14:paraId="0AB398EB" w14:textId="77777777" w:rsidR="007E0CB2" w:rsidRPr="0072535D" w:rsidRDefault="007E0CB2" w:rsidP="007E0CB2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2535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14:paraId="75857065" w14:textId="77777777" w:rsidR="007E0CB2" w:rsidRPr="007E0CB2" w:rsidRDefault="007E0CB2" w:rsidP="007E0CB2">
      <w:pPr>
        <w:spacing w:before="0" w:after="0" w:line="276" w:lineRule="auto"/>
        <w:jc w:val="both"/>
        <w:rPr>
          <w:rFonts w:eastAsia="Calibri" w:cs="Times New Roman"/>
          <w:szCs w:val="24"/>
          <w:lang w:val="en-GB"/>
        </w:rPr>
      </w:pPr>
      <w:r w:rsidRPr="0072535D">
        <w:rPr>
          <w:rFonts w:eastAsia="Calibri" w:cs="Times New Roman"/>
          <w:szCs w:val="24"/>
          <w:lang w:val="en-GB"/>
        </w:rPr>
        <w:t xml:space="preserve">*Values are adjusted by sex, age and presence or absence of obesity, hypertension or diabetes. S.E.: </w:t>
      </w:r>
      <w:r w:rsidRPr="007E0CB2">
        <w:rPr>
          <w:rFonts w:eastAsia="Calibri" w:cs="Times New Roman"/>
          <w:szCs w:val="24"/>
          <w:lang w:val="en-GB"/>
        </w:rPr>
        <w:t xml:space="preserve">standard error, C.I.: confidence interval. </w:t>
      </w:r>
    </w:p>
    <w:p w14:paraId="1EC4E979" w14:textId="77777777" w:rsidR="00C76A16" w:rsidRPr="00C76A16" w:rsidRDefault="00C76A16" w:rsidP="00C76A16">
      <w:pPr>
        <w:rPr>
          <w:lang w:val="en-GB"/>
        </w:rPr>
      </w:pPr>
    </w:p>
    <w:p w14:paraId="67780FB8" w14:textId="65179FB5" w:rsidR="00C76A16" w:rsidRDefault="008C730B" w:rsidP="00C76A16">
      <w:pPr>
        <w:keepNext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>Supplementary</w:t>
      </w:r>
      <w:r w:rsidR="00C76A16" w:rsidRPr="00C76A16">
        <w:rPr>
          <w:rFonts w:cs="Times New Roman"/>
          <w:b/>
          <w:bCs/>
          <w:szCs w:val="24"/>
        </w:rPr>
        <w:t xml:space="preserve"> </w:t>
      </w:r>
      <w:r w:rsidR="007A3363">
        <w:rPr>
          <w:rFonts w:cs="Times New Roman"/>
          <w:b/>
          <w:bCs/>
          <w:szCs w:val="24"/>
        </w:rPr>
        <w:t>T</w:t>
      </w:r>
      <w:r w:rsidR="00C76A16" w:rsidRPr="00C76A16">
        <w:rPr>
          <w:rFonts w:cs="Times New Roman"/>
          <w:b/>
          <w:bCs/>
          <w:szCs w:val="24"/>
        </w:rPr>
        <w:t xml:space="preserve">able 2. </w:t>
      </w:r>
      <w:r w:rsidR="00C76A16" w:rsidRPr="00C76A16">
        <w:rPr>
          <w:rFonts w:cs="Times New Roman"/>
          <w:bCs/>
          <w:szCs w:val="24"/>
        </w:rPr>
        <w:t>Spearman’s correlation of sCD39 with coagulation markers in influenza A patients</w:t>
      </w:r>
    </w:p>
    <w:tbl>
      <w:tblPr>
        <w:tblStyle w:val="Tablanormal211"/>
        <w:tblpPr w:leftFromText="141" w:rightFromText="141" w:vertAnchor="text" w:horzAnchor="margin" w:tblpY="-19"/>
        <w:tblW w:w="8649" w:type="dxa"/>
        <w:tblLook w:val="04A0" w:firstRow="1" w:lastRow="0" w:firstColumn="1" w:lastColumn="0" w:noHBand="0" w:noVBand="1"/>
      </w:tblPr>
      <w:tblGrid>
        <w:gridCol w:w="2211"/>
        <w:gridCol w:w="1869"/>
        <w:gridCol w:w="1523"/>
        <w:gridCol w:w="1523"/>
        <w:gridCol w:w="1523"/>
      </w:tblGrid>
      <w:tr w:rsidR="00A62FBC" w:rsidRPr="00C76A16" w14:paraId="71EC103D" w14:textId="77777777" w:rsidTr="00A62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vAlign w:val="center"/>
          </w:tcPr>
          <w:p w14:paraId="39E65F98" w14:textId="77777777" w:rsidR="00A62FBC" w:rsidRPr="00C76A16" w:rsidRDefault="00A62FBC" w:rsidP="00A62FBC">
            <w:pPr>
              <w:spacing w:before="0" w:after="0" w:line="259" w:lineRule="auto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C76A16">
              <w:rPr>
                <w:rFonts w:eastAsia="Calibri"/>
                <w:sz w:val="20"/>
                <w:szCs w:val="20"/>
              </w:rPr>
              <w:t>Spearman’s</w:t>
            </w:r>
            <w:proofErr w:type="spellEnd"/>
            <w:r w:rsidRPr="00C76A1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A16">
              <w:rPr>
                <w:rFonts w:eastAsia="Calibri"/>
                <w:sz w:val="20"/>
                <w:szCs w:val="20"/>
              </w:rPr>
              <w:t>correlations</w:t>
            </w:r>
            <w:proofErr w:type="spellEnd"/>
          </w:p>
        </w:tc>
        <w:tc>
          <w:tcPr>
            <w:tcW w:w="1869" w:type="dxa"/>
            <w:vAlign w:val="center"/>
          </w:tcPr>
          <w:p w14:paraId="55EE13DF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TF</w:t>
            </w:r>
          </w:p>
        </w:tc>
        <w:tc>
          <w:tcPr>
            <w:tcW w:w="1523" w:type="dxa"/>
            <w:vAlign w:val="center"/>
          </w:tcPr>
          <w:p w14:paraId="297D410F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CD40L</w:t>
            </w:r>
          </w:p>
        </w:tc>
        <w:tc>
          <w:tcPr>
            <w:tcW w:w="1523" w:type="dxa"/>
            <w:vAlign w:val="center"/>
          </w:tcPr>
          <w:p w14:paraId="45359745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sz w:val="20"/>
                <w:szCs w:val="20"/>
              </w:rPr>
            </w:pPr>
            <w:r w:rsidRPr="00C76A16">
              <w:rPr>
                <w:rFonts w:eastAsia="Calibri"/>
                <w:bCs w:val="0"/>
                <w:sz w:val="20"/>
                <w:szCs w:val="20"/>
              </w:rPr>
              <w:t>CRP</w:t>
            </w:r>
          </w:p>
        </w:tc>
        <w:tc>
          <w:tcPr>
            <w:tcW w:w="1523" w:type="dxa"/>
            <w:vAlign w:val="center"/>
          </w:tcPr>
          <w:p w14:paraId="33F8FC19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sz w:val="20"/>
                <w:szCs w:val="20"/>
              </w:rPr>
            </w:pPr>
            <w:proofErr w:type="spellStart"/>
            <w:r w:rsidRPr="00C76A16">
              <w:rPr>
                <w:rFonts w:eastAsia="Calibri"/>
                <w:bCs w:val="0"/>
                <w:sz w:val="20"/>
                <w:szCs w:val="20"/>
              </w:rPr>
              <w:t>Ferritin</w:t>
            </w:r>
            <w:proofErr w:type="spellEnd"/>
          </w:p>
        </w:tc>
      </w:tr>
      <w:tr w:rsidR="00A62FBC" w:rsidRPr="00C76A16" w14:paraId="136E8C85" w14:textId="77777777" w:rsidTr="00A62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1" w:type="dxa"/>
            <w:vAlign w:val="center"/>
          </w:tcPr>
          <w:p w14:paraId="0837E71B" w14:textId="77777777" w:rsidR="00A62FBC" w:rsidRPr="00C76A16" w:rsidRDefault="00A62FBC" w:rsidP="00A62FBC">
            <w:pPr>
              <w:spacing w:before="0" w:after="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sCD39</w:t>
            </w:r>
          </w:p>
        </w:tc>
        <w:tc>
          <w:tcPr>
            <w:tcW w:w="1869" w:type="dxa"/>
            <w:vAlign w:val="center"/>
          </w:tcPr>
          <w:p w14:paraId="63A99C7F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ρ=0.049</w:t>
            </w:r>
          </w:p>
          <w:p w14:paraId="7CE59BFC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P=0.848</w:t>
            </w:r>
          </w:p>
        </w:tc>
        <w:tc>
          <w:tcPr>
            <w:tcW w:w="1523" w:type="dxa"/>
            <w:vAlign w:val="center"/>
          </w:tcPr>
          <w:p w14:paraId="0F9E0950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ρ=-0.046</w:t>
            </w:r>
          </w:p>
          <w:p w14:paraId="3CD7F1CB" w14:textId="77777777" w:rsidR="00A62FBC" w:rsidRPr="00C76A16" w:rsidRDefault="00A62FBC" w:rsidP="00A62FBC">
            <w:pPr>
              <w:spacing w:before="0" w:after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P=0.349</w:t>
            </w:r>
          </w:p>
        </w:tc>
        <w:tc>
          <w:tcPr>
            <w:tcW w:w="1523" w:type="dxa"/>
            <w:vAlign w:val="center"/>
          </w:tcPr>
          <w:p w14:paraId="4363C745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ρ=0.198</w:t>
            </w:r>
          </w:p>
          <w:p w14:paraId="65E089B1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P=0.517</w:t>
            </w:r>
          </w:p>
        </w:tc>
        <w:tc>
          <w:tcPr>
            <w:tcW w:w="1523" w:type="dxa"/>
            <w:vAlign w:val="center"/>
          </w:tcPr>
          <w:p w14:paraId="720F2D28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ρ=0.500</w:t>
            </w:r>
          </w:p>
          <w:p w14:paraId="4B4439E9" w14:textId="77777777" w:rsidR="00A62FBC" w:rsidRPr="00C76A16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C76A16">
              <w:rPr>
                <w:rFonts w:eastAsia="Calibri"/>
                <w:sz w:val="20"/>
                <w:szCs w:val="20"/>
              </w:rPr>
              <w:t>P&gt;0.999</w:t>
            </w:r>
          </w:p>
        </w:tc>
      </w:tr>
    </w:tbl>
    <w:p w14:paraId="24C317B2" w14:textId="7BE1DAC0" w:rsidR="00C76A16" w:rsidRDefault="00C76A16" w:rsidP="00C76A16">
      <w:pPr>
        <w:keepNext/>
        <w:rPr>
          <w:rFonts w:cs="Times New Roman"/>
          <w:bCs/>
          <w:szCs w:val="24"/>
        </w:rPr>
      </w:pPr>
    </w:p>
    <w:p w14:paraId="2291EA64" w14:textId="77777777" w:rsidR="00A62FBC" w:rsidRPr="00C76A16" w:rsidRDefault="00A62FBC" w:rsidP="00C76A16">
      <w:pPr>
        <w:keepNext/>
        <w:rPr>
          <w:rFonts w:cs="Times New Roman"/>
          <w:bCs/>
          <w:szCs w:val="24"/>
        </w:rPr>
      </w:pPr>
    </w:p>
    <w:p w14:paraId="09C840FD" w14:textId="77777777" w:rsidR="00A62FBC" w:rsidRPr="001549D3" w:rsidRDefault="00A62FBC" w:rsidP="00A62FBC">
      <w:pPr>
        <w:keepNext/>
        <w:spacing w:after="0"/>
        <w:rPr>
          <w:rFonts w:cs="Times New Roman"/>
          <w:szCs w:val="24"/>
        </w:rPr>
      </w:pPr>
    </w:p>
    <w:p w14:paraId="058BF134" w14:textId="7A638E51" w:rsidR="00A62FBC" w:rsidRPr="00A62FBC" w:rsidRDefault="00A62FBC" w:rsidP="00A62FBC">
      <w:pPr>
        <w:spacing w:before="0" w:after="0" w:line="360" w:lineRule="auto"/>
        <w:jc w:val="both"/>
        <w:rPr>
          <w:rFonts w:eastAsia="Times New Roman" w:cs="Times New Roman"/>
          <w:kern w:val="28"/>
          <w:szCs w:val="24"/>
        </w:rPr>
      </w:pPr>
      <w:r w:rsidRPr="00A62FBC">
        <w:rPr>
          <w:rFonts w:eastAsia="Times New Roman" w:cs="Times New Roman"/>
          <w:kern w:val="28"/>
          <w:szCs w:val="24"/>
        </w:rPr>
        <w:t xml:space="preserve">Correlations were performed by Spearman’s correlation test. Spearman correlation coefficients (ρ) and </w:t>
      </w:r>
      <w:r w:rsidRPr="00A62FBC">
        <w:rPr>
          <w:rFonts w:eastAsia="Times New Roman" w:cs="Times New Roman"/>
          <w:i/>
          <w:kern w:val="28"/>
          <w:szCs w:val="24"/>
        </w:rPr>
        <w:t>P</w:t>
      </w:r>
      <w:r w:rsidRPr="00A62FBC">
        <w:rPr>
          <w:rFonts w:eastAsia="Times New Roman" w:cs="Times New Roman"/>
          <w:kern w:val="28"/>
          <w:szCs w:val="24"/>
        </w:rPr>
        <w:t>-values are shown.</w:t>
      </w:r>
    </w:p>
    <w:p w14:paraId="7C44A1E7" w14:textId="2BF7931A" w:rsidR="00A62FBC" w:rsidRPr="00A62FBC" w:rsidRDefault="008C730B" w:rsidP="00A62FBC">
      <w:pPr>
        <w:spacing w:before="240"/>
        <w:rPr>
          <w:bCs/>
        </w:rPr>
      </w:pPr>
      <w:r>
        <w:rPr>
          <w:b/>
          <w:bCs/>
        </w:rPr>
        <w:lastRenderedPageBreak/>
        <w:t>Supplementary</w:t>
      </w:r>
      <w:r w:rsidR="00A62FBC" w:rsidRPr="00A62FBC">
        <w:rPr>
          <w:b/>
          <w:bCs/>
        </w:rPr>
        <w:t xml:space="preserve"> </w:t>
      </w:r>
      <w:r w:rsidR="007A3363">
        <w:rPr>
          <w:b/>
          <w:bCs/>
        </w:rPr>
        <w:t>T</w:t>
      </w:r>
      <w:r w:rsidR="00A62FBC" w:rsidRPr="00A62FBC">
        <w:rPr>
          <w:b/>
          <w:bCs/>
        </w:rPr>
        <w:t xml:space="preserve">able 3. </w:t>
      </w:r>
      <w:r w:rsidR="00A62FBC" w:rsidRPr="00A62FBC">
        <w:t>Comparison of different inflammatory and pro-thrombotic markers on admission and on day 7 post-admission</w:t>
      </w:r>
    </w:p>
    <w:tbl>
      <w:tblPr>
        <w:tblStyle w:val="Tablanormal212"/>
        <w:tblW w:w="8500" w:type="dxa"/>
        <w:tblLook w:val="04A0" w:firstRow="1" w:lastRow="0" w:firstColumn="1" w:lastColumn="0" w:noHBand="0" w:noVBand="1"/>
      </w:tblPr>
      <w:tblGrid>
        <w:gridCol w:w="2689"/>
        <w:gridCol w:w="1843"/>
        <w:gridCol w:w="1842"/>
        <w:gridCol w:w="2126"/>
      </w:tblGrid>
      <w:tr w:rsidR="00A62FBC" w:rsidRPr="00A62FBC" w14:paraId="2976A6B7" w14:textId="77777777" w:rsidTr="00891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61A97" w14:textId="77777777" w:rsidR="00A62FBC" w:rsidRPr="007A3363" w:rsidRDefault="00A62FBC" w:rsidP="00A62FBC">
            <w:pPr>
              <w:spacing w:before="0" w:after="200" w:line="276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2A96DF0F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At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day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1</w:t>
            </w:r>
          </w:p>
          <w:p w14:paraId="78F811DF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mean ± SEM</w:t>
            </w:r>
          </w:p>
        </w:tc>
        <w:tc>
          <w:tcPr>
            <w:tcW w:w="1842" w:type="dxa"/>
          </w:tcPr>
          <w:p w14:paraId="5FD28688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At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day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7</w:t>
            </w:r>
          </w:p>
          <w:p w14:paraId="2A7FE640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mean ± SEM</w:t>
            </w:r>
          </w:p>
        </w:tc>
        <w:tc>
          <w:tcPr>
            <w:tcW w:w="2126" w:type="dxa"/>
          </w:tcPr>
          <w:p w14:paraId="07B0ECBC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/>
              </w:rPr>
            </w:pPr>
            <w:r w:rsidRPr="00A62FBC">
              <w:rPr>
                <w:rFonts w:eastAsia="Calibri"/>
                <w:sz w:val="20"/>
                <w:szCs w:val="20"/>
                <w:lang w:val="en-US"/>
              </w:rPr>
              <w:t>Wilcoxon matched-pairs tests P-value</w:t>
            </w:r>
          </w:p>
        </w:tc>
      </w:tr>
      <w:tr w:rsidR="00A62FBC" w:rsidRPr="00A62FBC" w14:paraId="4B7B7B64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E679B8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sCD39 (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FD86D5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43.38 ± 3.733</w:t>
            </w:r>
          </w:p>
        </w:tc>
        <w:tc>
          <w:tcPr>
            <w:tcW w:w="1842" w:type="dxa"/>
          </w:tcPr>
          <w:p w14:paraId="5CE8B412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42.42 ± 3.070</w:t>
            </w:r>
          </w:p>
        </w:tc>
        <w:tc>
          <w:tcPr>
            <w:tcW w:w="2126" w:type="dxa"/>
          </w:tcPr>
          <w:p w14:paraId="6650F95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0.9839</w:t>
            </w:r>
          </w:p>
        </w:tc>
      </w:tr>
      <w:tr w:rsidR="00A62FBC" w:rsidRPr="00A62FBC" w14:paraId="4D286441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3988EA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CD4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CD39 MFI</w:t>
            </w:r>
          </w:p>
        </w:tc>
        <w:tc>
          <w:tcPr>
            <w:tcW w:w="1843" w:type="dxa"/>
          </w:tcPr>
          <w:p w14:paraId="49464DD4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1464 ± 91.47</w:t>
            </w:r>
          </w:p>
        </w:tc>
        <w:tc>
          <w:tcPr>
            <w:tcW w:w="1842" w:type="dxa"/>
          </w:tcPr>
          <w:p w14:paraId="2924892C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1387 ± 73.13</w:t>
            </w:r>
          </w:p>
        </w:tc>
        <w:tc>
          <w:tcPr>
            <w:tcW w:w="2126" w:type="dxa"/>
          </w:tcPr>
          <w:p w14:paraId="79AF1793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0.2465</w:t>
            </w:r>
          </w:p>
        </w:tc>
      </w:tr>
      <w:tr w:rsidR="00A62FBC" w:rsidRPr="00A62FBC" w14:paraId="13EDA9D0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9AE336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CD8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CD39 MFI</w:t>
            </w:r>
          </w:p>
        </w:tc>
        <w:tc>
          <w:tcPr>
            <w:tcW w:w="1843" w:type="dxa"/>
          </w:tcPr>
          <w:p w14:paraId="4E0B610A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1644 ± 108.2</w:t>
            </w:r>
          </w:p>
        </w:tc>
        <w:tc>
          <w:tcPr>
            <w:tcW w:w="1842" w:type="dxa"/>
          </w:tcPr>
          <w:p w14:paraId="25968EF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1517 ± 90.02</w:t>
            </w:r>
          </w:p>
        </w:tc>
        <w:tc>
          <w:tcPr>
            <w:tcW w:w="2126" w:type="dxa"/>
          </w:tcPr>
          <w:p w14:paraId="1BF7FE90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0.1572</w:t>
            </w:r>
          </w:p>
        </w:tc>
      </w:tr>
      <w:tr w:rsidR="00A62FBC" w:rsidRPr="00A62FBC" w14:paraId="331A5019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985FB0" w14:textId="77777777" w:rsidR="00A62FBC" w:rsidRPr="00A62FBC" w:rsidRDefault="00A62FBC" w:rsidP="00A62FBC">
            <w:pPr>
              <w:spacing w:before="0" w:after="0" w:line="276" w:lineRule="auto"/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-</w:t>
            </w:r>
            <w:r w:rsidRPr="00A62FBC">
              <w:rPr>
                <w:rFonts w:eastAsia="Calibri"/>
                <w:sz w:val="20"/>
                <w:szCs w:val="20"/>
              </w:rPr>
              <w:t>CD56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CD16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+</w:t>
            </w:r>
            <w:r w:rsidRPr="00A62FBC">
              <w:rPr>
                <w:rFonts w:eastAsia="Calibri"/>
                <w:sz w:val="20"/>
                <w:szCs w:val="20"/>
              </w:rPr>
              <w:t>CD39 MFI</w:t>
            </w:r>
          </w:p>
        </w:tc>
        <w:tc>
          <w:tcPr>
            <w:tcW w:w="1843" w:type="dxa"/>
          </w:tcPr>
          <w:p w14:paraId="339BB596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1959 ± 128.4</w:t>
            </w:r>
          </w:p>
        </w:tc>
        <w:tc>
          <w:tcPr>
            <w:tcW w:w="1842" w:type="dxa"/>
          </w:tcPr>
          <w:p w14:paraId="7791FC61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1994 ± 135.0</w:t>
            </w:r>
          </w:p>
        </w:tc>
        <w:tc>
          <w:tcPr>
            <w:tcW w:w="2126" w:type="dxa"/>
          </w:tcPr>
          <w:p w14:paraId="368BFA9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0.8848</w:t>
            </w:r>
          </w:p>
        </w:tc>
      </w:tr>
      <w:tr w:rsidR="00A62FBC" w:rsidRPr="00A62FBC" w14:paraId="2A037BE5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7F9A9D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eATP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(ng/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15B301C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212.3 ± 19.11</w:t>
            </w:r>
          </w:p>
        </w:tc>
        <w:tc>
          <w:tcPr>
            <w:tcW w:w="1842" w:type="dxa"/>
          </w:tcPr>
          <w:p w14:paraId="4251690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218.9 ± 17.53</w:t>
            </w:r>
          </w:p>
        </w:tc>
        <w:tc>
          <w:tcPr>
            <w:tcW w:w="2126" w:type="dxa"/>
          </w:tcPr>
          <w:p w14:paraId="4838117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0.5858</w:t>
            </w:r>
          </w:p>
        </w:tc>
      </w:tr>
      <w:tr w:rsidR="00A62FBC" w:rsidRPr="00A62FBC" w14:paraId="3DE6611B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B4BC5B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CD14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 xml:space="preserve">+ </w:t>
            </w:r>
            <w:r w:rsidRPr="00A62FBC">
              <w:rPr>
                <w:rFonts w:eastAsia="Calibri"/>
                <w:sz w:val="20"/>
                <w:szCs w:val="20"/>
              </w:rPr>
              <w:t>NLRP3 MFI</w:t>
            </w:r>
          </w:p>
        </w:tc>
        <w:tc>
          <w:tcPr>
            <w:tcW w:w="1843" w:type="dxa"/>
          </w:tcPr>
          <w:p w14:paraId="4AAAE9CA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1.834 ± 0.07642</w:t>
            </w:r>
          </w:p>
        </w:tc>
        <w:tc>
          <w:tcPr>
            <w:tcW w:w="1842" w:type="dxa"/>
          </w:tcPr>
          <w:p w14:paraId="19D7D875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1.987 ± 0.1336</w:t>
            </w:r>
          </w:p>
        </w:tc>
        <w:tc>
          <w:tcPr>
            <w:tcW w:w="2126" w:type="dxa"/>
          </w:tcPr>
          <w:p w14:paraId="0897AD77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0.3483</w:t>
            </w:r>
          </w:p>
        </w:tc>
      </w:tr>
      <w:tr w:rsidR="00A62FBC" w:rsidRPr="00A62FBC" w14:paraId="76395552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282F76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62FBC">
              <w:rPr>
                <w:rFonts w:eastAsia="Calibri"/>
                <w:sz w:val="20"/>
                <w:szCs w:val="20"/>
                <w:lang w:val="en-US"/>
              </w:rPr>
              <w:t>C-reactive protein (mg/L)</w:t>
            </w:r>
          </w:p>
        </w:tc>
        <w:tc>
          <w:tcPr>
            <w:tcW w:w="1843" w:type="dxa"/>
          </w:tcPr>
          <w:p w14:paraId="02B195D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78.51 ± 8.939</w:t>
            </w:r>
          </w:p>
        </w:tc>
        <w:tc>
          <w:tcPr>
            <w:tcW w:w="1842" w:type="dxa"/>
          </w:tcPr>
          <w:p w14:paraId="71CF0A83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19.56 ± 4.126</w:t>
            </w:r>
          </w:p>
        </w:tc>
        <w:tc>
          <w:tcPr>
            <w:tcW w:w="2126" w:type="dxa"/>
          </w:tcPr>
          <w:p w14:paraId="2ED32B85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&lt;0.0001****</w:t>
            </w:r>
          </w:p>
        </w:tc>
      </w:tr>
      <w:tr w:rsidR="00A62FBC" w:rsidRPr="00A62FBC" w14:paraId="6E5FA14D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8B19FC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Ferritin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(mg/L)</w:t>
            </w:r>
          </w:p>
        </w:tc>
        <w:tc>
          <w:tcPr>
            <w:tcW w:w="1843" w:type="dxa"/>
          </w:tcPr>
          <w:p w14:paraId="4370A14D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894.8 ± 162.1</w:t>
            </w:r>
          </w:p>
        </w:tc>
        <w:tc>
          <w:tcPr>
            <w:tcW w:w="1842" w:type="dxa"/>
          </w:tcPr>
          <w:p w14:paraId="52E8EF1F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630.5 ± 84.49</w:t>
            </w:r>
          </w:p>
        </w:tc>
        <w:tc>
          <w:tcPr>
            <w:tcW w:w="2126" w:type="dxa"/>
          </w:tcPr>
          <w:p w14:paraId="4D2A6488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0.0330*</w:t>
            </w:r>
          </w:p>
        </w:tc>
      </w:tr>
      <w:tr w:rsidR="00A62FBC" w:rsidRPr="00A62FBC" w14:paraId="406EE2BA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BF664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IL-1β (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6E8380F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146 ± 87.71</w:t>
            </w:r>
          </w:p>
        </w:tc>
        <w:tc>
          <w:tcPr>
            <w:tcW w:w="1842" w:type="dxa"/>
          </w:tcPr>
          <w:p w14:paraId="45BBA091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31.67 ± 7.990</w:t>
            </w:r>
          </w:p>
        </w:tc>
        <w:tc>
          <w:tcPr>
            <w:tcW w:w="2126" w:type="dxa"/>
          </w:tcPr>
          <w:p w14:paraId="4A0BC419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0.0104*</w:t>
            </w:r>
          </w:p>
        </w:tc>
      </w:tr>
      <w:tr w:rsidR="00A62FBC" w:rsidRPr="00A62FBC" w14:paraId="63130943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FCC5C5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IL-6 (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43C0C5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15.84 ± 8.703</w:t>
            </w:r>
          </w:p>
        </w:tc>
        <w:tc>
          <w:tcPr>
            <w:tcW w:w="1842" w:type="dxa"/>
          </w:tcPr>
          <w:p w14:paraId="5EB2C737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1.412 ± 0.5005</w:t>
            </w:r>
          </w:p>
        </w:tc>
        <w:tc>
          <w:tcPr>
            <w:tcW w:w="2126" w:type="dxa"/>
          </w:tcPr>
          <w:p w14:paraId="0B915FC0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0.0095 **</w:t>
            </w:r>
          </w:p>
        </w:tc>
      </w:tr>
      <w:tr w:rsidR="00A62FBC" w:rsidRPr="00A62FBC" w14:paraId="545DF276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57383D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TF (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9156163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102.9 ± 6.389</w:t>
            </w:r>
          </w:p>
        </w:tc>
        <w:tc>
          <w:tcPr>
            <w:tcW w:w="1842" w:type="dxa"/>
          </w:tcPr>
          <w:p w14:paraId="7445FC16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98.17 ± 6.138</w:t>
            </w:r>
          </w:p>
        </w:tc>
        <w:tc>
          <w:tcPr>
            <w:tcW w:w="2126" w:type="dxa"/>
          </w:tcPr>
          <w:p w14:paraId="3BE4D220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0.2940</w:t>
            </w:r>
          </w:p>
        </w:tc>
      </w:tr>
      <w:tr w:rsidR="00A62FBC" w:rsidRPr="00A62FBC" w14:paraId="3E0A7E6E" w14:textId="77777777" w:rsidTr="00891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2B74BB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CD40L (ng/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529F7F0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0.7186 ± 0.06912</w:t>
            </w:r>
          </w:p>
        </w:tc>
        <w:tc>
          <w:tcPr>
            <w:tcW w:w="1842" w:type="dxa"/>
          </w:tcPr>
          <w:p w14:paraId="56196909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0.9030 ± 0.09906</w:t>
            </w:r>
          </w:p>
        </w:tc>
        <w:tc>
          <w:tcPr>
            <w:tcW w:w="2126" w:type="dxa"/>
          </w:tcPr>
          <w:p w14:paraId="27DF569D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0.1264</w:t>
            </w:r>
          </w:p>
        </w:tc>
      </w:tr>
    </w:tbl>
    <w:p w14:paraId="365A9297" w14:textId="77777777" w:rsidR="00A62FBC" w:rsidRPr="00A62FBC" w:rsidRDefault="00A62FBC" w:rsidP="00A62FBC">
      <w:pPr>
        <w:spacing w:before="240" w:after="0"/>
      </w:pPr>
      <w:r w:rsidRPr="00A62FBC">
        <w:rPr>
          <w:bCs/>
        </w:rPr>
        <w:t>Comparisons were made by Wilcoxon matched-pairs signed rank test; P-values are shown.</w:t>
      </w:r>
    </w:p>
    <w:p w14:paraId="7B65BC41" w14:textId="684DFF71" w:rsidR="00DE23E8" w:rsidRDefault="00DE23E8" w:rsidP="00654E8F">
      <w:pPr>
        <w:spacing w:before="240"/>
      </w:pPr>
    </w:p>
    <w:p w14:paraId="78E2670C" w14:textId="0710103E" w:rsidR="00A62FBC" w:rsidRPr="00A62FBC" w:rsidRDefault="008C730B" w:rsidP="00A62FBC">
      <w:pPr>
        <w:spacing w:before="240"/>
        <w:rPr>
          <w:b/>
        </w:rPr>
      </w:pPr>
      <w:r>
        <w:rPr>
          <w:b/>
          <w:bCs/>
        </w:rPr>
        <w:t>Supplementary</w:t>
      </w:r>
      <w:r w:rsidR="00A62FBC" w:rsidRPr="00A62FBC">
        <w:rPr>
          <w:b/>
          <w:bCs/>
        </w:rPr>
        <w:t xml:space="preserve"> </w:t>
      </w:r>
      <w:r w:rsidR="00A62FBC" w:rsidRPr="00A62FBC">
        <w:rPr>
          <w:b/>
        </w:rPr>
        <w:t xml:space="preserve">Table 4. </w:t>
      </w:r>
      <w:r w:rsidR="00A62FBC" w:rsidRPr="00A62FBC">
        <w:rPr>
          <w:bCs/>
        </w:rPr>
        <w:t>ELISA kits used in the study</w:t>
      </w:r>
    </w:p>
    <w:tbl>
      <w:tblPr>
        <w:tblStyle w:val="Tablanormal213"/>
        <w:tblW w:w="8755" w:type="dxa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1984"/>
      </w:tblGrid>
      <w:tr w:rsidR="00A62FBC" w:rsidRPr="00A62FBC" w14:paraId="4692353F" w14:textId="77777777" w:rsidTr="00891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17E0E052" w14:textId="77777777" w:rsidR="00A62FBC" w:rsidRPr="00A62FBC" w:rsidRDefault="00A62FBC" w:rsidP="00A62FBC">
            <w:pPr>
              <w:spacing w:before="0" w:after="0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ELISA target</w:t>
            </w:r>
          </w:p>
        </w:tc>
        <w:tc>
          <w:tcPr>
            <w:tcW w:w="2977" w:type="dxa"/>
            <w:vAlign w:val="center"/>
          </w:tcPr>
          <w:p w14:paraId="290A65E2" w14:textId="77777777" w:rsidR="00A62FBC" w:rsidRPr="00A62FBC" w:rsidRDefault="00A62FBC" w:rsidP="00A62FBC">
            <w:pPr>
              <w:spacing w:before="0" w:after="0"/>
              <w:ind w:right="-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A62FBC">
              <w:rPr>
                <w:rFonts w:eastAsia="Times New Roman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2410" w:type="dxa"/>
            <w:vAlign w:val="center"/>
          </w:tcPr>
          <w:p w14:paraId="0EF35C81" w14:textId="77777777" w:rsidR="00A62FBC" w:rsidRPr="00A62FBC" w:rsidRDefault="00A62FBC" w:rsidP="00A62FBC">
            <w:pPr>
              <w:spacing w:before="0" w:after="0"/>
              <w:ind w:right="-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984" w:type="dxa"/>
            <w:vAlign w:val="center"/>
          </w:tcPr>
          <w:p w14:paraId="29308CB1" w14:textId="77777777" w:rsidR="00A62FBC" w:rsidRPr="00A62FBC" w:rsidRDefault="00A62FBC" w:rsidP="00A62FBC">
            <w:pPr>
              <w:spacing w:before="0" w:after="0"/>
              <w:ind w:right="-1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Detection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limit</w:t>
            </w:r>
            <w:proofErr w:type="spellEnd"/>
          </w:p>
        </w:tc>
      </w:tr>
      <w:tr w:rsidR="00A62FBC" w:rsidRPr="00A62FBC" w14:paraId="04E670D6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72118EA5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CD39</w:t>
            </w:r>
          </w:p>
        </w:tc>
        <w:tc>
          <w:tcPr>
            <w:tcW w:w="2977" w:type="dxa"/>
            <w:vAlign w:val="center"/>
          </w:tcPr>
          <w:p w14:paraId="269A4B33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CUSABIO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technology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, USA</w:t>
            </w:r>
          </w:p>
        </w:tc>
        <w:tc>
          <w:tcPr>
            <w:tcW w:w="2410" w:type="dxa"/>
            <w:vAlign w:val="center"/>
          </w:tcPr>
          <w:p w14:paraId="0843B5BA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CSB-EL007690</w:t>
            </w:r>
          </w:p>
        </w:tc>
        <w:tc>
          <w:tcPr>
            <w:tcW w:w="1984" w:type="dxa"/>
            <w:vAlign w:val="center"/>
          </w:tcPr>
          <w:p w14:paraId="289F5E03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23.44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  <w:tr w:rsidR="00A62FBC" w:rsidRPr="00A62FBC" w14:paraId="43AFD209" w14:textId="77777777" w:rsidTr="00891E4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178369C2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TF</w:t>
            </w:r>
          </w:p>
        </w:tc>
        <w:tc>
          <w:tcPr>
            <w:tcW w:w="2977" w:type="dxa"/>
            <w:vAlign w:val="center"/>
          </w:tcPr>
          <w:p w14:paraId="277CEACE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CUSABIO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technology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, USA</w:t>
            </w:r>
          </w:p>
        </w:tc>
        <w:tc>
          <w:tcPr>
            <w:tcW w:w="2410" w:type="dxa"/>
            <w:vAlign w:val="center"/>
          </w:tcPr>
          <w:p w14:paraId="7E48A491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CSB-E07913h</w:t>
            </w:r>
          </w:p>
        </w:tc>
        <w:tc>
          <w:tcPr>
            <w:tcW w:w="1984" w:type="dxa"/>
            <w:vAlign w:val="center"/>
          </w:tcPr>
          <w:p w14:paraId="43DE56AC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3.12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pg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  <w:tr w:rsidR="00A62FBC" w:rsidRPr="00A62FBC" w14:paraId="7C58DF2F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4B197D09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CD40L</w:t>
            </w:r>
          </w:p>
        </w:tc>
        <w:tc>
          <w:tcPr>
            <w:tcW w:w="2977" w:type="dxa"/>
            <w:vAlign w:val="center"/>
          </w:tcPr>
          <w:p w14:paraId="2BDE8CF9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Invitrogen, Austria</w:t>
            </w:r>
          </w:p>
        </w:tc>
        <w:tc>
          <w:tcPr>
            <w:tcW w:w="2410" w:type="dxa"/>
            <w:vAlign w:val="center"/>
          </w:tcPr>
          <w:p w14:paraId="13D309F8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BMS293</w:t>
            </w:r>
          </w:p>
        </w:tc>
        <w:tc>
          <w:tcPr>
            <w:tcW w:w="1984" w:type="dxa"/>
            <w:vAlign w:val="center"/>
          </w:tcPr>
          <w:p w14:paraId="22323CF2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0.06 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  <w:tr w:rsidR="00A62FBC" w:rsidRPr="00A62FBC" w14:paraId="3AC3F8F7" w14:textId="77777777" w:rsidTr="00891E4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78771504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ATP</w:t>
            </w:r>
          </w:p>
        </w:tc>
        <w:tc>
          <w:tcPr>
            <w:tcW w:w="2977" w:type="dxa"/>
            <w:vAlign w:val="center"/>
          </w:tcPr>
          <w:p w14:paraId="0B6E3FE7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Cloud Clone, USA</w:t>
            </w:r>
          </w:p>
        </w:tc>
        <w:tc>
          <w:tcPr>
            <w:tcW w:w="2410" w:type="dxa"/>
            <w:vAlign w:val="center"/>
          </w:tcPr>
          <w:p w14:paraId="1F9647BA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CEA349GE</w:t>
            </w:r>
          </w:p>
        </w:tc>
        <w:tc>
          <w:tcPr>
            <w:tcW w:w="1984" w:type="dxa"/>
            <w:vAlign w:val="center"/>
          </w:tcPr>
          <w:p w14:paraId="634A76FF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5.25 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  <w:tr w:rsidR="00A62FBC" w:rsidRPr="00A62FBC" w14:paraId="50B9EADA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0B32FDE4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ADP</w:t>
            </w:r>
          </w:p>
        </w:tc>
        <w:tc>
          <w:tcPr>
            <w:tcW w:w="2977" w:type="dxa"/>
            <w:vAlign w:val="center"/>
          </w:tcPr>
          <w:p w14:paraId="3E42C55B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MyBioSource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, USA</w:t>
            </w:r>
          </w:p>
        </w:tc>
        <w:tc>
          <w:tcPr>
            <w:tcW w:w="2410" w:type="dxa"/>
            <w:vAlign w:val="center"/>
          </w:tcPr>
          <w:p w14:paraId="229A105F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MBS263784</w:t>
            </w:r>
          </w:p>
        </w:tc>
        <w:tc>
          <w:tcPr>
            <w:tcW w:w="1984" w:type="dxa"/>
            <w:vAlign w:val="center"/>
          </w:tcPr>
          <w:p w14:paraId="0B72DDF6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0.31 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  <w:tr w:rsidR="00A62FBC" w:rsidRPr="00A62FBC" w14:paraId="30E5759B" w14:textId="77777777" w:rsidTr="00891E4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</w:tcPr>
          <w:p w14:paraId="077387CA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ADO</w:t>
            </w:r>
          </w:p>
        </w:tc>
        <w:tc>
          <w:tcPr>
            <w:tcW w:w="2977" w:type="dxa"/>
            <w:vAlign w:val="center"/>
          </w:tcPr>
          <w:p w14:paraId="762CF4A5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MyBioSource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>, USA</w:t>
            </w:r>
          </w:p>
        </w:tc>
        <w:tc>
          <w:tcPr>
            <w:tcW w:w="2410" w:type="dxa"/>
            <w:vAlign w:val="center"/>
          </w:tcPr>
          <w:p w14:paraId="35B25AD9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MBS 2605344</w:t>
            </w:r>
          </w:p>
        </w:tc>
        <w:tc>
          <w:tcPr>
            <w:tcW w:w="1984" w:type="dxa"/>
            <w:vAlign w:val="center"/>
          </w:tcPr>
          <w:p w14:paraId="165408E2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0.5 ng/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mL</w:t>
            </w:r>
            <w:proofErr w:type="spellEnd"/>
          </w:p>
        </w:tc>
      </w:tr>
    </w:tbl>
    <w:p w14:paraId="494DCC0F" w14:textId="77777777" w:rsidR="00A62FBC" w:rsidRDefault="00A62FBC" w:rsidP="00A62FBC">
      <w:pPr>
        <w:spacing w:before="240"/>
        <w:rPr>
          <w:b/>
        </w:rPr>
      </w:pPr>
    </w:p>
    <w:p w14:paraId="210905A0" w14:textId="0D97E2C3" w:rsidR="00A62FBC" w:rsidRPr="00A62FBC" w:rsidRDefault="008C730B" w:rsidP="00A62FBC">
      <w:pPr>
        <w:spacing w:before="240"/>
        <w:rPr>
          <w:b/>
        </w:rPr>
      </w:pPr>
      <w:r>
        <w:rPr>
          <w:b/>
        </w:rPr>
        <w:t>Supplementary</w:t>
      </w:r>
      <w:r w:rsidR="00A62FBC" w:rsidRPr="00A62FBC">
        <w:rPr>
          <w:b/>
        </w:rPr>
        <w:t xml:space="preserve"> Table 5. </w:t>
      </w:r>
      <w:r w:rsidR="00A62FBC" w:rsidRPr="00A62FBC">
        <w:rPr>
          <w:bCs/>
        </w:rPr>
        <w:t>qPCR Primer sequences used in the study</w:t>
      </w:r>
    </w:p>
    <w:tbl>
      <w:tblPr>
        <w:tblStyle w:val="Tablanormal214"/>
        <w:tblW w:w="8789" w:type="dxa"/>
        <w:tblLook w:val="04A0" w:firstRow="1" w:lastRow="0" w:firstColumn="1" w:lastColumn="0" w:noHBand="0" w:noVBand="1"/>
      </w:tblPr>
      <w:tblGrid>
        <w:gridCol w:w="1413"/>
        <w:gridCol w:w="2977"/>
        <w:gridCol w:w="4399"/>
      </w:tblGrid>
      <w:tr w:rsidR="00A62FBC" w:rsidRPr="00A62FBC" w14:paraId="04788CDF" w14:textId="77777777" w:rsidTr="00891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  <w:hideMark/>
          </w:tcPr>
          <w:p w14:paraId="0A7E60A4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bCs w:val="0"/>
                <w:sz w:val="20"/>
                <w:szCs w:val="20"/>
              </w:rPr>
              <w:t>CD39</w:t>
            </w:r>
          </w:p>
        </w:tc>
        <w:tc>
          <w:tcPr>
            <w:tcW w:w="2977" w:type="dxa"/>
            <w:noWrap/>
            <w:hideMark/>
          </w:tcPr>
          <w:p w14:paraId="2D4E270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b w:val="0"/>
                <w:bCs w:val="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  <w:hideMark/>
          </w:tcPr>
          <w:p w14:paraId="2A3D15C2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sz w:val="20"/>
                <w:szCs w:val="20"/>
              </w:rPr>
            </w:pPr>
            <w:r w:rsidRPr="00A62FBC">
              <w:rPr>
                <w:rFonts w:eastAsia="Calibri"/>
                <w:b w:val="0"/>
                <w:sz w:val="20"/>
                <w:szCs w:val="20"/>
              </w:rPr>
              <w:t>TCGCCTCTATGGCAAGGACTAC</w:t>
            </w:r>
          </w:p>
        </w:tc>
      </w:tr>
      <w:tr w:rsidR="00A62FBC" w:rsidRPr="00A62FBC" w14:paraId="0A76389E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14:paraId="1FC0EEE0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Calibri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noWrap/>
            <w:hideMark/>
          </w:tcPr>
          <w:p w14:paraId="4798D321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  <w:hideMark/>
          </w:tcPr>
          <w:p w14:paraId="4CE864F7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TCCAGGATGAAAGCATGGGTCC</w:t>
            </w:r>
          </w:p>
        </w:tc>
      </w:tr>
      <w:tr w:rsidR="00A62FBC" w:rsidRPr="00A62FBC" w14:paraId="53167973" w14:textId="77777777" w:rsidTr="00891E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</w:tcPr>
          <w:p w14:paraId="7466B38D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bCs w:val="0"/>
                <w:color w:val="000000"/>
                <w:sz w:val="20"/>
                <w:szCs w:val="20"/>
              </w:rPr>
              <w:t>RIG-I</w:t>
            </w:r>
          </w:p>
        </w:tc>
        <w:tc>
          <w:tcPr>
            <w:tcW w:w="2977" w:type="dxa"/>
            <w:noWrap/>
          </w:tcPr>
          <w:p w14:paraId="2303243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</w:tcPr>
          <w:p w14:paraId="4A91B696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ATGTGGGCAATGTCATCAAA</w:t>
            </w:r>
          </w:p>
        </w:tc>
      </w:tr>
      <w:tr w:rsidR="00A62FBC" w:rsidRPr="00A62FBC" w14:paraId="6077C525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203E0C44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</w:tcPr>
          <w:p w14:paraId="07695E3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</w:tcPr>
          <w:p w14:paraId="7050A285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GAAGCACTTGCTACCTCTTGC</w:t>
            </w:r>
          </w:p>
        </w:tc>
      </w:tr>
      <w:tr w:rsidR="00A62FBC" w:rsidRPr="00A62FBC" w14:paraId="3B450AD3" w14:textId="77777777" w:rsidTr="00891E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  <w:hideMark/>
          </w:tcPr>
          <w:p w14:paraId="6DD30DF5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bCs w:val="0"/>
                <w:color w:val="000000"/>
                <w:sz w:val="20"/>
                <w:szCs w:val="20"/>
              </w:rPr>
              <w:t>IRF-3</w:t>
            </w:r>
          </w:p>
        </w:tc>
        <w:tc>
          <w:tcPr>
            <w:tcW w:w="2977" w:type="dxa"/>
            <w:noWrap/>
            <w:hideMark/>
          </w:tcPr>
          <w:p w14:paraId="54CB50F6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  <w:hideMark/>
          </w:tcPr>
          <w:p w14:paraId="16EDC902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GGCTCGTGATGGTCAAGGTT</w:t>
            </w:r>
          </w:p>
        </w:tc>
      </w:tr>
      <w:tr w:rsidR="00A62FBC" w:rsidRPr="00A62FBC" w14:paraId="5A6492D3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14:paraId="62BD03DC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hideMark/>
          </w:tcPr>
          <w:p w14:paraId="084A0C81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  <w:hideMark/>
          </w:tcPr>
          <w:p w14:paraId="1BCE74D3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CATGCCCTCCACCAAGTCCT</w:t>
            </w:r>
          </w:p>
        </w:tc>
      </w:tr>
      <w:tr w:rsidR="00A62FBC" w:rsidRPr="00A62FBC" w14:paraId="2F223CF7" w14:textId="77777777" w:rsidTr="00891E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  <w:hideMark/>
          </w:tcPr>
          <w:p w14:paraId="5F619020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bCs w:val="0"/>
                <w:color w:val="000000"/>
                <w:sz w:val="20"/>
                <w:szCs w:val="20"/>
              </w:rPr>
              <w:t>MAVS</w:t>
            </w:r>
          </w:p>
        </w:tc>
        <w:tc>
          <w:tcPr>
            <w:tcW w:w="2977" w:type="dxa"/>
            <w:noWrap/>
            <w:hideMark/>
          </w:tcPr>
          <w:p w14:paraId="3CE315E9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  <w:hideMark/>
          </w:tcPr>
          <w:p w14:paraId="6ECC4FE7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CAGGCCGAGCCTATCATCTG</w:t>
            </w:r>
          </w:p>
        </w:tc>
      </w:tr>
      <w:tr w:rsidR="00A62FBC" w:rsidRPr="00A62FBC" w14:paraId="14F2543B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14:paraId="4F89A6DF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hideMark/>
          </w:tcPr>
          <w:p w14:paraId="6ED39C5D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  <w:hideMark/>
          </w:tcPr>
          <w:p w14:paraId="47229671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GGGCTTTGAGCTAGTTGGCA</w:t>
            </w:r>
          </w:p>
        </w:tc>
      </w:tr>
      <w:tr w:rsidR="00A62FBC" w:rsidRPr="00A62FBC" w14:paraId="7EFBAA84" w14:textId="77777777" w:rsidTr="00891E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  <w:hideMark/>
          </w:tcPr>
          <w:p w14:paraId="2F96137B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bCs w:val="0"/>
                <w:color w:val="000000"/>
                <w:sz w:val="20"/>
                <w:szCs w:val="20"/>
              </w:rPr>
              <w:t>HIF-1α</w:t>
            </w:r>
          </w:p>
        </w:tc>
        <w:tc>
          <w:tcPr>
            <w:tcW w:w="2977" w:type="dxa"/>
            <w:noWrap/>
            <w:hideMark/>
          </w:tcPr>
          <w:p w14:paraId="2B762A6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  <w:hideMark/>
          </w:tcPr>
          <w:p w14:paraId="6F468225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TTCCAGTTACGTTCCTTCGATCA</w:t>
            </w:r>
          </w:p>
        </w:tc>
      </w:tr>
      <w:tr w:rsidR="00A62FBC" w:rsidRPr="00A62FBC" w14:paraId="29A83BEC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  <w:hideMark/>
          </w:tcPr>
          <w:p w14:paraId="17C98B82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hideMark/>
          </w:tcPr>
          <w:p w14:paraId="29F9AFF4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  <w:hideMark/>
          </w:tcPr>
          <w:p w14:paraId="6ADFE02E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TTTGAGGACTTGCGCTTTCA</w:t>
            </w:r>
          </w:p>
        </w:tc>
      </w:tr>
      <w:tr w:rsidR="00A62FBC" w:rsidRPr="00A62FBC" w14:paraId="409613A9" w14:textId="77777777" w:rsidTr="00891E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noWrap/>
            <w:vAlign w:val="center"/>
            <w:hideMark/>
          </w:tcPr>
          <w:p w14:paraId="360FA646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bCs w:val="0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bCs w:val="0"/>
                <w:color w:val="000000"/>
                <w:sz w:val="20"/>
                <w:szCs w:val="20"/>
              </w:rPr>
              <w:t>CD73</w:t>
            </w:r>
          </w:p>
        </w:tc>
        <w:tc>
          <w:tcPr>
            <w:tcW w:w="2977" w:type="dxa"/>
            <w:noWrap/>
            <w:hideMark/>
          </w:tcPr>
          <w:p w14:paraId="116AA798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Forward primer</w:t>
            </w:r>
          </w:p>
        </w:tc>
        <w:tc>
          <w:tcPr>
            <w:tcW w:w="4399" w:type="dxa"/>
            <w:noWrap/>
            <w:hideMark/>
          </w:tcPr>
          <w:p w14:paraId="43AC35B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TATTGCACTGGGACATTCG</w:t>
            </w:r>
          </w:p>
        </w:tc>
      </w:tr>
      <w:tr w:rsidR="00A62FBC" w:rsidRPr="00A62FBC" w14:paraId="45E180C6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hideMark/>
          </w:tcPr>
          <w:p w14:paraId="587D143B" w14:textId="77777777" w:rsidR="00A62FBC" w:rsidRPr="00A62FBC" w:rsidRDefault="00A62FBC" w:rsidP="00A62FBC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hideMark/>
          </w:tcPr>
          <w:p w14:paraId="517E1378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Reverse primer</w:t>
            </w:r>
          </w:p>
        </w:tc>
        <w:tc>
          <w:tcPr>
            <w:tcW w:w="4399" w:type="dxa"/>
            <w:noWrap/>
            <w:hideMark/>
          </w:tcPr>
          <w:p w14:paraId="6CBDBBFB" w14:textId="77777777" w:rsidR="00A62FBC" w:rsidRPr="00A62FBC" w:rsidRDefault="00A62FBC" w:rsidP="00A62FBC">
            <w:pPr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A62FBC">
              <w:rPr>
                <w:rFonts w:eastAsia="Times New Roman"/>
                <w:color w:val="000000"/>
                <w:sz w:val="20"/>
                <w:szCs w:val="20"/>
              </w:rPr>
              <w:t>CCCATCATCAGAAGTGACTATG</w:t>
            </w:r>
          </w:p>
        </w:tc>
      </w:tr>
    </w:tbl>
    <w:p w14:paraId="134D9388" w14:textId="6F771A11" w:rsidR="00A62FBC" w:rsidRDefault="00A62FBC" w:rsidP="00654E8F">
      <w:pPr>
        <w:spacing w:before="240"/>
      </w:pPr>
    </w:p>
    <w:p w14:paraId="15617675" w14:textId="1DEC294F" w:rsidR="00A62FBC" w:rsidRPr="00A62FBC" w:rsidRDefault="008C730B" w:rsidP="00A62FBC">
      <w:pPr>
        <w:spacing w:before="240"/>
        <w:rPr>
          <w:b/>
        </w:rPr>
      </w:pPr>
      <w:r>
        <w:rPr>
          <w:b/>
        </w:rPr>
        <w:t>Supplementary</w:t>
      </w:r>
      <w:r w:rsidR="00A62FBC" w:rsidRPr="00A62FBC">
        <w:rPr>
          <w:b/>
        </w:rPr>
        <w:t xml:space="preserve"> Table 6. </w:t>
      </w:r>
      <w:r w:rsidR="00A62FBC" w:rsidRPr="00A62FBC">
        <w:rPr>
          <w:bCs/>
        </w:rPr>
        <w:t>Flow cytometry anti-human antibodies used in the study</w:t>
      </w:r>
    </w:p>
    <w:tbl>
      <w:tblPr>
        <w:tblStyle w:val="Tablanormal215"/>
        <w:tblW w:w="8650" w:type="dxa"/>
        <w:jc w:val="center"/>
        <w:tblLook w:val="04A0" w:firstRow="1" w:lastRow="0" w:firstColumn="1" w:lastColumn="0" w:noHBand="0" w:noVBand="1"/>
      </w:tblPr>
      <w:tblGrid>
        <w:gridCol w:w="2263"/>
        <w:gridCol w:w="1990"/>
        <w:gridCol w:w="2277"/>
        <w:gridCol w:w="2120"/>
      </w:tblGrid>
      <w:tr w:rsidR="00A62FBC" w:rsidRPr="00A62FBC" w14:paraId="526906E7" w14:textId="77777777" w:rsidTr="00891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F939C5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Target</w:t>
            </w:r>
          </w:p>
        </w:tc>
        <w:tc>
          <w:tcPr>
            <w:tcW w:w="1990" w:type="dxa"/>
          </w:tcPr>
          <w:p w14:paraId="042A165C" w14:textId="77777777" w:rsidR="00A62FBC" w:rsidRPr="00A62FBC" w:rsidRDefault="00A62FBC" w:rsidP="00A62FB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Fluorochrome</w:t>
            </w:r>
            <w:proofErr w:type="spellEnd"/>
          </w:p>
        </w:tc>
        <w:tc>
          <w:tcPr>
            <w:tcW w:w="2277" w:type="dxa"/>
          </w:tcPr>
          <w:p w14:paraId="5DA86817" w14:textId="77777777" w:rsidR="00A62FBC" w:rsidRPr="00A62FBC" w:rsidRDefault="00A62FBC" w:rsidP="00A62FB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2120" w:type="dxa"/>
          </w:tcPr>
          <w:p w14:paraId="20AE1BB1" w14:textId="77777777" w:rsidR="00A62FBC" w:rsidRPr="00A62FBC" w:rsidRDefault="00A62FBC" w:rsidP="00A62FB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Reference</w:t>
            </w:r>
          </w:p>
        </w:tc>
      </w:tr>
      <w:tr w:rsidR="00A62FBC" w:rsidRPr="00A62FBC" w14:paraId="3750B093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3AAF33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CD39</w:t>
            </w:r>
          </w:p>
        </w:tc>
        <w:tc>
          <w:tcPr>
            <w:tcW w:w="1990" w:type="dxa"/>
          </w:tcPr>
          <w:p w14:paraId="406004DB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BB515</w:t>
            </w:r>
          </w:p>
        </w:tc>
        <w:tc>
          <w:tcPr>
            <w:tcW w:w="2277" w:type="dxa"/>
          </w:tcPr>
          <w:p w14:paraId="3EA70A6B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294781F1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565469</w:t>
            </w:r>
          </w:p>
        </w:tc>
      </w:tr>
      <w:tr w:rsidR="00A62FBC" w:rsidRPr="00A62FBC" w14:paraId="0036D80D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D92CFD2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CD3</w:t>
            </w:r>
          </w:p>
        </w:tc>
        <w:tc>
          <w:tcPr>
            <w:tcW w:w="1990" w:type="dxa"/>
          </w:tcPr>
          <w:p w14:paraId="743B6BA6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BUV395</w:t>
            </w:r>
          </w:p>
        </w:tc>
        <w:tc>
          <w:tcPr>
            <w:tcW w:w="2277" w:type="dxa"/>
          </w:tcPr>
          <w:p w14:paraId="269DC0A2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0CF3CE1D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563546</w:t>
            </w:r>
          </w:p>
        </w:tc>
      </w:tr>
      <w:tr w:rsidR="00A62FBC" w:rsidRPr="00A62FBC" w14:paraId="56DE0E62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0B0FF6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CD4</w:t>
            </w:r>
          </w:p>
        </w:tc>
        <w:tc>
          <w:tcPr>
            <w:tcW w:w="1990" w:type="dxa"/>
          </w:tcPr>
          <w:p w14:paraId="6A7034C5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PerCP-Cy</w:t>
            </w:r>
            <w:r w:rsidRPr="00A62FBC">
              <w:rPr>
                <w:rFonts w:eastAsia="Calibri"/>
                <w:sz w:val="20"/>
                <w:szCs w:val="20"/>
                <w:vertAlign w:val="superscript"/>
              </w:rPr>
              <w:t>TM</w:t>
            </w:r>
            <w:r w:rsidRPr="00A62FBC">
              <w:rPr>
                <w:rFonts w:eastAsia="Calibri"/>
                <w:sz w:val="20"/>
                <w:szCs w:val="20"/>
              </w:rPr>
              <w:t>5.5</w:t>
            </w:r>
          </w:p>
        </w:tc>
        <w:tc>
          <w:tcPr>
            <w:tcW w:w="2277" w:type="dxa"/>
          </w:tcPr>
          <w:p w14:paraId="6DA56113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7C8A0B3D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566923</w:t>
            </w:r>
          </w:p>
        </w:tc>
      </w:tr>
      <w:tr w:rsidR="00A62FBC" w:rsidRPr="00A62FBC" w14:paraId="67F8A7AA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DA9CBF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CD8</w:t>
            </w:r>
          </w:p>
        </w:tc>
        <w:tc>
          <w:tcPr>
            <w:tcW w:w="1990" w:type="dxa"/>
          </w:tcPr>
          <w:p w14:paraId="20BC0861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BV711</w:t>
            </w:r>
          </w:p>
        </w:tc>
        <w:tc>
          <w:tcPr>
            <w:tcW w:w="2277" w:type="dxa"/>
          </w:tcPr>
          <w:p w14:paraId="689A4588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016A5983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563667</w:t>
            </w:r>
          </w:p>
        </w:tc>
      </w:tr>
      <w:tr w:rsidR="00A62FBC" w:rsidRPr="00A62FBC" w14:paraId="0FDA54A2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4523FD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CD56</w:t>
            </w:r>
          </w:p>
        </w:tc>
        <w:tc>
          <w:tcPr>
            <w:tcW w:w="1990" w:type="dxa"/>
          </w:tcPr>
          <w:p w14:paraId="7C82702E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BV605</w:t>
            </w:r>
          </w:p>
        </w:tc>
        <w:tc>
          <w:tcPr>
            <w:tcW w:w="2277" w:type="dxa"/>
          </w:tcPr>
          <w:p w14:paraId="33169BA8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055E5B1F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562780</w:t>
            </w:r>
          </w:p>
        </w:tc>
      </w:tr>
      <w:tr w:rsidR="00A62FBC" w:rsidRPr="00A62FBC" w14:paraId="505625D6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ED904F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CD16</w:t>
            </w:r>
          </w:p>
        </w:tc>
        <w:tc>
          <w:tcPr>
            <w:tcW w:w="1990" w:type="dxa"/>
          </w:tcPr>
          <w:p w14:paraId="45C60F26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BUV737</w:t>
            </w:r>
          </w:p>
        </w:tc>
        <w:tc>
          <w:tcPr>
            <w:tcW w:w="2277" w:type="dxa"/>
          </w:tcPr>
          <w:p w14:paraId="5A400696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654983E7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612786</w:t>
            </w:r>
          </w:p>
        </w:tc>
      </w:tr>
      <w:tr w:rsidR="00A62FBC" w:rsidRPr="00A62FBC" w14:paraId="54C295CA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F65252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CD19</w:t>
            </w:r>
          </w:p>
        </w:tc>
        <w:tc>
          <w:tcPr>
            <w:tcW w:w="1990" w:type="dxa"/>
          </w:tcPr>
          <w:p w14:paraId="6BC0C384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BV786</w:t>
            </w:r>
          </w:p>
        </w:tc>
        <w:tc>
          <w:tcPr>
            <w:tcW w:w="2277" w:type="dxa"/>
          </w:tcPr>
          <w:p w14:paraId="5D1993D7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394986BB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563325</w:t>
            </w:r>
          </w:p>
        </w:tc>
      </w:tr>
      <w:tr w:rsidR="00A62FBC" w:rsidRPr="00A62FBC" w14:paraId="1AE89473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F948C3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CD25</w:t>
            </w:r>
          </w:p>
        </w:tc>
        <w:tc>
          <w:tcPr>
            <w:tcW w:w="1990" w:type="dxa"/>
          </w:tcPr>
          <w:p w14:paraId="41694DA3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APC</w:t>
            </w:r>
          </w:p>
        </w:tc>
        <w:tc>
          <w:tcPr>
            <w:tcW w:w="2277" w:type="dxa"/>
          </w:tcPr>
          <w:p w14:paraId="7FD43629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MACS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Miltenyi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Biotec</w:t>
            </w:r>
            <w:proofErr w:type="spellEnd"/>
          </w:p>
        </w:tc>
        <w:tc>
          <w:tcPr>
            <w:tcW w:w="2120" w:type="dxa"/>
          </w:tcPr>
          <w:p w14:paraId="0B2EBBD5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130-092-856</w:t>
            </w:r>
          </w:p>
        </w:tc>
      </w:tr>
      <w:tr w:rsidR="00A62FBC" w:rsidRPr="00A62FBC" w14:paraId="77D51C84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93D0D9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Foxp3</w:t>
            </w:r>
          </w:p>
        </w:tc>
        <w:tc>
          <w:tcPr>
            <w:tcW w:w="1990" w:type="dxa"/>
          </w:tcPr>
          <w:p w14:paraId="2CC00334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PE</w:t>
            </w:r>
          </w:p>
        </w:tc>
        <w:tc>
          <w:tcPr>
            <w:tcW w:w="2277" w:type="dxa"/>
          </w:tcPr>
          <w:p w14:paraId="5D47AAB8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216D43F7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560046</w:t>
            </w:r>
          </w:p>
        </w:tc>
      </w:tr>
      <w:tr w:rsidR="00A62FBC" w:rsidRPr="00A62FBC" w14:paraId="68A74367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B3E039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CD14</w:t>
            </w:r>
          </w:p>
        </w:tc>
        <w:tc>
          <w:tcPr>
            <w:tcW w:w="1990" w:type="dxa"/>
          </w:tcPr>
          <w:p w14:paraId="20ADD6AE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APC</w:t>
            </w:r>
          </w:p>
        </w:tc>
        <w:tc>
          <w:tcPr>
            <w:tcW w:w="2277" w:type="dxa"/>
          </w:tcPr>
          <w:p w14:paraId="4811A13C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Immunostep</w:t>
            </w:r>
            <w:proofErr w:type="spellEnd"/>
          </w:p>
        </w:tc>
        <w:tc>
          <w:tcPr>
            <w:tcW w:w="2120" w:type="dxa"/>
          </w:tcPr>
          <w:p w14:paraId="67635456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14A-100T</w:t>
            </w:r>
          </w:p>
        </w:tc>
      </w:tr>
      <w:tr w:rsidR="00A62FBC" w:rsidRPr="00A62FBC" w14:paraId="69A6BB8B" w14:textId="77777777" w:rsidTr="00891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D1B04A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NLRP3</w:t>
            </w:r>
          </w:p>
        </w:tc>
        <w:tc>
          <w:tcPr>
            <w:tcW w:w="1990" w:type="dxa"/>
          </w:tcPr>
          <w:p w14:paraId="4E64F9F9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PE</w:t>
            </w:r>
          </w:p>
        </w:tc>
        <w:tc>
          <w:tcPr>
            <w:tcW w:w="2277" w:type="dxa"/>
          </w:tcPr>
          <w:p w14:paraId="12D69F4D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 xml:space="preserve">MACS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Miltenyi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Biotec</w:t>
            </w:r>
            <w:proofErr w:type="spellEnd"/>
          </w:p>
        </w:tc>
        <w:tc>
          <w:tcPr>
            <w:tcW w:w="2120" w:type="dxa"/>
          </w:tcPr>
          <w:p w14:paraId="4EA9F848" w14:textId="77777777" w:rsidR="00A62FBC" w:rsidRPr="00A62FBC" w:rsidRDefault="00A62FBC" w:rsidP="00A62FB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130-111-209</w:t>
            </w:r>
          </w:p>
        </w:tc>
      </w:tr>
      <w:tr w:rsidR="00A62FBC" w:rsidRPr="00A62FBC" w14:paraId="72B3B2B6" w14:textId="77777777" w:rsidTr="00891E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75B816" w14:textId="77777777" w:rsidR="00A62FBC" w:rsidRPr="00A62FBC" w:rsidRDefault="00A62FBC" w:rsidP="00A62FBC">
            <w:pPr>
              <w:spacing w:before="0" w:after="0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  <w:proofErr w:type="spellStart"/>
            <w:r w:rsidRPr="00A62FBC">
              <w:rPr>
                <w:rFonts w:eastAsia="Calibri"/>
                <w:sz w:val="20"/>
                <w:szCs w:val="20"/>
              </w:rPr>
              <w:t>Fixable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viability</w:t>
            </w:r>
            <w:proofErr w:type="spellEnd"/>
            <w:r w:rsidRPr="00A62FB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stain</w:t>
            </w:r>
            <w:proofErr w:type="spellEnd"/>
          </w:p>
        </w:tc>
        <w:tc>
          <w:tcPr>
            <w:tcW w:w="1990" w:type="dxa"/>
          </w:tcPr>
          <w:p w14:paraId="0B23EFC0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FVS510</w:t>
            </w:r>
          </w:p>
        </w:tc>
        <w:tc>
          <w:tcPr>
            <w:tcW w:w="2277" w:type="dxa"/>
          </w:tcPr>
          <w:p w14:paraId="7CB13E5C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BD-</w:t>
            </w:r>
            <w:proofErr w:type="spellStart"/>
            <w:r w:rsidRPr="00A62FBC">
              <w:rPr>
                <w:rFonts w:eastAsia="Calibri"/>
                <w:sz w:val="20"/>
                <w:szCs w:val="20"/>
              </w:rPr>
              <w:t>Biosciences</w:t>
            </w:r>
            <w:proofErr w:type="spellEnd"/>
          </w:p>
        </w:tc>
        <w:tc>
          <w:tcPr>
            <w:tcW w:w="2120" w:type="dxa"/>
          </w:tcPr>
          <w:p w14:paraId="36B256AB" w14:textId="77777777" w:rsidR="00A62FBC" w:rsidRPr="00A62FBC" w:rsidRDefault="00A62FBC" w:rsidP="00A62F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A62FBC">
              <w:rPr>
                <w:rFonts w:eastAsia="Calibri"/>
                <w:sz w:val="20"/>
                <w:szCs w:val="20"/>
              </w:rPr>
              <w:t>564406</w:t>
            </w:r>
          </w:p>
        </w:tc>
      </w:tr>
    </w:tbl>
    <w:p w14:paraId="472FF1F1" w14:textId="77777777" w:rsidR="00A62FBC" w:rsidRDefault="00A62FBC" w:rsidP="00654E8F">
      <w:pPr>
        <w:spacing w:before="240"/>
      </w:pPr>
    </w:p>
    <w:p w14:paraId="10F64675" w14:textId="7C00F796" w:rsidR="000F1AC5" w:rsidRDefault="000F1AC5" w:rsidP="000F1AC5">
      <w:pPr>
        <w:pStyle w:val="Heading2"/>
      </w:pPr>
      <w:r>
        <w:t>Supplementary Figures</w:t>
      </w:r>
    </w:p>
    <w:p w14:paraId="7584C875" w14:textId="368214C4" w:rsidR="00196E68" w:rsidRDefault="00196E68" w:rsidP="00B930C1">
      <w:pPr>
        <w:spacing w:after="0"/>
      </w:pPr>
      <w:r w:rsidRPr="00196E68">
        <w:rPr>
          <w:noProof/>
        </w:rPr>
        <w:drawing>
          <wp:inline distT="0" distB="0" distL="0" distR="0" wp14:anchorId="5899B6FE" wp14:editId="3F5838A6">
            <wp:extent cx="3487420" cy="13823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93B9" w14:textId="7DEBAD6E" w:rsidR="00061D9A" w:rsidRPr="00AE26CE" w:rsidRDefault="00061D9A" w:rsidP="00B930C1">
      <w:pPr>
        <w:spacing w:before="0" w:after="0" w:line="480" w:lineRule="auto"/>
        <w:jc w:val="both"/>
        <w:rPr>
          <w:rFonts w:cs="Times New Roman"/>
          <w:szCs w:val="24"/>
        </w:rPr>
      </w:pPr>
      <w:r w:rsidRPr="00AE26CE">
        <w:rPr>
          <w:rFonts w:cs="Times New Roman"/>
          <w:b/>
          <w:szCs w:val="24"/>
        </w:rPr>
        <w:t>Supplementa</w:t>
      </w:r>
      <w:r w:rsidR="007A3363">
        <w:rPr>
          <w:rFonts w:cs="Times New Roman"/>
          <w:b/>
          <w:szCs w:val="24"/>
        </w:rPr>
        <w:t>ry</w:t>
      </w:r>
      <w:r w:rsidRPr="00AE26CE">
        <w:rPr>
          <w:rFonts w:cs="Times New Roman"/>
          <w:b/>
          <w:szCs w:val="24"/>
        </w:rPr>
        <w:t xml:space="preserve"> Figure 1. </w:t>
      </w:r>
      <w:r w:rsidRPr="00AE26CE">
        <w:rPr>
          <w:rFonts w:cs="Times New Roman"/>
          <w:bCs/>
          <w:szCs w:val="24"/>
        </w:rPr>
        <w:t xml:space="preserve">CD39 expression in other immune-cell subsets. </w:t>
      </w:r>
      <w:r w:rsidRPr="00AE26CE">
        <w:rPr>
          <w:rFonts w:cs="Times New Roman"/>
          <w:szCs w:val="24"/>
        </w:rPr>
        <w:t>Analysis of CD39 expression by flow cytometry from total PBMCs of healthy controls and COVID-19 patients on CD4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>CD25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>Foxp3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 xml:space="preserve"> (left panel, HC=9, COV=18), CD14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 xml:space="preserve"> (middle, panel, HC=8, COV=28) and CD19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 xml:space="preserve"> (right panel, HC=14, COV=48). CD39 expression is represented by MFI (Mean Fluorescence Intensity). Mean differences were analyzed </w:t>
      </w:r>
      <w:bookmarkStart w:id="0" w:name="OLE_LINK4"/>
      <w:r w:rsidRPr="00AE26CE">
        <w:rPr>
          <w:rFonts w:cs="Times New Roman"/>
          <w:szCs w:val="24"/>
        </w:rPr>
        <w:t xml:space="preserve">using unpaired Student </w:t>
      </w:r>
      <w:r w:rsidRPr="00AE26CE">
        <w:rPr>
          <w:rFonts w:cs="Times New Roman"/>
          <w:i/>
          <w:iCs/>
          <w:szCs w:val="24"/>
        </w:rPr>
        <w:t>t</w:t>
      </w:r>
      <w:r w:rsidRPr="00AE26CE">
        <w:rPr>
          <w:rFonts w:cs="Times New Roman"/>
          <w:szCs w:val="24"/>
        </w:rPr>
        <w:t>-test analysis with Welch correction</w:t>
      </w:r>
      <w:bookmarkEnd w:id="0"/>
      <w:r w:rsidRPr="00AE26CE">
        <w:rPr>
          <w:rFonts w:cs="Times New Roman"/>
          <w:szCs w:val="24"/>
        </w:rPr>
        <w:t xml:space="preserve">. Error bars: mean ± SEM and </w:t>
      </w:r>
      <w:r w:rsidRPr="00AE26CE">
        <w:rPr>
          <w:rFonts w:cs="Times New Roman"/>
          <w:i/>
          <w:szCs w:val="24"/>
        </w:rPr>
        <w:t>P</w:t>
      </w:r>
      <w:r w:rsidRPr="00AE26CE">
        <w:rPr>
          <w:rFonts w:cs="Times New Roman"/>
          <w:szCs w:val="24"/>
        </w:rPr>
        <w:t xml:space="preserve">-values (P) are shown. </w:t>
      </w:r>
    </w:p>
    <w:p w14:paraId="282A9E14" w14:textId="244E873C" w:rsidR="00B930C1" w:rsidRDefault="00B930C1" w:rsidP="00B930C1">
      <w:pPr>
        <w:spacing w:before="0" w:after="0" w:line="276" w:lineRule="auto"/>
        <w:jc w:val="both"/>
        <w:rPr>
          <w:rFonts w:cs="Times New Roman"/>
          <w:b/>
          <w:bCs/>
          <w:szCs w:val="24"/>
        </w:rPr>
      </w:pPr>
      <w:r w:rsidRPr="00B930C1">
        <w:rPr>
          <w:noProof/>
        </w:rPr>
        <w:lastRenderedPageBreak/>
        <w:drawing>
          <wp:inline distT="0" distB="0" distL="0" distR="0" wp14:anchorId="58C1C570" wp14:editId="2B45800F">
            <wp:extent cx="5295265" cy="53498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98EA" w14:textId="055A3AA7" w:rsidR="00A53371" w:rsidRPr="00AE26CE" w:rsidRDefault="00A53371" w:rsidP="00B930C1">
      <w:pPr>
        <w:spacing w:before="0" w:after="160" w:line="480" w:lineRule="auto"/>
        <w:jc w:val="both"/>
        <w:rPr>
          <w:rFonts w:cs="Times New Roman"/>
          <w:szCs w:val="24"/>
        </w:rPr>
      </w:pPr>
      <w:r w:rsidRPr="00AE26CE">
        <w:rPr>
          <w:rFonts w:cs="Times New Roman"/>
          <w:b/>
          <w:bCs/>
          <w:szCs w:val="24"/>
        </w:rPr>
        <w:t>Supplementa</w:t>
      </w:r>
      <w:r w:rsidR="007A3363">
        <w:rPr>
          <w:rFonts w:cs="Times New Roman"/>
          <w:b/>
          <w:bCs/>
          <w:szCs w:val="24"/>
        </w:rPr>
        <w:t>ry</w:t>
      </w:r>
      <w:r w:rsidRPr="00AE26CE">
        <w:rPr>
          <w:rFonts w:cs="Times New Roman"/>
          <w:b/>
          <w:bCs/>
          <w:szCs w:val="24"/>
        </w:rPr>
        <w:t xml:space="preserve"> Figure 2. </w:t>
      </w:r>
      <w:r w:rsidRPr="00AE26CE">
        <w:rPr>
          <w:rFonts w:cs="Times New Roman"/>
          <w:szCs w:val="24"/>
        </w:rPr>
        <w:t xml:space="preserve">CD39 expression is related to hypoxia and innate immune response. </w:t>
      </w:r>
      <w:r w:rsidRPr="00BD6D62">
        <w:rPr>
          <w:rFonts w:cs="Times New Roman"/>
          <w:b/>
          <w:bCs/>
          <w:szCs w:val="24"/>
        </w:rPr>
        <w:t>(</w:t>
      </w:r>
      <w:r w:rsidR="00BD6D62" w:rsidRPr="00BD6D62">
        <w:rPr>
          <w:rFonts w:cs="Times New Roman"/>
          <w:b/>
          <w:bCs/>
          <w:szCs w:val="24"/>
        </w:rPr>
        <w:t>A</w:t>
      </w:r>
      <w:r w:rsidRPr="00BD6D62">
        <w:rPr>
          <w:rFonts w:cs="Times New Roman"/>
          <w:b/>
          <w:bCs/>
          <w:szCs w:val="24"/>
        </w:rPr>
        <w:t>)</w:t>
      </w:r>
      <w:r w:rsidRPr="00AE26CE">
        <w:rPr>
          <w:rFonts w:cs="Times New Roman"/>
          <w:szCs w:val="24"/>
        </w:rPr>
        <w:t xml:space="preserve"> HIF-1</w:t>
      </w:r>
      <w:r w:rsidRPr="00AE26CE">
        <w:rPr>
          <w:rFonts w:cs="Times New Roman"/>
          <w:szCs w:val="24"/>
        </w:rPr>
        <w:sym w:font="Symbol" w:char="F061"/>
      </w:r>
      <w:r w:rsidRPr="00AE26CE">
        <w:rPr>
          <w:rFonts w:cs="Times New Roman"/>
          <w:szCs w:val="24"/>
        </w:rPr>
        <w:t xml:space="preserve"> mRNA expression analysis by qPCR in PBMCs from healthy controls (HC, n=17) and COVID-19 patients (COV, n=53). </w:t>
      </w:r>
      <w:r w:rsidRPr="00BD6D62">
        <w:rPr>
          <w:rFonts w:cs="Times New Roman"/>
          <w:b/>
          <w:bCs/>
          <w:szCs w:val="24"/>
        </w:rPr>
        <w:t>(</w:t>
      </w:r>
      <w:r w:rsidR="00BD6D62" w:rsidRPr="00BD6D62">
        <w:rPr>
          <w:rFonts w:cs="Times New Roman"/>
          <w:b/>
          <w:bCs/>
          <w:szCs w:val="24"/>
        </w:rPr>
        <w:t>B</w:t>
      </w:r>
      <w:r w:rsidRPr="00BD6D62">
        <w:rPr>
          <w:rFonts w:cs="Times New Roman"/>
          <w:b/>
          <w:bCs/>
          <w:szCs w:val="24"/>
        </w:rPr>
        <w:t>)</w:t>
      </w:r>
      <w:r w:rsidRPr="00AE26CE">
        <w:rPr>
          <w:rFonts w:cs="Times New Roman"/>
          <w:szCs w:val="24"/>
        </w:rPr>
        <w:t xml:space="preserve"> RIG-I (left panel, HC, n=20; COV, n=52), MAVS (middle panel, HC, n=15; COV, n=33) and IRF-3 (right panel, HC, n=20; COV, n=44) mRNA expression analysis by qPCR in PBMCs. Mean differences were analyzed using unpaired Student’s </w:t>
      </w:r>
      <w:r w:rsidRPr="00AE26CE">
        <w:rPr>
          <w:rFonts w:cs="Times New Roman"/>
          <w:i/>
          <w:iCs/>
          <w:szCs w:val="24"/>
        </w:rPr>
        <w:t>t</w:t>
      </w:r>
      <w:r w:rsidRPr="00AE26CE">
        <w:rPr>
          <w:rFonts w:cs="Times New Roman"/>
          <w:szCs w:val="24"/>
        </w:rPr>
        <w:t xml:space="preserve">-test analysis with Welch correction. </w:t>
      </w:r>
      <w:r w:rsidRPr="00BD6D62">
        <w:rPr>
          <w:rFonts w:cs="Times New Roman"/>
          <w:b/>
          <w:bCs/>
          <w:szCs w:val="24"/>
        </w:rPr>
        <w:t>(</w:t>
      </w:r>
      <w:r w:rsidR="00BD6D62">
        <w:rPr>
          <w:rFonts w:cs="Times New Roman"/>
          <w:b/>
          <w:bCs/>
          <w:szCs w:val="24"/>
        </w:rPr>
        <w:t>C</w:t>
      </w:r>
      <w:r w:rsidRPr="00BD6D62">
        <w:rPr>
          <w:rFonts w:cs="Times New Roman"/>
          <w:b/>
          <w:bCs/>
          <w:szCs w:val="24"/>
        </w:rPr>
        <w:t>)</w:t>
      </w:r>
      <w:r w:rsidRPr="00AE26CE">
        <w:rPr>
          <w:rFonts w:cs="Times New Roman"/>
          <w:szCs w:val="24"/>
        </w:rPr>
        <w:t xml:space="preserve"> Association of HIF-1α, RIG-I, MAVS and IRF3 mRNA expression with CD39 mRNA expression and sCD39 plasma concentration in COVID-19 patients. Spearman’s correlation coefficients (ρ) and </w:t>
      </w:r>
      <w:r w:rsidRPr="00AE26CE">
        <w:rPr>
          <w:rFonts w:cs="Times New Roman"/>
          <w:i/>
          <w:szCs w:val="24"/>
        </w:rPr>
        <w:t>P</w:t>
      </w:r>
      <w:r w:rsidRPr="00AE26CE">
        <w:rPr>
          <w:rFonts w:cs="Times New Roman"/>
          <w:szCs w:val="24"/>
        </w:rPr>
        <w:t xml:space="preserve">-values (P) are shown. </w:t>
      </w:r>
      <w:r w:rsidRPr="00BD6D62">
        <w:rPr>
          <w:rFonts w:cs="Times New Roman"/>
          <w:b/>
          <w:bCs/>
          <w:szCs w:val="24"/>
        </w:rPr>
        <w:t>(</w:t>
      </w:r>
      <w:r w:rsidR="00BD6D62">
        <w:rPr>
          <w:rFonts w:cs="Times New Roman"/>
          <w:b/>
          <w:bCs/>
          <w:szCs w:val="24"/>
        </w:rPr>
        <w:t>D-E)</w:t>
      </w:r>
      <w:r w:rsidRPr="00AE26CE">
        <w:rPr>
          <w:rFonts w:cs="Times New Roman"/>
          <w:szCs w:val="24"/>
        </w:rPr>
        <w:t xml:space="preserve"> PBMCs from healthy subjects were isolated and cultured for 16h, either stimulated or not with 10% COVID-19 plasma and either under </w:t>
      </w:r>
      <w:proofErr w:type="spellStart"/>
      <w:r w:rsidRPr="00AE26CE">
        <w:rPr>
          <w:rFonts w:cs="Times New Roman"/>
          <w:szCs w:val="24"/>
        </w:rPr>
        <w:lastRenderedPageBreak/>
        <w:t>normoxia</w:t>
      </w:r>
      <w:proofErr w:type="spellEnd"/>
      <w:r w:rsidRPr="00AE26CE">
        <w:rPr>
          <w:rFonts w:cs="Times New Roman"/>
          <w:szCs w:val="24"/>
        </w:rPr>
        <w:t xml:space="preserve"> or hypoxia (n=6). </w:t>
      </w:r>
      <w:r w:rsidRPr="00BD6D62">
        <w:rPr>
          <w:rFonts w:cs="Times New Roman"/>
          <w:b/>
          <w:bCs/>
          <w:szCs w:val="24"/>
        </w:rPr>
        <w:t>(</w:t>
      </w:r>
      <w:r w:rsidR="00BD6D62" w:rsidRPr="00BD6D62">
        <w:rPr>
          <w:rFonts w:cs="Times New Roman"/>
          <w:b/>
          <w:bCs/>
          <w:szCs w:val="24"/>
        </w:rPr>
        <w:t>D</w:t>
      </w:r>
      <w:r w:rsidRPr="00BD6D62">
        <w:rPr>
          <w:rFonts w:cs="Times New Roman"/>
          <w:b/>
          <w:bCs/>
          <w:szCs w:val="24"/>
        </w:rPr>
        <w:t xml:space="preserve">) </w:t>
      </w:r>
      <w:r w:rsidRPr="00AE26CE">
        <w:rPr>
          <w:rFonts w:cs="Times New Roman"/>
          <w:szCs w:val="24"/>
        </w:rPr>
        <w:t xml:space="preserve">CD39 mRNA relative expression analysis by qPCR. </w:t>
      </w:r>
      <w:r w:rsidRPr="00BD6D62">
        <w:rPr>
          <w:rFonts w:cs="Times New Roman"/>
          <w:b/>
          <w:bCs/>
          <w:szCs w:val="24"/>
        </w:rPr>
        <w:t>(</w:t>
      </w:r>
      <w:r w:rsidR="00BD6D62">
        <w:rPr>
          <w:rFonts w:cs="Times New Roman"/>
          <w:b/>
          <w:bCs/>
          <w:szCs w:val="24"/>
        </w:rPr>
        <w:t>E</w:t>
      </w:r>
      <w:r w:rsidRPr="00BD6D62">
        <w:rPr>
          <w:rFonts w:cs="Times New Roman"/>
          <w:b/>
          <w:bCs/>
          <w:szCs w:val="24"/>
        </w:rPr>
        <w:t>)</w:t>
      </w:r>
      <w:r w:rsidRPr="00AE26CE">
        <w:rPr>
          <w:rFonts w:cs="Times New Roman"/>
          <w:szCs w:val="24"/>
        </w:rPr>
        <w:t xml:space="preserve"> CD39 expression analysis by flow cytometry in CD3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>CD4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 xml:space="preserve"> T-cells (left panel), CD3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>CD8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 xml:space="preserve"> T-cells (middle panel) and CD3</w:t>
      </w:r>
      <w:r w:rsidRPr="00AE26CE">
        <w:rPr>
          <w:rFonts w:cs="Times New Roman"/>
          <w:szCs w:val="24"/>
          <w:vertAlign w:val="superscript"/>
        </w:rPr>
        <w:t>-</w:t>
      </w:r>
      <w:r w:rsidRPr="00AE26CE">
        <w:rPr>
          <w:rFonts w:cs="Times New Roman"/>
          <w:szCs w:val="24"/>
        </w:rPr>
        <w:t>CD56</w:t>
      </w:r>
      <w:r w:rsidRPr="00AE26CE">
        <w:rPr>
          <w:rFonts w:cs="Times New Roman"/>
          <w:szCs w:val="24"/>
          <w:vertAlign w:val="superscript"/>
        </w:rPr>
        <w:t>+</w:t>
      </w:r>
      <w:r w:rsidRPr="00AE26CE">
        <w:rPr>
          <w:rFonts w:cs="Times New Roman"/>
          <w:szCs w:val="24"/>
        </w:rPr>
        <w:t>CD16</w:t>
      </w:r>
      <w:r w:rsidRPr="00AE26CE">
        <w:rPr>
          <w:rFonts w:cs="Times New Roman"/>
          <w:szCs w:val="24"/>
          <w:vertAlign w:val="superscript"/>
        </w:rPr>
        <w:t xml:space="preserve">+ </w:t>
      </w:r>
      <w:r w:rsidRPr="00AE26CE">
        <w:rPr>
          <w:rFonts w:cs="Times New Roman"/>
          <w:szCs w:val="24"/>
        </w:rPr>
        <w:t>NK-cells (right panel) CD39 expression is represented by MFI (Mean Fluorescence Intensity). Comparisons between groups were performed by two-way ANOVA with Bonferroni’s multiple comparison test. Error bars: mean ± SEM. *: </w:t>
      </w:r>
      <w:r w:rsidRPr="00AE26CE">
        <w:rPr>
          <w:rFonts w:cs="Times New Roman"/>
          <w:i/>
          <w:iCs/>
          <w:szCs w:val="24"/>
        </w:rPr>
        <w:t>P</w:t>
      </w:r>
      <w:r w:rsidRPr="00AE26CE">
        <w:rPr>
          <w:rFonts w:cs="Times New Roman"/>
          <w:szCs w:val="24"/>
        </w:rPr>
        <w:t xml:space="preserve">&lt;0.05. </w:t>
      </w:r>
    </w:p>
    <w:p w14:paraId="791B2A21" w14:textId="4E931CCE" w:rsidR="00B930C1" w:rsidRDefault="008F7058" w:rsidP="008F7058">
      <w:pPr>
        <w:spacing w:after="0"/>
        <w:jc w:val="both"/>
        <w:rPr>
          <w:rFonts w:cs="Times New Roman"/>
          <w:b/>
          <w:szCs w:val="24"/>
        </w:rPr>
      </w:pPr>
      <w:r w:rsidRPr="008F7058">
        <w:rPr>
          <w:noProof/>
        </w:rPr>
        <w:drawing>
          <wp:inline distT="0" distB="0" distL="0" distR="0" wp14:anchorId="2D6419FF" wp14:editId="24684105">
            <wp:extent cx="5725795" cy="309181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DEED" w14:textId="22750F91" w:rsidR="00AE26CE" w:rsidRPr="00AE26CE" w:rsidRDefault="00AE26CE" w:rsidP="008F7058">
      <w:pPr>
        <w:spacing w:before="0" w:after="160" w:line="480" w:lineRule="auto"/>
        <w:jc w:val="both"/>
        <w:rPr>
          <w:rFonts w:cs="Times New Roman"/>
          <w:szCs w:val="24"/>
        </w:rPr>
      </w:pPr>
      <w:r w:rsidRPr="00AE26CE">
        <w:rPr>
          <w:rFonts w:cs="Times New Roman"/>
          <w:b/>
          <w:szCs w:val="24"/>
        </w:rPr>
        <w:t>Supplementa</w:t>
      </w:r>
      <w:r w:rsidR="007A3363">
        <w:rPr>
          <w:rFonts w:cs="Times New Roman"/>
          <w:b/>
          <w:szCs w:val="24"/>
        </w:rPr>
        <w:t>ry</w:t>
      </w:r>
      <w:r w:rsidRPr="00AE26CE">
        <w:rPr>
          <w:rFonts w:cs="Times New Roman"/>
          <w:b/>
          <w:szCs w:val="24"/>
        </w:rPr>
        <w:t xml:space="preserve"> Figure 3</w:t>
      </w:r>
      <w:r w:rsidR="007A3363">
        <w:rPr>
          <w:rFonts w:cs="Times New Roman"/>
          <w:b/>
          <w:szCs w:val="24"/>
        </w:rPr>
        <w:t>.</w:t>
      </w:r>
      <w:r w:rsidRPr="00AE26CE">
        <w:rPr>
          <w:rFonts w:cs="Times New Roman"/>
          <w:b/>
          <w:szCs w:val="24"/>
        </w:rPr>
        <w:t xml:space="preserve"> </w:t>
      </w:r>
      <w:r w:rsidRPr="00AE26CE">
        <w:rPr>
          <w:rFonts w:cs="Times New Roman"/>
          <w:bCs/>
          <w:szCs w:val="24"/>
        </w:rPr>
        <w:t xml:space="preserve">Dysregulated purinergic nucleotides are involved in NLRP3 overexpression. </w:t>
      </w:r>
      <w:r w:rsidRPr="00BD6D62">
        <w:rPr>
          <w:rFonts w:cs="Times New Roman"/>
          <w:b/>
          <w:szCs w:val="24"/>
        </w:rPr>
        <w:t>(</w:t>
      </w:r>
      <w:r w:rsidR="00BD6D62">
        <w:rPr>
          <w:rFonts w:cs="Times New Roman"/>
          <w:b/>
          <w:szCs w:val="24"/>
        </w:rPr>
        <w:t>A</w:t>
      </w:r>
      <w:r w:rsidRPr="00BD6D62">
        <w:rPr>
          <w:rFonts w:cs="Times New Roman"/>
          <w:b/>
          <w:szCs w:val="24"/>
        </w:rPr>
        <w:t>)</w:t>
      </w:r>
      <w:r w:rsidRPr="00AE26CE">
        <w:rPr>
          <w:rFonts w:cs="Times New Roman"/>
          <w:bCs/>
          <w:szCs w:val="24"/>
        </w:rPr>
        <w:t xml:space="preserve"> CD73 mRNA relative expression analysis by qPCR in PBMCs from healthy controls (HC, n=14) and COVID-19 patients (COV, n=34). </w:t>
      </w:r>
      <w:r w:rsidRPr="00BD6D62">
        <w:rPr>
          <w:rFonts w:cs="Times New Roman"/>
          <w:b/>
          <w:szCs w:val="24"/>
        </w:rPr>
        <w:t>(</w:t>
      </w:r>
      <w:r w:rsidR="00BD6D62" w:rsidRPr="00BD6D62">
        <w:rPr>
          <w:rFonts w:cs="Times New Roman"/>
          <w:b/>
          <w:szCs w:val="24"/>
        </w:rPr>
        <w:t>B</w:t>
      </w:r>
      <w:r w:rsidRPr="00BD6D62">
        <w:rPr>
          <w:rFonts w:cs="Times New Roman"/>
          <w:b/>
          <w:szCs w:val="24"/>
        </w:rPr>
        <w:t>)</w:t>
      </w:r>
      <w:r w:rsidRPr="00AE26CE">
        <w:rPr>
          <w:rFonts w:cs="Times New Roman"/>
          <w:bCs/>
          <w:szCs w:val="24"/>
        </w:rPr>
        <w:t xml:space="preserve"> Analysis of NLRP3 intracellular expression by flow cytometry in CD14</w:t>
      </w:r>
      <w:r w:rsidRPr="00AE26CE">
        <w:rPr>
          <w:rFonts w:cs="Times New Roman"/>
          <w:bCs/>
          <w:szCs w:val="24"/>
          <w:vertAlign w:val="superscript"/>
        </w:rPr>
        <w:t xml:space="preserve">+ </w:t>
      </w:r>
      <w:r w:rsidRPr="00AE26CE">
        <w:rPr>
          <w:rFonts w:cs="Times New Roman"/>
          <w:bCs/>
          <w:szCs w:val="24"/>
        </w:rPr>
        <w:t xml:space="preserve">monocytes from healthy controls (HC, n=18) and COVID-19 patients (COV, n=47). NLRP3 expression is represented by MFI. Comparison between groups was performed by unpaired Student t-test with Welch correction. Error bars: mean ± SEM. </w:t>
      </w:r>
      <w:r w:rsidRPr="00BD6D62">
        <w:rPr>
          <w:rFonts w:cs="Times New Roman"/>
          <w:b/>
          <w:szCs w:val="24"/>
        </w:rPr>
        <w:t>(</w:t>
      </w:r>
      <w:r w:rsidR="00BD6D62">
        <w:rPr>
          <w:rFonts w:cs="Times New Roman"/>
          <w:b/>
          <w:szCs w:val="24"/>
        </w:rPr>
        <w:t>C</w:t>
      </w:r>
      <w:r w:rsidRPr="00BD6D62">
        <w:rPr>
          <w:rFonts w:cs="Times New Roman"/>
          <w:b/>
          <w:szCs w:val="24"/>
        </w:rPr>
        <w:t>)</w:t>
      </w:r>
      <w:r w:rsidRPr="00AE26CE">
        <w:rPr>
          <w:rFonts w:cs="Times New Roman"/>
          <w:bCs/>
          <w:szCs w:val="24"/>
        </w:rPr>
        <w:t xml:space="preserve"> Correlation of </w:t>
      </w:r>
      <w:proofErr w:type="spellStart"/>
      <w:r w:rsidRPr="00AE26CE">
        <w:rPr>
          <w:rFonts w:cs="Times New Roman"/>
          <w:bCs/>
          <w:szCs w:val="24"/>
        </w:rPr>
        <w:t>eATP</w:t>
      </w:r>
      <w:proofErr w:type="spellEnd"/>
      <w:r w:rsidRPr="00AE26CE">
        <w:rPr>
          <w:rFonts w:cs="Times New Roman"/>
          <w:bCs/>
          <w:szCs w:val="24"/>
        </w:rPr>
        <w:t xml:space="preserve"> plasma concentration with NLRP3 expression in CD14+ monocytes (n=47). </w:t>
      </w:r>
      <w:r w:rsidRPr="00BD6D62">
        <w:rPr>
          <w:rFonts w:cs="Times New Roman"/>
          <w:b/>
          <w:szCs w:val="24"/>
        </w:rPr>
        <w:t>(</w:t>
      </w:r>
      <w:r w:rsidR="00BD6D62">
        <w:rPr>
          <w:rFonts w:cs="Times New Roman"/>
          <w:b/>
          <w:szCs w:val="24"/>
        </w:rPr>
        <w:t>D</w:t>
      </w:r>
      <w:r w:rsidRPr="00BD6D62">
        <w:rPr>
          <w:rFonts w:cs="Times New Roman"/>
          <w:b/>
          <w:szCs w:val="24"/>
        </w:rPr>
        <w:t xml:space="preserve">) </w:t>
      </w:r>
      <w:r w:rsidRPr="00AE26CE">
        <w:rPr>
          <w:rFonts w:cs="Times New Roman"/>
          <w:bCs/>
          <w:szCs w:val="24"/>
        </w:rPr>
        <w:t>Correlation of NLRP3 expression in CD14</w:t>
      </w:r>
      <w:r w:rsidRPr="00AE26CE">
        <w:rPr>
          <w:rFonts w:cs="Times New Roman"/>
          <w:bCs/>
          <w:szCs w:val="24"/>
          <w:vertAlign w:val="superscript"/>
        </w:rPr>
        <w:t>+</w:t>
      </w:r>
      <w:r w:rsidRPr="00AE26CE">
        <w:rPr>
          <w:rFonts w:cs="Times New Roman"/>
          <w:bCs/>
          <w:szCs w:val="24"/>
        </w:rPr>
        <w:t xml:space="preserve"> monocytes with TF plasma level (n=42). Spearman correlation coefficients (ρ) and P-values are shown. </w:t>
      </w:r>
      <w:r w:rsidRPr="00BD6D62">
        <w:rPr>
          <w:rFonts w:cs="Times New Roman"/>
          <w:b/>
          <w:szCs w:val="24"/>
        </w:rPr>
        <w:t>(</w:t>
      </w:r>
      <w:r w:rsidR="00BD6D62" w:rsidRPr="00BD6D62">
        <w:rPr>
          <w:rFonts w:cs="Times New Roman"/>
          <w:b/>
          <w:szCs w:val="24"/>
        </w:rPr>
        <w:t>E</w:t>
      </w:r>
      <w:r w:rsidRPr="00BD6D62">
        <w:rPr>
          <w:rFonts w:cs="Times New Roman"/>
          <w:b/>
          <w:szCs w:val="24"/>
        </w:rPr>
        <w:t>)</w:t>
      </w:r>
      <w:r w:rsidRPr="00AE26CE">
        <w:rPr>
          <w:rFonts w:cs="Times New Roman"/>
          <w:bCs/>
          <w:szCs w:val="24"/>
        </w:rPr>
        <w:t xml:space="preserve"> Flow cytometry quantification of percentage of PAC-1 positive platelets upon challenge</w:t>
      </w:r>
      <w:r w:rsidRPr="00AE26CE">
        <w:rPr>
          <w:rFonts w:cs="Times New Roman"/>
          <w:szCs w:val="24"/>
        </w:rPr>
        <w:t xml:space="preserve"> with increasing concentrations of ADP or upon addition of Thrombin </w:t>
      </w:r>
      <w:r w:rsidRPr="00AE26CE">
        <w:rPr>
          <w:rFonts w:cs="Times New Roman"/>
          <w:szCs w:val="24"/>
        </w:rPr>
        <w:lastRenderedPageBreak/>
        <w:t>Receptor Activating Protein (TRAP, 10μM) (n=3). Mean differences were assessed by one-way ANOVA analysis and Tukey’s multiple comparison test. Error bars: Mean ± SEM. *: P&lt;0.05; ****: P&lt;0.0001 vs ADP 0 </w:t>
      </w:r>
      <w:proofErr w:type="spellStart"/>
      <w:r w:rsidRPr="00AE26CE">
        <w:rPr>
          <w:rFonts w:cs="Times New Roman"/>
          <w:szCs w:val="24"/>
        </w:rPr>
        <w:t>μg</w:t>
      </w:r>
      <w:proofErr w:type="spellEnd"/>
      <w:r w:rsidRPr="00AE26CE">
        <w:rPr>
          <w:rFonts w:cs="Times New Roman"/>
          <w:szCs w:val="24"/>
        </w:rPr>
        <w:t>/</w:t>
      </w:r>
      <w:proofErr w:type="spellStart"/>
      <w:r w:rsidRPr="00AE26CE">
        <w:rPr>
          <w:rFonts w:cs="Times New Roman"/>
          <w:szCs w:val="24"/>
        </w:rPr>
        <w:t>mL.</w:t>
      </w:r>
      <w:proofErr w:type="spellEnd"/>
    </w:p>
    <w:p w14:paraId="39FA22F5" w14:textId="77777777" w:rsidR="00AE26CE" w:rsidRPr="00E90685" w:rsidRDefault="00AE26CE" w:rsidP="00AE26CE">
      <w:pPr>
        <w:spacing w:after="0" w:line="480" w:lineRule="auto"/>
        <w:jc w:val="both"/>
        <w:rPr>
          <w:rFonts w:cs="Times New Roman"/>
          <w:sz w:val="20"/>
          <w:szCs w:val="20"/>
        </w:rPr>
      </w:pPr>
    </w:p>
    <w:p w14:paraId="07FF9974" w14:textId="6AC20EF9" w:rsidR="008C730B" w:rsidRPr="008C730B" w:rsidRDefault="008C730B" w:rsidP="008C730B"/>
    <w:sectPr w:rsidR="008C730B" w:rsidRPr="008C730B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8C19" w14:textId="77777777" w:rsidR="002858FC" w:rsidRDefault="002858FC" w:rsidP="00117666">
      <w:pPr>
        <w:spacing w:after="0"/>
      </w:pPr>
      <w:r>
        <w:separator/>
      </w:r>
    </w:p>
  </w:endnote>
  <w:endnote w:type="continuationSeparator" w:id="0">
    <w:p w14:paraId="61B31852" w14:textId="77777777" w:rsidR="002858FC" w:rsidRDefault="002858F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248A86C3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7E0CB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248A86C3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7E0CB2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4034CEB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7E0CB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4034CEB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7E0CB2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D7CB" w14:textId="77777777" w:rsidR="002858FC" w:rsidRDefault="002858FC" w:rsidP="00117666">
      <w:pPr>
        <w:spacing w:after="0"/>
      </w:pPr>
      <w:r>
        <w:separator/>
      </w:r>
    </w:p>
  </w:footnote>
  <w:footnote w:type="continuationSeparator" w:id="0">
    <w:p w14:paraId="6C2F5695" w14:textId="77777777" w:rsidR="002858FC" w:rsidRDefault="002858F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61D9A"/>
    <w:rsid w:val="00077D53"/>
    <w:rsid w:val="000F1AC5"/>
    <w:rsid w:val="00105FD9"/>
    <w:rsid w:val="00117666"/>
    <w:rsid w:val="001549D3"/>
    <w:rsid w:val="00160065"/>
    <w:rsid w:val="00170C8A"/>
    <w:rsid w:val="00177D84"/>
    <w:rsid w:val="00196E68"/>
    <w:rsid w:val="00267D18"/>
    <w:rsid w:val="00274347"/>
    <w:rsid w:val="002858FC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0A73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E4D1D"/>
    <w:rsid w:val="00701727"/>
    <w:rsid w:val="0070566C"/>
    <w:rsid w:val="00714C50"/>
    <w:rsid w:val="0072535D"/>
    <w:rsid w:val="00725A7D"/>
    <w:rsid w:val="007501BE"/>
    <w:rsid w:val="00790BB3"/>
    <w:rsid w:val="007A3363"/>
    <w:rsid w:val="007C206C"/>
    <w:rsid w:val="007E0CB2"/>
    <w:rsid w:val="00817DD6"/>
    <w:rsid w:val="0083759F"/>
    <w:rsid w:val="00885156"/>
    <w:rsid w:val="008C730B"/>
    <w:rsid w:val="008E3E64"/>
    <w:rsid w:val="008F7058"/>
    <w:rsid w:val="009151AA"/>
    <w:rsid w:val="0093429D"/>
    <w:rsid w:val="00943573"/>
    <w:rsid w:val="00964134"/>
    <w:rsid w:val="00970F7D"/>
    <w:rsid w:val="00994A3D"/>
    <w:rsid w:val="009C2B12"/>
    <w:rsid w:val="00A174D9"/>
    <w:rsid w:val="00A53371"/>
    <w:rsid w:val="00A62FBC"/>
    <w:rsid w:val="00A97F6F"/>
    <w:rsid w:val="00AA4D24"/>
    <w:rsid w:val="00AB6715"/>
    <w:rsid w:val="00AE26CE"/>
    <w:rsid w:val="00B1671E"/>
    <w:rsid w:val="00B25EB8"/>
    <w:rsid w:val="00B37F4D"/>
    <w:rsid w:val="00B930C1"/>
    <w:rsid w:val="00BD6D62"/>
    <w:rsid w:val="00C52A7B"/>
    <w:rsid w:val="00C56BAF"/>
    <w:rsid w:val="00C632B0"/>
    <w:rsid w:val="00C679AA"/>
    <w:rsid w:val="00C75972"/>
    <w:rsid w:val="00C76A16"/>
    <w:rsid w:val="00CD066B"/>
    <w:rsid w:val="00CE4FEE"/>
    <w:rsid w:val="00D060CF"/>
    <w:rsid w:val="00DB59C3"/>
    <w:rsid w:val="00DC259A"/>
    <w:rsid w:val="00DD0CC5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6A16"/>
    <w:rPr>
      <w:color w:val="605E5C"/>
      <w:shd w:val="clear" w:color="auto" w:fill="E1DFDD"/>
    </w:rPr>
  </w:style>
  <w:style w:type="table" w:customStyle="1" w:styleId="Tablanormal21">
    <w:name w:val="Tabla normal 21"/>
    <w:basedOn w:val="TableNormal"/>
    <w:uiPriority w:val="42"/>
    <w:rsid w:val="00C76A1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1">
    <w:name w:val="Tabla normal 211"/>
    <w:basedOn w:val="TableNormal"/>
    <w:uiPriority w:val="42"/>
    <w:rsid w:val="00C76A1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2">
    <w:name w:val="Tabla normal 212"/>
    <w:basedOn w:val="TableNormal"/>
    <w:uiPriority w:val="42"/>
    <w:rsid w:val="00A62FB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3">
    <w:name w:val="Tabla normal 213"/>
    <w:basedOn w:val="TableNormal"/>
    <w:uiPriority w:val="42"/>
    <w:rsid w:val="00A62FB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4">
    <w:name w:val="Tabla normal 214"/>
    <w:basedOn w:val="TableNormal"/>
    <w:uiPriority w:val="42"/>
    <w:rsid w:val="00A62FB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5">
    <w:name w:val="Tabla normal 215"/>
    <w:basedOn w:val="TableNormal"/>
    <w:uiPriority w:val="42"/>
    <w:rsid w:val="00A62FBC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16">
    <w:name w:val="Tabla normal 216"/>
    <w:basedOn w:val="TableNormal"/>
    <w:uiPriority w:val="42"/>
    <w:rsid w:val="007E0CB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spherix.com/cell-culture-equipment/oxycycler-c4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29CC79-E8DD-492B-AD2F-2681D26C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 Media SA</dc:creator>
  <cp:lastModifiedBy>Megan Bond</cp:lastModifiedBy>
  <cp:revision>3</cp:revision>
  <cp:lastPrinted>2013-10-03T12:51:00Z</cp:lastPrinted>
  <dcterms:created xsi:type="dcterms:W3CDTF">2022-01-12T10:46:00Z</dcterms:created>
  <dcterms:modified xsi:type="dcterms:W3CDTF">2022-01-13T10:20:00Z</dcterms:modified>
</cp:coreProperties>
</file>