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FC465" w14:textId="24464D84" w:rsidR="00CB315E" w:rsidRDefault="00CB315E" w:rsidP="00CB315E">
      <w:pPr>
        <w:rPr>
          <w:rStyle w:val="src"/>
          <w:rFonts w:ascii="Arial" w:hAnsi="Arial" w:cs="Arial"/>
          <w:color w:val="000000"/>
          <w:sz w:val="24"/>
          <w:szCs w:val="24"/>
        </w:rPr>
      </w:pPr>
      <w:r w:rsidRPr="00CB315E">
        <w:rPr>
          <w:rStyle w:val="src"/>
          <w:rFonts w:ascii="Arial" w:hAnsi="Arial" w:cs="Arial"/>
          <w:b/>
          <w:bCs/>
          <w:color w:val="000000"/>
          <w:sz w:val="24"/>
          <w:szCs w:val="24"/>
        </w:rPr>
        <w:t xml:space="preserve">Supplementary Table </w:t>
      </w:r>
      <w:r w:rsidR="002B6872">
        <w:rPr>
          <w:rStyle w:val="src"/>
          <w:rFonts w:ascii="Arial" w:hAnsi="Arial" w:cs="Arial"/>
          <w:b/>
          <w:bCs/>
          <w:color w:val="000000"/>
          <w:sz w:val="24"/>
          <w:szCs w:val="24"/>
        </w:rPr>
        <w:t>3</w:t>
      </w:r>
      <w:r w:rsidRPr="00CB315E">
        <w:rPr>
          <w:rStyle w:val="src"/>
          <w:rFonts w:ascii="Arial" w:hAnsi="Arial" w:cs="Arial"/>
          <w:b/>
          <w:bCs/>
          <w:color w:val="000000"/>
          <w:sz w:val="24"/>
          <w:szCs w:val="24"/>
        </w:rPr>
        <w:t xml:space="preserve">. </w:t>
      </w:r>
      <w:r w:rsidRPr="00CB315E">
        <w:rPr>
          <w:rStyle w:val="src"/>
          <w:rFonts w:ascii="Arial" w:hAnsi="Arial" w:cs="Arial"/>
          <w:color w:val="000000"/>
          <w:sz w:val="24"/>
          <w:szCs w:val="24"/>
        </w:rPr>
        <w:t>Pathogenicity of PANK2 mutations assessed with ACMG guidelines.</w:t>
      </w:r>
    </w:p>
    <w:p w14:paraId="0387534A" w14:textId="77777777" w:rsidR="00287D42" w:rsidRPr="00CB315E" w:rsidRDefault="00287D42" w:rsidP="00CB315E">
      <w:pPr>
        <w:rPr>
          <w:rStyle w:val="src"/>
          <w:rFonts w:ascii="Arial" w:hAnsi="Arial" w:cs="Arial"/>
          <w:color w:val="000000"/>
          <w:sz w:val="24"/>
          <w:szCs w:val="24"/>
        </w:rPr>
      </w:pPr>
    </w:p>
    <w:tbl>
      <w:tblPr>
        <w:tblW w:w="5000" w:type="pct"/>
        <w:tblLook w:val="04A0" w:firstRow="1" w:lastRow="0" w:firstColumn="1" w:lastColumn="0" w:noHBand="0" w:noVBand="1"/>
      </w:tblPr>
      <w:tblGrid>
        <w:gridCol w:w="3869"/>
        <w:gridCol w:w="4653"/>
      </w:tblGrid>
      <w:tr w:rsidR="002D1E27" w:rsidRPr="00CB315E" w14:paraId="7428B9E6" w14:textId="77777777" w:rsidTr="00287D42">
        <w:trPr>
          <w:trHeight w:val="312"/>
        </w:trPr>
        <w:tc>
          <w:tcPr>
            <w:tcW w:w="2316" w:type="pct"/>
            <w:tcBorders>
              <w:top w:val="single" w:sz="4" w:space="0" w:color="auto"/>
              <w:left w:val="nil"/>
              <w:bottom w:val="single" w:sz="4" w:space="0" w:color="auto"/>
              <w:right w:val="nil"/>
            </w:tcBorders>
            <w:shd w:val="clear" w:color="auto" w:fill="D9D9D9" w:themeFill="background1" w:themeFillShade="D9"/>
            <w:noWrap/>
            <w:vAlign w:val="center"/>
            <w:hideMark/>
          </w:tcPr>
          <w:p w14:paraId="04ACA249" w14:textId="77777777" w:rsidR="002D1E27" w:rsidRPr="00CB315E" w:rsidRDefault="002D1E27" w:rsidP="002D1E27">
            <w:pPr>
              <w:widowControl/>
              <w:rPr>
                <w:rFonts w:ascii="Arial" w:eastAsia="宋体" w:hAnsi="Arial" w:cs="Arial"/>
                <w:b/>
                <w:bCs/>
                <w:color w:val="000000"/>
                <w:kern w:val="0"/>
                <w:szCs w:val="21"/>
              </w:rPr>
            </w:pPr>
            <w:r w:rsidRPr="00CB315E">
              <w:rPr>
                <w:rFonts w:ascii="Arial" w:eastAsia="宋体" w:hAnsi="Arial" w:cs="Arial"/>
                <w:b/>
                <w:bCs/>
                <w:color w:val="000000"/>
                <w:kern w:val="0"/>
                <w:szCs w:val="21"/>
              </w:rPr>
              <w:t>Nucleotide/Protein change</w:t>
            </w:r>
          </w:p>
        </w:tc>
        <w:tc>
          <w:tcPr>
            <w:tcW w:w="2684" w:type="pct"/>
            <w:tcBorders>
              <w:top w:val="single" w:sz="4" w:space="0" w:color="auto"/>
              <w:left w:val="nil"/>
              <w:bottom w:val="single" w:sz="4" w:space="0" w:color="auto"/>
              <w:right w:val="nil"/>
            </w:tcBorders>
            <w:shd w:val="clear" w:color="auto" w:fill="D9D9D9" w:themeFill="background1" w:themeFillShade="D9"/>
            <w:noWrap/>
            <w:vAlign w:val="center"/>
            <w:hideMark/>
          </w:tcPr>
          <w:p w14:paraId="6DDA8B8E" w14:textId="77777777" w:rsidR="002D1E27" w:rsidRPr="00CB315E" w:rsidRDefault="002D1E27" w:rsidP="002D1E27">
            <w:pPr>
              <w:widowControl/>
              <w:jc w:val="left"/>
              <w:rPr>
                <w:rFonts w:ascii="Arial" w:eastAsia="宋体" w:hAnsi="Arial" w:cs="Arial"/>
                <w:b/>
                <w:bCs/>
                <w:color w:val="000000"/>
                <w:kern w:val="0"/>
                <w:szCs w:val="21"/>
              </w:rPr>
            </w:pPr>
            <w:r w:rsidRPr="00CB315E">
              <w:rPr>
                <w:rFonts w:ascii="Arial" w:eastAsia="宋体" w:hAnsi="Arial" w:cs="Arial"/>
                <w:b/>
                <w:bCs/>
                <w:color w:val="000000"/>
                <w:kern w:val="0"/>
                <w:szCs w:val="21"/>
              </w:rPr>
              <w:t>ACMG after our study</w:t>
            </w:r>
          </w:p>
        </w:tc>
      </w:tr>
      <w:tr w:rsidR="002D1E27" w:rsidRPr="00CB315E" w14:paraId="7DC8546D" w14:textId="77777777" w:rsidTr="00CB315E">
        <w:trPr>
          <w:trHeight w:val="312"/>
        </w:trPr>
        <w:tc>
          <w:tcPr>
            <w:tcW w:w="2316" w:type="pct"/>
            <w:tcBorders>
              <w:top w:val="single" w:sz="4" w:space="0" w:color="auto"/>
              <w:left w:val="nil"/>
              <w:bottom w:val="nil"/>
              <w:right w:val="nil"/>
            </w:tcBorders>
            <w:shd w:val="clear" w:color="auto" w:fill="auto"/>
            <w:noWrap/>
            <w:vAlign w:val="center"/>
            <w:hideMark/>
          </w:tcPr>
          <w:p w14:paraId="59709B5F" w14:textId="64CABF32" w:rsidR="002D1E27" w:rsidRPr="00CB315E" w:rsidRDefault="002D1E27" w:rsidP="002D1E27">
            <w:pPr>
              <w:widowControl/>
              <w:jc w:val="left"/>
              <w:rPr>
                <w:rFonts w:ascii="Arial" w:eastAsia="宋体" w:hAnsi="Arial" w:cs="Arial"/>
                <w:color w:val="000000"/>
                <w:kern w:val="0"/>
                <w:szCs w:val="21"/>
              </w:rPr>
            </w:pPr>
            <w:r w:rsidRPr="00CB315E">
              <w:rPr>
                <w:rFonts w:ascii="Arial" w:eastAsia="宋体" w:hAnsi="Arial" w:cs="Arial"/>
                <w:color w:val="000000"/>
                <w:kern w:val="0"/>
                <w:szCs w:val="21"/>
              </w:rPr>
              <w:t>c.445G&gt;G/</w:t>
            </w:r>
            <w:r w:rsidR="00CB315E" w:rsidRPr="00CB315E">
              <w:rPr>
                <w:rFonts w:ascii="Arial" w:eastAsia="宋体" w:hAnsi="Arial" w:cs="Arial"/>
                <w:color w:val="000000"/>
                <w:kern w:val="0"/>
                <w:szCs w:val="21"/>
              </w:rPr>
              <w:t>p. E</w:t>
            </w:r>
            <w:r w:rsidRPr="00CB315E">
              <w:rPr>
                <w:rFonts w:ascii="Arial" w:eastAsia="宋体" w:hAnsi="Arial" w:cs="Arial"/>
                <w:color w:val="000000"/>
                <w:kern w:val="0"/>
                <w:szCs w:val="21"/>
              </w:rPr>
              <w:t>149X</w:t>
            </w:r>
          </w:p>
        </w:tc>
        <w:tc>
          <w:tcPr>
            <w:tcW w:w="2684" w:type="pct"/>
            <w:tcBorders>
              <w:top w:val="single" w:sz="4" w:space="0" w:color="auto"/>
              <w:left w:val="nil"/>
              <w:bottom w:val="nil"/>
              <w:right w:val="nil"/>
            </w:tcBorders>
            <w:shd w:val="clear" w:color="auto" w:fill="auto"/>
            <w:noWrap/>
            <w:vAlign w:val="center"/>
            <w:hideMark/>
          </w:tcPr>
          <w:p w14:paraId="50057E3A" w14:textId="77777777" w:rsidR="002D1E27" w:rsidRPr="00CB315E" w:rsidRDefault="002D1E27" w:rsidP="002D1E27">
            <w:pPr>
              <w:widowControl/>
              <w:jc w:val="left"/>
              <w:rPr>
                <w:rFonts w:ascii="Arial" w:eastAsia="宋体" w:hAnsi="Arial" w:cs="Arial"/>
                <w:color w:val="000000"/>
                <w:kern w:val="0"/>
                <w:szCs w:val="21"/>
              </w:rPr>
            </w:pPr>
            <w:r w:rsidRPr="00CB315E">
              <w:rPr>
                <w:rFonts w:ascii="Arial" w:eastAsia="宋体" w:hAnsi="Arial" w:cs="Arial"/>
                <w:color w:val="000000"/>
                <w:kern w:val="0"/>
                <w:szCs w:val="21"/>
              </w:rPr>
              <w:t>Pathogenic (PVS1+PS3)</w:t>
            </w:r>
          </w:p>
        </w:tc>
      </w:tr>
      <w:tr w:rsidR="002D1E27" w:rsidRPr="00CB315E" w14:paraId="015D718E" w14:textId="77777777" w:rsidTr="00287D42">
        <w:trPr>
          <w:trHeight w:val="312"/>
        </w:trPr>
        <w:tc>
          <w:tcPr>
            <w:tcW w:w="2316" w:type="pct"/>
            <w:tcBorders>
              <w:top w:val="nil"/>
              <w:left w:val="nil"/>
              <w:bottom w:val="nil"/>
              <w:right w:val="nil"/>
            </w:tcBorders>
            <w:shd w:val="clear" w:color="auto" w:fill="D9D9D9" w:themeFill="background1" w:themeFillShade="D9"/>
            <w:noWrap/>
            <w:vAlign w:val="center"/>
            <w:hideMark/>
          </w:tcPr>
          <w:p w14:paraId="095BE63E" w14:textId="61D1ADDC" w:rsidR="002D1E27" w:rsidRPr="00CB315E" w:rsidRDefault="002D1E27" w:rsidP="002D1E27">
            <w:pPr>
              <w:widowControl/>
              <w:jc w:val="left"/>
              <w:rPr>
                <w:rFonts w:ascii="Arial" w:eastAsia="宋体" w:hAnsi="Arial" w:cs="Arial"/>
                <w:color w:val="000000"/>
                <w:kern w:val="0"/>
                <w:szCs w:val="21"/>
              </w:rPr>
            </w:pPr>
            <w:r w:rsidRPr="00CB315E">
              <w:rPr>
                <w:rFonts w:ascii="Arial" w:eastAsia="宋体" w:hAnsi="Arial" w:cs="Arial"/>
                <w:color w:val="000000"/>
                <w:kern w:val="0"/>
                <w:szCs w:val="21"/>
              </w:rPr>
              <w:t>c.833G&gt;A/</w:t>
            </w:r>
            <w:r w:rsidR="00CB315E" w:rsidRPr="00CB315E">
              <w:rPr>
                <w:rFonts w:ascii="Arial" w:eastAsia="宋体" w:hAnsi="Arial" w:cs="Arial"/>
                <w:color w:val="000000"/>
                <w:kern w:val="0"/>
                <w:szCs w:val="21"/>
              </w:rPr>
              <w:t>p. R</w:t>
            </w:r>
            <w:r w:rsidRPr="00CB315E">
              <w:rPr>
                <w:rFonts w:ascii="Arial" w:eastAsia="宋体" w:hAnsi="Arial" w:cs="Arial"/>
                <w:color w:val="000000"/>
                <w:kern w:val="0"/>
                <w:szCs w:val="21"/>
              </w:rPr>
              <w:t>278H</w:t>
            </w:r>
          </w:p>
        </w:tc>
        <w:tc>
          <w:tcPr>
            <w:tcW w:w="2684" w:type="pct"/>
            <w:tcBorders>
              <w:top w:val="nil"/>
              <w:left w:val="nil"/>
              <w:bottom w:val="nil"/>
              <w:right w:val="nil"/>
            </w:tcBorders>
            <w:shd w:val="clear" w:color="auto" w:fill="D9D9D9" w:themeFill="background1" w:themeFillShade="D9"/>
            <w:noWrap/>
            <w:vAlign w:val="center"/>
            <w:hideMark/>
          </w:tcPr>
          <w:p w14:paraId="259C89C1" w14:textId="77777777" w:rsidR="002D1E27" w:rsidRPr="00CB315E" w:rsidRDefault="002D1E27" w:rsidP="002D1E27">
            <w:pPr>
              <w:widowControl/>
              <w:jc w:val="left"/>
              <w:rPr>
                <w:rFonts w:ascii="Arial" w:eastAsia="宋体" w:hAnsi="Arial" w:cs="Arial"/>
                <w:color w:val="000000"/>
                <w:kern w:val="0"/>
                <w:szCs w:val="21"/>
              </w:rPr>
            </w:pPr>
            <w:r w:rsidRPr="00CB315E">
              <w:rPr>
                <w:rFonts w:ascii="Arial" w:eastAsia="宋体" w:hAnsi="Arial" w:cs="Arial"/>
                <w:color w:val="000000"/>
                <w:kern w:val="0"/>
                <w:szCs w:val="21"/>
              </w:rPr>
              <w:t>Pathogenic (PS1+PS3)</w:t>
            </w:r>
          </w:p>
        </w:tc>
      </w:tr>
      <w:tr w:rsidR="002D1E27" w:rsidRPr="00CB315E" w14:paraId="0A9D692C" w14:textId="77777777" w:rsidTr="00CB315E">
        <w:trPr>
          <w:trHeight w:val="312"/>
        </w:trPr>
        <w:tc>
          <w:tcPr>
            <w:tcW w:w="2316" w:type="pct"/>
            <w:tcBorders>
              <w:top w:val="nil"/>
              <w:left w:val="nil"/>
              <w:bottom w:val="nil"/>
              <w:right w:val="nil"/>
            </w:tcBorders>
            <w:shd w:val="clear" w:color="auto" w:fill="auto"/>
            <w:noWrap/>
            <w:vAlign w:val="center"/>
            <w:hideMark/>
          </w:tcPr>
          <w:p w14:paraId="78DA1027" w14:textId="30E3F2E0" w:rsidR="002D1E27" w:rsidRPr="00CB315E" w:rsidRDefault="002D1E27" w:rsidP="002D1E27">
            <w:pPr>
              <w:widowControl/>
              <w:jc w:val="left"/>
              <w:rPr>
                <w:rFonts w:ascii="Arial" w:eastAsia="宋体" w:hAnsi="Arial" w:cs="Arial"/>
                <w:color w:val="000000"/>
                <w:kern w:val="0"/>
                <w:szCs w:val="21"/>
              </w:rPr>
            </w:pPr>
            <w:r w:rsidRPr="00CB315E">
              <w:rPr>
                <w:rFonts w:ascii="Arial" w:eastAsia="宋体" w:hAnsi="Arial" w:cs="Arial"/>
                <w:color w:val="000000"/>
                <w:kern w:val="0"/>
                <w:szCs w:val="21"/>
              </w:rPr>
              <w:t>c.970G&gt;T/</w:t>
            </w:r>
            <w:r w:rsidR="00CB315E" w:rsidRPr="00CB315E">
              <w:rPr>
                <w:rFonts w:ascii="Arial" w:eastAsia="宋体" w:hAnsi="Arial" w:cs="Arial"/>
                <w:color w:val="000000"/>
                <w:kern w:val="0"/>
                <w:szCs w:val="21"/>
              </w:rPr>
              <w:t>p. D</w:t>
            </w:r>
            <w:r w:rsidRPr="00CB315E">
              <w:rPr>
                <w:rFonts w:ascii="Arial" w:eastAsia="宋体" w:hAnsi="Arial" w:cs="Arial"/>
                <w:color w:val="000000"/>
                <w:kern w:val="0"/>
                <w:szCs w:val="21"/>
              </w:rPr>
              <w:t>324Y</w:t>
            </w:r>
          </w:p>
        </w:tc>
        <w:tc>
          <w:tcPr>
            <w:tcW w:w="2684" w:type="pct"/>
            <w:tcBorders>
              <w:top w:val="nil"/>
              <w:left w:val="nil"/>
              <w:bottom w:val="nil"/>
              <w:right w:val="nil"/>
            </w:tcBorders>
            <w:shd w:val="clear" w:color="auto" w:fill="auto"/>
            <w:noWrap/>
            <w:vAlign w:val="center"/>
            <w:hideMark/>
          </w:tcPr>
          <w:p w14:paraId="60AA9184" w14:textId="77777777" w:rsidR="002D1E27" w:rsidRPr="00CB315E" w:rsidRDefault="002D1E27" w:rsidP="002D1E27">
            <w:pPr>
              <w:widowControl/>
              <w:jc w:val="left"/>
              <w:rPr>
                <w:rFonts w:ascii="Arial" w:eastAsia="宋体" w:hAnsi="Arial" w:cs="Arial"/>
                <w:color w:val="000000"/>
                <w:kern w:val="0"/>
                <w:szCs w:val="21"/>
              </w:rPr>
            </w:pPr>
            <w:r w:rsidRPr="00CB315E">
              <w:rPr>
                <w:rFonts w:ascii="Arial" w:eastAsia="宋体" w:hAnsi="Arial" w:cs="Arial"/>
                <w:color w:val="000000"/>
                <w:kern w:val="0"/>
                <w:szCs w:val="21"/>
              </w:rPr>
              <w:t>Pathogenic (PS1+PS3)</w:t>
            </w:r>
          </w:p>
        </w:tc>
      </w:tr>
      <w:tr w:rsidR="002D1E27" w:rsidRPr="00CB315E" w14:paraId="6F0DA4F0" w14:textId="77777777" w:rsidTr="00287D42">
        <w:trPr>
          <w:trHeight w:val="312"/>
        </w:trPr>
        <w:tc>
          <w:tcPr>
            <w:tcW w:w="2316" w:type="pct"/>
            <w:tcBorders>
              <w:top w:val="nil"/>
              <w:left w:val="nil"/>
              <w:bottom w:val="nil"/>
              <w:right w:val="nil"/>
            </w:tcBorders>
            <w:shd w:val="clear" w:color="auto" w:fill="D9D9D9" w:themeFill="background1" w:themeFillShade="D9"/>
            <w:noWrap/>
            <w:vAlign w:val="center"/>
            <w:hideMark/>
          </w:tcPr>
          <w:p w14:paraId="53D865E5" w14:textId="10C173A3" w:rsidR="002D1E27" w:rsidRPr="00CB315E" w:rsidRDefault="002D1E27" w:rsidP="002D1E27">
            <w:pPr>
              <w:widowControl/>
              <w:jc w:val="left"/>
              <w:rPr>
                <w:rFonts w:ascii="Arial" w:eastAsia="宋体" w:hAnsi="Arial" w:cs="Arial"/>
                <w:color w:val="000000"/>
                <w:kern w:val="0"/>
                <w:szCs w:val="21"/>
              </w:rPr>
            </w:pPr>
            <w:r w:rsidRPr="00CB315E">
              <w:rPr>
                <w:rFonts w:ascii="Arial" w:eastAsia="宋体" w:hAnsi="Arial" w:cs="Arial"/>
                <w:color w:val="000000"/>
                <w:kern w:val="0"/>
                <w:szCs w:val="21"/>
              </w:rPr>
              <w:t>c.1103A&gt;G/</w:t>
            </w:r>
            <w:r w:rsidR="00CB315E" w:rsidRPr="00CB315E">
              <w:rPr>
                <w:rFonts w:ascii="Arial" w:eastAsia="宋体" w:hAnsi="Arial" w:cs="Arial"/>
                <w:color w:val="000000"/>
                <w:kern w:val="0"/>
                <w:szCs w:val="21"/>
              </w:rPr>
              <w:t>p. D</w:t>
            </w:r>
            <w:r w:rsidRPr="00CB315E">
              <w:rPr>
                <w:rFonts w:ascii="Arial" w:eastAsia="宋体" w:hAnsi="Arial" w:cs="Arial"/>
                <w:color w:val="000000"/>
                <w:kern w:val="0"/>
                <w:szCs w:val="21"/>
              </w:rPr>
              <w:t>368G</w:t>
            </w:r>
            <w:r w:rsidR="00CB315E" w:rsidRPr="00287D42">
              <w:rPr>
                <w:rFonts w:ascii="Arial" w:eastAsia="宋体" w:hAnsi="Arial" w:cs="Arial"/>
                <w:b/>
                <w:bCs/>
                <w:color w:val="000000"/>
                <w:kern w:val="0"/>
                <w:sz w:val="24"/>
                <w:szCs w:val="24"/>
                <w:vertAlign w:val="superscript"/>
              </w:rPr>
              <w:t>*</w:t>
            </w:r>
          </w:p>
        </w:tc>
        <w:tc>
          <w:tcPr>
            <w:tcW w:w="2684" w:type="pct"/>
            <w:tcBorders>
              <w:top w:val="nil"/>
              <w:left w:val="nil"/>
              <w:bottom w:val="nil"/>
              <w:right w:val="nil"/>
            </w:tcBorders>
            <w:shd w:val="clear" w:color="auto" w:fill="D9D9D9" w:themeFill="background1" w:themeFillShade="D9"/>
            <w:noWrap/>
            <w:vAlign w:val="center"/>
            <w:hideMark/>
          </w:tcPr>
          <w:p w14:paraId="2FC9E2C6" w14:textId="19E5CE2C" w:rsidR="002D1E27" w:rsidRPr="00CB315E" w:rsidRDefault="00CB315E" w:rsidP="002D1E27">
            <w:pPr>
              <w:widowControl/>
              <w:jc w:val="left"/>
              <w:rPr>
                <w:rFonts w:ascii="Arial" w:eastAsia="宋体" w:hAnsi="Arial" w:cs="Arial"/>
                <w:color w:val="000000"/>
                <w:kern w:val="0"/>
                <w:szCs w:val="21"/>
              </w:rPr>
            </w:pPr>
            <w:r w:rsidRPr="00CB315E">
              <w:rPr>
                <w:rFonts w:ascii="Arial" w:eastAsia="宋体" w:hAnsi="Arial" w:cs="Arial"/>
                <w:color w:val="000000"/>
                <w:kern w:val="0"/>
                <w:szCs w:val="21"/>
              </w:rPr>
              <w:t>Pathogenic (</w:t>
            </w:r>
            <w:r w:rsidR="002D1E27" w:rsidRPr="00CB315E">
              <w:rPr>
                <w:rFonts w:ascii="Arial" w:eastAsia="宋体" w:hAnsi="Arial" w:cs="Arial"/>
                <w:color w:val="000000"/>
                <w:kern w:val="0"/>
                <w:szCs w:val="21"/>
              </w:rPr>
              <w:t>PS3+PM2+PM5++PP2+PP3+PP4)</w:t>
            </w:r>
          </w:p>
        </w:tc>
      </w:tr>
      <w:tr w:rsidR="002D1E27" w:rsidRPr="00CB315E" w14:paraId="7536C062" w14:textId="77777777" w:rsidTr="00CB315E">
        <w:trPr>
          <w:trHeight w:val="312"/>
        </w:trPr>
        <w:tc>
          <w:tcPr>
            <w:tcW w:w="2316" w:type="pct"/>
            <w:tcBorders>
              <w:top w:val="nil"/>
              <w:left w:val="nil"/>
              <w:bottom w:val="nil"/>
              <w:right w:val="nil"/>
            </w:tcBorders>
            <w:shd w:val="clear" w:color="auto" w:fill="auto"/>
            <w:noWrap/>
            <w:vAlign w:val="center"/>
            <w:hideMark/>
          </w:tcPr>
          <w:p w14:paraId="797D7150" w14:textId="015902CC" w:rsidR="002D1E27" w:rsidRPr="00CB315E" w:rsidRDefault="002D1E27" w:rsidP="002D1E27">
            <w:pPr>
              <w:widowControl/>
              <w:jc w:val="left"/>
              <w:rPr>
                <w:rFonts w:ascii="Arial" w:eastAsia="宋体" w:hAnsi="Arial" w:cs="Arial"/>
                <w:color w:val="000000"/>
                <w:kern w:val="0"/>
                <w:szCs w:val="21"/>
              </w:rPr>
            </w:pPr>
            <w:r w:rsidRPr="00CB315E">
              <w:rPr>
                <w:rFonts w:ascii="Arial" w:eastAsia="宋体" w:hAnsi="Arial" w:cs="Arial"/>
                <w:color w:val="000000"/>
                <w:kern w:val="0"/>
                <w:szCs w:val="21"/>
              </w:rPr>
              <w:t>c.1133A&gt;G/</w:t>
            </w:r>
            <w:r w:rsidR="00CB315E" w:rsidRPr="00CB315E">
              <w:rPr>
                <w:rFonts w:ascii="Arial" w:eastAsia="宋体" w:hAnsi="Arial" w:cs="Arial"/>
                <w:color w:val="000000"/>
                <w:kern w:val="0"/>
                <w:szCs w:val="21"/>
              </w:rPr>
              <w:t>p. D</w:t>
            </w:r>
            <w:r w:rsidRPr="00CB315E">
              <w:rPr>
                <w:rFonts w:ascii="Arial" w:eastAsia="宋体" w:hAnsi="Arial" w:cs="Arial"/>
                <w:color w:val="000000"/>
                <w:kern w:val="0"/>
                <w:szCs w:val="21"/>
              </w:rPr>
              <w:t>378G</w:t>
            </w:r>
          </w:p>
        </w:tc>
        <w:tc>
          <w:tcPr>
            <w:tcW w:w="2684" w:type="pct"/>
            <w:tcBorders>
              <w:top w:val="nil"/>
              <w:left w:val="nil"/>
              <w:bottom w:val="nil"/>
              <w:right w:val="nil"/>
            </w:tcBorders>
            <w:shd w:val="clear" w:color="auto" w:fill="auto"/>
            <w:noWrap/>
            <w:vAlign w:val="center"/>
            <w:hideMark/>
          </w:tcPr>
          <w:p w14:paraId="5C70FA14" w14:textId="77777777" w:rsidR="002D1E27" w:rsidRPr="00CB315E" w:rsidRDefault="002D1E27" w:rsidP="002D1E27">
            <w:pPr>
              <w:widowControl/>
              <w:jc w:val="left"/>
              <w:rPr>
                <w:rFonts w:ascii="Arial" w:eastAsia="宋体" w:hAnsi="Arial" w:cs="Arial"/>
                <w:color w:val="000000"/>
                <w:kern w:val="0"/>
                <w:szCs w:val="21"/>
              </w:rPr>
            </w:pPr>
            <w:r w:rsidRPr="00CB315E">
              <w:rPr>
                <w:rFonts w:ascii="Arial" w:eastAsia="宋体" w:hAnsi="Arial" w:cs="Arial"/>
                <w:color w:val="000000"/>
                <w:kern w:val="0"/>
                <w:szCs w:val="21"/>
              </w:rPr>
              <w:t>Pathogenic (PS1+PS3)</w:t>
            </w:r>
          </w:p>
        </w:tc>
      </w:tr>
      <w:tr w:rsidR="002D1E27" w:rsidRPr="00CB315E" w14:paraId="49DB6474" w14:textId="77777777" w:rsidTr="00287D42">
        <w:trPr>
          <w:trHeight w:val="312"/>
        </w:trPr>
        <w:tc>
          <w:tcPr>
            <w:tcW w:w="2316" w:type="pct"/>
            <w:tcBorders>
              <w:top w:val="nil"/>
              <w:left w:val="nil"/>
              <w:bottom w:val="nil"/>
              <w:right w:val="nil"/>
            </w:tcBorders>
            <w:shd w:val="clear" w:color="auto" w:fill="D9D9D9" w:themeFill="background1" w:themeFillShade="D9"/>
            <w:noWrap/>
            <w:vAlign w:val="center"/>
            <w:hideMark/>
          </w:tcPr>
          <w:p w14:paraId="507F57C0" w14:textId="558CDB85" w:rsidR="002D1E27" w:rsidRPr="00CB315E" w:rsidRDefault="002D1E27" w:rsidP="002D1E27">
            <w:pPr>
              <w:widowControl/>
              <w:jc w:val="left"/>
              <w:rPr>
                <w:rFonts w:ascii="Arial" w:eastAsia="宋体" w:hAnsi="Arial" w:cs="Arial"/>
                <w:color w:val="000000"/>
                <w:kern w:val="0"/>
                <w:szCs w:val="21"/>
              </w:rPr>
            </w:pPr>
            <w:r w:rsidRPr="00CB315E">
              <w:rPr>
                <w:rFonts w:ascii="Arial" w:eastAsia="宋体" w:hAnsi="Arial" w:cs="Arial"/>
                <w:color w:val="000000"/>
                <w:kern w:val="0"/>
                <w:szCs w:val="21"/>
              </w:rPr>
              <w:t>c.1355A&gt;G/</w:t>
            </w:r>
            <w:r w:rsidR="00CB315E" w:rsidRPr="00CB315E">
              <w:rPr>
                <w:rFonts w:ascii="Arial" w:eastAsia="宋体" w:hAnsi="Arial" w:cs="Arial"/>
                <w:color w:val="000000"/>
                <w:kern w:val="0"/>
                <w:szCs w:val="21"/>
              </w:rPr>
              <w:t>p. D</w:t>
            </w:r>
            <w:r w:rsidRPr="00CB315E">
              <w:rPr>
                <w:rFonts w:ascii="Arial" w:eastAsia="宋体" w:hAnsi="Arial" w:cs="Arial"/>
                <w:color w:val="000000"/>
                <w:kern w:val="0"/>
                <w:szCs w:val="21"/>
              </w:rPr>
              <w:t>452G</w:t>
            </w:r>
          </w:p>
        </w:tc>
        <w:tc>
          <w:tcPr>
            <w:tcW w:w="2684" w:type="pct"/>
            <w:tcBorders>
              <w:top w:val="nil"/>
              <w:left w:val="nil"/>
              <w:bottom w:val="nil"/>
              <w:right w:val="nil"/>
            </w:tcBorders>
            <w:shd w:val="clear" w:color="auto" w:fill="D9D9D9" w:themeFill="background1" w:themeFillShade="D9"/>
            <w:noWrap/>
            <w:vAlign w:val="center"/>
            <w:hideMark/>
          </w:tcPr>
          <w:p w14:paraId="40564D2C" w14:textId="77777777" w:rsidR="002D1E27" w:rsidRPr="00CB315E" w:rsidRDefault="002D1E27" w:rsidP="002D1E27">
            <w:pPr>
              <w:widowControl/>
              <w:jc w:val="left"/>
              <w:rPr>
                <w:rFonts w:ascii="Arial" w:eastAsia="宋体" w:hAnsi="Arial" w:cs="Arial"/>
                <w:color w:val="000000"/>
                <w:kern w:val="0"/>
                <w:szCs w:val="21"/>
              </w:rPr>
            </w:pPr>
            <w:r w:rsidRPr="00CB315E">
              <w:rPr>
                <w:rFonts w:ascii="Arial" w:eastAsia="宋体" w:hAnsi="Arial" w:cs="Arial"/>
                <w:color w:val="000000"/>
                <w:kern w:val="0"/>
                <w:szCs w:val="21"/>
              </w:rPr>
              <w:t>Pathogenic (PS1+PS3)</w:t>
            </w:r>
          </w:p>
        </w:tc>
      </w:tr>
      <w:tr w:rsidR="002D1E27" w:rsidRPr="00CB315E" w14:paraId="0A7D887E" w14:textId="77777777" w:rsidTr="00CB315E">
        <w:trPr>
          <w:trHeight w:val="312"/>
        </w:trPr>
        <w:tc>
          <w:tcPr>
            <w:tcW w:w="2316" w:type="pct"/>
            <w:tcBorders>
              <w:top w:val="nil"/>
              <w:left w:val="nil"/>
              <w:bottom w:val="nil"/>
              <w:right w:val="nil"/>
            </w:tcBorders>
            <w:shd w:val="clear" w:color="auto" w:fill="auto"/>
            <w:noWrap/>
            <w:vAlign w:val="center"/>
            <w:hideMark/>
          </w:tcPr>
          <w:p w14:paraId="00A99D52" w14:textId="4D49C987" w:rsidR="002D1E27" w:rsidRPr="00CB315E" w:rsidRDefault="002D1E27" w:rsidP="002D1E27">
            <w:pPr>
              <w:widowControl/>
              <w:jc w:val="left"/>
              <w:rPr>
                <w:rFonts w:ascii="Arial" w:eastAsia="宋体" w:hAnsi="Arial" w:cs="Arial"/>
                <w:color w:val="000000"/>
                <w:kern w:val="0"/>
                <w:szCs w:val="21"/>
              </w:rPr>
            </w:pPr>
            <w:r w:rsidRPr="00CB315E">
              <w:rPr>
                <w:rFonts w:ascii="Arial" w:eastAsia="宋体" w:hAnsi="Arial" w:cs="Arial"/>
                <w:color w:val="000000"/>
                <w:kern w:val="0"/>
                <w:szCs w:val="21"/>
              </w:rPr>
              <w:t>c.1470delC/</w:t>
            </w:r>
            <w:r w:rsidR="00CB315E" w:rsidRPr="00CB315E">
              <w:rPr>
                <w:rFonts w:ascii="Arial" w:eastAsia="宋体" w:hAnsi="Arial" w:cs="Arial"/>
                <w:color w:val="000000"/>
                <w:kern w:val="0"/>
                <w:szCs w:val="21"/>
              </w:rPr>
              <w:t>p. R</w:t>
            </w:r>
            <w:r w:rsidRPr="00CB315E">
              <w:rPr>
                <w:rFonts w:ascii="Arial" w:eastAsia="宋体" w:hAnsi="Arial" w:cs="Arial"/>
                <w:color w:val="000000"/>
                <w:kern w:val="0"/>
                <w:szCs w:val="21"/>
              </w:rPr>
              <w:t>490fs494X</w:t>
            </w:r>
            <w:r w:rsidR="00CB315E" w:rsidRPr="00287D42">
              <w:rPr>
                <w:rFonts w:ascii="Arial" w:eastAsia="宋体" w:hAnsi="Arial" w:cs="Arial"/>
                <w:color w:val="000000"/>
                <w:kern w:val="0"/>
                <w:sz w:val="24"/>
                <w:szCs w:val="24"/>
                <w:vertAlign w:val="superscript"/>
              </w:rPr>
              <w:t>*</w:t>
            </w:r>
            <w:r w:rsidRPr="00CB315E">
              <w:rPr>
                <w:rFonts w:ascii="Arial" w:eastAsia="宋体" w:hAnsi="Arial" w:cs="Arial"/>
                <w:color w:val="000000"/>
                <w:kern w:val="0"/>
                <w:szCs w:val="21"/>
              </w:rPr>
              <w:t xml:space="preserve"> </w:t>
            </w:r>
          </w:p>
        </w:tc>
        <w:tc>
          <w:tcPr>
            <w:tcW w:w="2684" w:type="pct"/>
            <w:tcBorders>
              <w:top w:val="nil"/>
              <w:left w:val="nil"/>
              <w:bottom w:val="nil"/>
              <w:right w:val="nil"/>
            </w:tcBorders>
            <w:shd w:val="clear" w:color="auto" w:fill="auto"/>
            <w:noWrap/>
            <w:vAlign w:val="center"/>
            <w:hideMark/>
          </w:tcPr>
          <w:p w14:paraId="06050AD7" w14:textId="77777777" w:rsidR="002D1E27" w:rsidRPr="00CB315E" w:rsidRDefault="002D1E27" w:rsidP="002D1E27">
            <w:pPr>
              <w:widowControl/>
              <w:jc w:val="left"/>
              <w:rPr>
                <w:rFonts w:ascii="Arial" w:eastAsia="宋体" w:hAnsi="Arial" w:cs="Arial"/>
                <w:color w:val="000000"/>
                <w:kern w:val="0"/>
                <w:szCs w:val="21"/>
              </w:rPr>
            </w:pPr>
            <w:r w:rsidRPr="00CB315E">
              <w:rPr>
                <w:rFonts w:ascii="Arial" w:eastAsia="宋体" w:hAnsi="Arial" w:cs="Arial"/>
                <w:color w:val="000000"/>
                <w:kern w:val="0"/>
                <w:szCs w:val="21"/>
              </w:rPr>
              <w:t>Pathogenic (PVS1+PS3)</w:t>
            </w:r>
          </w:p>
        </w:tc>
      </w:tr>
      <w:tr w:rsidR="002D1E27" w:rsidRPr="00CB315E" w14:paraId="071B5F51" w14:textId="77777777" w:rsidTr="00287D42">
        <w:trPr>
          <w:trHeight w:val="312"/>
        </w:trPr>
        <w:tc>
          <w:tcPr>
            <w:tcW w:w="2316" w:type="pct"/>
            <w:tcBorders>
              <w:top w:val="nil"/>
              <w:left w:val="nil"/>
              <w:right w:val="nil"/>
            </w:tcBorders>
            <w:shd w:val="clear" w:color="auto" w:fill="D9D9D9" w:themeFill="background1" w:themeFillShade="D9"/>
            <w:vAlign w:val="center"/>
            <w:hideMark/>
          </w:tcPr>
          <w:p w14:paraId="0CE9F318" w14:textId="1FA20FF7" w:rsidR="002D1E27" w:rsidRPr="00CB315E" w:rsidRDefault="002D1E27" w:rsidP="002D1E27">
            <w:pPr>
              <w:widowControl/>
              <w:jc w:val="left"/>
              <w:rPr>
                <w:rFonts w:ascii="Arial" w:eastAsia="宋体" w:hAnsi="Arial" w:cs="Arial"/>
                <w:color w:val="000000"/>
                <w:kern w:val="0"/>
                <w:szCs w:val="21"/>
              </w:rPr>
            </w:pPr>
            <w:r w:rsidRPr="00CB315E">
              <w:rPr>
                <w:rFonts w:ascii="Arial" w:eastAsia="宋体" w:hAnsi="Arial" w:cs="Arial"/>
                <w:color w:val="000000"/>
                <w:kern w:val="0"/>
                <w:szCs w:val="21"/>
              </w:rPr>
              <w:t>c.1499A&gt;T/</w:t>
            </w:r>
            <w:r w:rsidR="00CB315E" w:rsidRPr="00CB315E">
              <w:rPr>
                <w:rFonts w:ascii="Arial" w:eastAsia="宋体" w:hAnsi="Arial" w:cs="Arial"/>
                <w:color w:val="000000"/>
                <w:kern w:val="0"/>
                <w:szCs w:val="21"/>
              </w:rPr>
              <w:t>p. N</w:t>
            </w:r>
            <w:r w:rsidRPr="00CB315E">
              <w:rPr>
                <w:rFonts w:ascii="Arial" w:eastAsia="宋体" w:hAnsi="Arial" w:cs="Arial"/>
                <w:color w:val="000000"/>
                <w:kern w:val="0"/>
                <w:szCs w:val="21"/>
              </w:rPr>
              <w:t>500I</w:t>
            </w:r>
          </w:p>
        </w:tc>
        <w:tc>
          <w:tcPr>
            <w:tcW w:w="2684" w:type="pct"/>
            <w:tcBorders>
              <w:top w:val="nil"/>
              <w:left w:val="nil"/>
              <w:right w:val="nil"/>
            </w:tcBorders>
            <w:shd w:val="clear" w:color="auto" w:fill="D9D9D9" w:themeFill="background1" w:themeFillShade="D9"/>
            <w:noWrap/>
            <w:vAlign w:val="center"/>
            <w:hideMark/>
          </w:tcPr>
          <w:p w14:paraId="061FA576" w14:textId="77777777" w:rsidR="002D1E27" w:rsidRPr="00CB315E" w:rsidRDefault="002D1E27" w:rsidP="002D1E27">
            <w:pPr>
              <w:widowControl/>
              <w:jc w:val="left"/>
              <w:rPr>
                <w:rFonts w:ascii="Arial" w:eastAsia="宋体" w:hAnsi="Arial" w:cs="Arial"/>
                <w:color w:val="000000"/>
                <w:kern w:val="0"/>
                <w:szCs w:val="21"/>
              </w:rPr>
            </w:pPr>
            <w:r w:rsidRPr="00CB315E">
              <w:rPr>
                <w:rFonts w:ascii="Arial" w:eastAsia="宋体" w:hAnsi="Arial" w:cs="Arial"/>
                <w:color w:val="000000"/>
                <w:kern w:val="0"/>
                <w:szCs w:val="21"/>
              </w:rPr>
              <w:t>Pathogenic (PS1+PS3)</w:t>
            </w:r>
          </w:p>
        </w:tc>
      </w:tr>
      <w:tr w:rsidR="002D1E27" w:rsidRPr="00CB315E" w14:paraId="1339A8BC" w14:textId="77777777" w:rsidTr="00CB315E">
        <w:trPr>
          <w:trHeight w:val="312"/>
        </w:trPr>
        <w:tc>
          <w:tcPr>
            <w:tcW w:w="2316" w:type="pct"/>
            <w:tcBorders>
              <w:top w:val="nil"/>
              <w:left w:val="nil"/>
              <w:bottom w:val="single" w:sz="4" w:space="0" w:color="auto"/>
              <w:right w:val="nil"/>
            </w:tcBorders>
            <w:shd w:val="clear" w:color="auto" w:fill="auto"/>
            <w:noWrap/>
            <w:vAlign w:val="center"/>
            <w:hideMark/>
          </w:tcPr>
          <w:p w14:paraId="40245BFB" w14:textId="6C76D88A" w:rsidR="002D1E27" w:rsidRPr="00CB315E" w:rsidRDefault="002D1E27" w:rsidP="002D1E27">
            <w:pPr>
              <w:widowControl/>
              <w:jc w:val="left"/>
              <w:rPr>
                <w:rFonts w:ascii="Arial" w:eastAsia="宋体" w:hAnsi="Arial" w:cs="Arial"/>
                <w:color w:val="000000"/>
                <w:kern w:val="0"/>
                <w:szCs w:val="21"/>
              </w:rPr>
            </w:pPr>
            <w:r w:rsidRPr="00CB315E">
              <w:rPr>
                <w:rFonts w:ascii="Arial" w:eastAsia="宋体" w:hAnsi="Arial" w:cs="Arial"/>
                <w:color w:val="000000"/>
                <w:kern w:val="0"/>
                <w:szCs w:val="21"/>
              </w:rPr>
              <w:t>c.1696C&gt;G/</w:t>
            </w:r>
            <w:r w:rsidR="00CB315E" w:rsidRPr="00CB315E">
              <w:rPr>
                <w:rFonts w:ascii="Arial" w:eastAsia="宋体" w:hAnsi="Arial" w:cs="Arial"/>
                <w:color w:val="000000"/>
                <w:kern w:val="0"/>
                <w:szCs w:val="21"/>
              </w:rPr>
              <w:t>p. L</w:t>
            </w:r>
            <w:r w:rsidRPr="00CB315E">
              <w:rPr>
                <w:rFonts w:ascii="Arial" w:eastAsia="宋体" w:hAnsi="Arial" w:cs="Arial"/>
                <w:color w:val="000000"/>
                <w:kern w:val="0"/>
                <w:szCs w:val="21"/>
              </w:rPr>
              <w:t>566V</w:t>
            </w:r>
            <w:r w:rsidR="00CB315E" w:rsidRPr="00287D42">
              <w:rPr>
                <w:rFonts w:ascii="Arial" w:eastAsia="宋体" w:hAnsi="Arial" w:cs="Arial"/>
                <w:b/>
                <w:bCs/>
                <w:color w:val="000000"/>
                <w:kern w:val="0"/>
                <w:sz w:val="24"/>
                <w:szCs w:val="24"/>
                <w:vertAlign w:val="superscript"/>
              </w:rPr>
              <w:t>*</w:t>
            </w:r>
            <w:r w:rsidRPr="00CB315E">
              <w:rPr>
                <w:rFonts w:ascii="Arial" w:eastAsia="宋体" w:hAnsi="Arial" w:cs="Arial"/>
                <w:color w:val="000000"/>
                <w:kern w:val="0"/>
                <w:szCs w:val="21"/>
              </w:rPr>
              <w:t xml:space="preserve"> </w:t>
            </w:r>
          </w:p>
        </w:tc>
        <w:tc>
          <w:tcPr>
            <w:tcW w:w="2684" w:type="pct"/>
            <w:tcBorders>
              <w:top w:val="nil"/>
              <w:left w:val="nil"/>
              <w:bottom w:val="single" w:sz="4" w:space="0" w:color="auto"/>
              <w:right w:val="nil"/>
            </w:tcBorders>
            <w:shd w:val="clear" w:color="000000" w:fill="FFFFFF"/>
            <w:noWrap/>
            <w:vAlign w:val="center"/>
            <w:hideMark/>
          </w:tcPr>
          <w:p w14:paraId="4DE98900" w14:textId="4E20D819" w:rsidR="002D1E27" w:rsidRPr="00CB315E" w:rsidRDefault="00CB315E" w:rsidP="002D1E27">
            <w:pPr>
              <w:widowControl/>
              <w:jc w:val="left"/>
              <w:rPr>
                <w:rFonts w:ascii="Arial" w:eastAsia="宋体" w:hAnsi="Arial" w:cs="Arial"/>
                <w:color w:val="000000"/>
                <w:kern w:val="0"/>
                <w:szCs w:val="21"/>
              </w:rPr>
            </w:pPr>
            <w:r w:rsidRPr="00CB315E">
              <w:rPr>
                <w:rFonts w:ascii="Arial" w:eastAsia="宋体" w:hAnsi="Arial" w:cs="Arial"/>
                <w:color w:val="000000"/>
                <w:kern w:val="0"/>
                <w:szCs w:val="21"/>
              </w:rPr>
              <w:t>Pathogenic (</w:t>
            </w:r>
            <w:r w:rsidR="002D1E27" w:rsidRPr="00CB315E">
              <w:rPr>
                <w:rFonts w:ascii="Arial" w:eastAsia="宋体" w:hAnsi="Arial" w:cs="Arial"/>
                <w:color w:val="000000"/>
                <w:kern w:val="0"/>
                <w:szCs w:val="21"/>
              </w:rPr>
              <w:t>PS3+PM2+PM5++PP2+PP3+PP4)</w:t>
            </w:r>
          </w:p>
        </w:tc>
      </w:tr>
    </w:tbl>
    <w:p w14:paraId="260ADEB5" w14:textId="4E7662ED" w:rsidR="00EB71EF" w:rsidRPr="00482C95" w:rsidRDefault="00CB315E">
      <w:pPr>
        <w:rPr>
          <w:rFonts w:ascii="Arial" w:eastAsia="等线" w:hAnsi="Arial" w:cs="Arial" w:hint="eastAsia"/>
          <w:color w:val="000000"/>
          <w:sz w:val="18"/>
          <w:szCs w:val="18"/>
        </w:rPr>
      </w:pPr>
      <w:r w:rsidRPr="00287D42">
        <w:rPr>
          <w:rFonts w:ascii="Arial" w:eastAsia="宋体" w:hAnsi="Arial" w:cs="Arial"/>
          <w:b/>
          <w:bCs/>
          <w:color w:val="000000"/>
          <w:kern w:val="0"/>
          <w:sz w:val="24"/>
          <w:szCs w:val="24"/>
        </w:rPr>
        <w:t>*</w:t>
      </w:r>
      <w:r w:rsidRPr="00CB315E">
        <w:rPr>
          <w:rFonts w:ascii="Arial" w:eastAsia="宋体" w:hAnsi="Arial" w:cs="Arial"/>
          <w:color w:val="000000"/>
          <w:kern w:val="0"/>
          <w:sz w:val="18"/>
          <w:szCs w:val="18"/>
        </w:rPr>
        <w:t xml:space="preserve">, Novel PANK2 mutations found in our study. </w:t>
      </w:r>
      <w:r w:rsidRPr="00CB315E">
        <w:rPr>
          <w:rStyle w:val="src"/>
          <w:rFonts w:ascii="Arial" w:eastAsia="等线" w:hAnsi="Arial" w:cs="Arial"/>
          <w:color w:val="000000"/>
          <w:sz w:val="18"/>
          <w:szCs w:val="18"/>
        </w:rPr>
        <w:t>Pathogenic criterion is weighted as very strong (PVS1), strong (PS1–4); moderate (PM1–6), or supporting (PP1–5) according the guidelines</w:t>
      </w:r>
      <w:r w:rsidR="00482C95">
        <w:rPr>
          <w:rStyle w:val="src"/>
          <w:rFonts w:ascii="Arial" w:eastAsia="等线" w:hAnsi="Arial" w:cs="Arial"/>
          <w:color w:val="000000"/>
          <w:sz w:val="18"/>
          <w:szCs w:val="18"/>
        </w:rPr>
        <w:fldChar w:fldCharType="begin" w:fldLock="1"/>
      </w:r>
      <w:r w:rsidR="00482C95">
        <w:rPr>
          <w:rStyle w:val="src"/>
          <w:rFonts w:ascii="Arial" w:eastAsia="等线" w:hAnsi="Arial" w:cs="Arial"/>
          <w:color w:val="000000"/>
          <w:sz w:val="18"/>
          <w:szCs w:val="18"/>
        </w:rPr>
        <w:instrText>ADDIN CSL_CITATION {"citationItems":[{"id":"ITEM-1","itemData":{"DOI":"10.1038/gim.2015.30","ISSN":"1530-0366 (Electronic)","PMID":"25741868","abstract":"The American College of Medical Genetics and Genomics (ACMG) previously developed guidance for the interpretation of sequence variants.(1) In the past decade, sequencing technology has evolved rapidly with the advent of high-throughput next-generation sequencing. By adopting and leveraging next-generation sequencing, clinical laboratories are now performing an ever-increasing catalogue of genetic testing spanning genotyping, single genes, gene panels, exomes, genomes, transcriptomes, and epigenetic assays for genetic disorders. By virtue of increased complexity, this shift in genetic testing has been accompanied by new challenges in sequence interpretation. In this context the ACMG convened a workgroup in 2013 comprising representatives from the ACMG, the Association for Molecular Pathology (AMP), and the College of American Pathologists to revisit and revise the standards and guidelines for the interpretation of sequence variants. The group consisted of clinical laboratory directors and clinicians. This report represents expert opinion of the workgroup with input from ACMG, AMP, and College of American Pathologists stakeholders. These recommendations primarily apply to the breadth of genetic tests used in clinical laboratories, including genotyping, single genes, panels, exomes, and genomes. This report recommends the use of specific standard terminology-\"pathogenic,\" \"likely pathogenic,\" \"uncertain significance,\" \"likely benign,\" and \"benign\"-to describe variants identified in genes that cause Mendelian disorders. Moreover, this recommendation describes a process for classifying variants into these five categories based on criteria using typical types of variant evidence (e.g., population data, computational data, functional data, segregation data). Because of the increased complexity of analysis and interpretation of clinical genetic testing described in this report, the ACMG strongly recommends that clinical molecular genetic testing should be performed in a Clinical Laboratory Improvement Amendments-approved laboratory, with results interpreted by a board-certified clinical molecular geneticist or molecular genetic pathologist or the equivalent.","author":[{"dropping-particle":"","family":"Richards","given":"Sue","non-dropping-particle":"","parse-names":false,"suffix":""},{"dropping-particle":"","family":"Aziz","given":"Nazneen","non-dropping-particle":"","parse-names":false,"suffix":""},{"dropping-particle":"","family":"Bale","given":"Sherri","non-dropping-particle":"","parse-names":false,"suffix":""},{"dropping-particle":"","family":"Bick","given":"David","non-dropping-particle":"","parse-names":false,"suffix":""},{"dropping-particle":"","family":"Das","given":"Soma","non-dropping-particle":"","parse-names":false,"suffix":""},{"dropping-particle":"","family":"Gastier-Foster","given":"Julie","non-dropping-particle":"","parse-names":false,"suffix":""},{"dropping-particle":"","family":"Grody","given":"Wayne W","non-dropping-particle":"","parse-names":false,"suffix":""},{"dropping-particle":"","family":"Hegde","given":"Madhuri","non-dropping-particle":"","parse-names":false,"suffix":""},{"dropping-particle":"","family":"Lyon","given":"Elaine","non-dropping-particle":"","parse-names":false,"suffix":""},{"dropping-particle":"","family":"Spector","given":"Elaine","non-dropping-particle":"","parse-names":false,"suffix":""},{"dropping-particle":"","family":"Voelkerding","given":"Karl","non-dropping-particle":"","parse-names":false,"suffix":""},{"dropping-particle":"","family":"Rehm","given":"Heidi L","non-dropping-particle":"","parse-names":false,"suffix":""}],"container-title":"Genetics in medicine : official journal of the American College of Medical Genetics","id":"ITEM-1","issue":"5","issued":{"date-parts":[["2015","5"]]},"language":"eng","page":"405-424","title":"14-Standards and guidelines for the interpretation of sequence variants: a joint consensus recommendation of the American College of Medical Genetics and Genomics and the Association for Molecular Pathology.","type":"article-journal","volume":"17"},"uris":["http://www.mendeley.com/documents/?uuid=19f38909-8cec-41cf-8440-b25bc2a4f93e"]}],"mendeley":{"formattedCitation":"(Richards et al., 2015)","plainTextFormattedCitation":"(Richards et al., 2015)","previouslyFormattedCitation":"(Richards et al., 2015)"},"properties":{"noteIndex":0},"schema":"https://github.com/citation-style-language/schema/raw/master/csl-citation.json"}</w:instrText>
      </w:r>
      <w:r w:rsidR="00482C95">
        <w:rPr>
          <w:rStyle w:val="src"/>
          <w:rFonts w:ascii="Arial" w:eastAsia="等线" w:hAnsi="Arial" w:cs="Arial"/>
          <w:color w:val="000000"/>
          <w:sz w:val="18"/>
          <w:szCs w:val="18"/>
        </w:rPr>
        <w:fldChar w:fldCharType="separate"/>
      </w:r>
      <w:r w:rsidR="00482C95" w:rsidRPr="00482C95">
        <w:rPr>
          <w:rStyle w:val="src"/>
          <w:rFonts w:ascii="Arial" w:eastAsia="等线" w:hAnsi="Arial" w:cs="Arial"/>
          <w:noProof/>
          <w:color w:val="000000"/>
          <w:sz w:val="18"/>
          <w:szCs w:val="18"/>
        </w:rPr>
        <w:t>(Richards et al., 2015)</w:t>
      </w:r>
      <w:r w:rsidR="00482C95">
        <w:rPr>
          <w:rStyle w:val="src"/>
          <w:rFonts w:ascii="Arial" w:eastAsia="等线" w:hAnsi="Arial" w:cs="Arial"/>
          <w:color w:val="000000"/>
          <w:sz w:val="18"/>
          <w:szCs w:val="18"/>
        </w:rPr>
        <w:fldChar w:fldCharType="end"/>
      </w:r>
      <w:r w:rsidRPr="00CB315E">
        <w:rPr>
          <w:rStyle w:val="src"/>
          <w:rFonts w:ascii="Arial" w:eastAsia="等线" w:hAnsi="Arial" w:cs="Arial"/>
          <w:color w:val="000000"/>
          <w:sz w:val="18"/>
          <w:szCs w:val="18"/>
        </w:rPr>
        <w:t>.</w:t>
      </w:r>
    </w:p>
    <w:sectPr w:rsidR="00EB71EF" w:rsidRPr="00482C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C53D6" w14:textId="77777777" w:rsidR="00E121CB" w:rsidRDefault="00E121CB" w:rsidP="00CB315E">
      <w:r>
        <w:separator/>
      </w:r>
    </w:p>
  </w:endnote>
  <w:endnote w:type="continuationSeparator" w:id="0">
    <w:p w14:paraId="11D96A6E" w14:textId="77777777" w:rsidR="00E121CB" w:rsidRDefault="00E121CB" w:rsidP="00CB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220DD" w14:textId="77777777" w:rsidR="00E121CB" w:rsidRDefault="00E121CB" w:rsidP="00CB315E">
      <w:r>
        <w:separator/>
      </w:r>
    </w:p>
  </w:footnote>
  <w:footnote w:type="continuationSeparator" w:id="0">
    <w:p w14:paraId="03BD2B58" w14:textId="77777777" w:rsidR="00E121CB" w:rsidRDefault="00E121CB" w:rsidP="00CB3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1E27"/>
    <w:rsid w:val="00287D42"/>
    <w:rsid w:val="002B6872"/>
    <w:rsid w:val="002D1E27"/>
    <w:rsid w:val="00330FE6"/>
    <w:rsid w:val="00482C95"/>
    <w:rsid w:val="00BF6C90"/>
    <w:rsid w:val="00CB315E"/>
    <w:rsid w:val="00E121CB"/>
    <w:rsid w:val="00EB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E0C8C"/>
  <w15:docId w15:val="{56BD11B6-B165-4811-A425-41CCEBE0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1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B315E"/>
    <w:rPr>
      <w:sz w:val="18"/>
      <w:szCs w:val="18"/>
    </w:rPr>
  </w:style>
  <w:style w:type="paragraph" w:styleId="a5">
    <w:name w:val="footer"/>
    <w:basedOn w:val="a"/>
    <w:link w:val="a6"/>
    <w:uiPriority w:val="99"/>
    <w:unhideWhenUsed/>
    <w:rsid w:val="00CB315E"/>
    <w:pPr>
      <w:tabs>
        <w:tab w:val="center" w:pos="4153"/>
        <w:tab w:val="right" w:pos="8306"/>
      </w:tabs>
      <w:snapToGrid w:val="0"/>
      <w:jc w:val="left"/>
    </w:pPr>
    <w:rPr>
      <w:sz w:val="18"/>
      <w:szCs w:val="18"/>
    </w:rPr>
  </w:style>
  <w:style w:type="character" w:customStyle="1" w:styleId="a6">
    <w:name w:val="页脚 字符"/>
    <w:basedOn w:val="a0"/>
    <w:link w:val="a5"/>
    <w:uiPriority w:val="99"/>
    <w:rsid w:val="00CB315E"/>
    <w:rPr>
      <w:sz w:val="18"/>
      <w:szCs w:val="18"/>
    </w:rPr>
  </w:style>
  <w:style w:type="character" w:customStyle="1" w:styleId="src">
    <w:name w:val="src"/>
    <w:basedOn w:val="a0"/>
    <w:rsid w:val="00CB3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ACB6D-04E4-475E-A663-AE5C8CB30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804</Words>
  <Characters>4583</Characters>
  <Application>Microsoft Office Word</Application>
  <DocSecurity>0</DocSecurity>
  <Lines>38</Lines>
  <Paragraphs>10</Paragraphs>
  <ScaleCrop>false</ScaleCrop>
  <Company>Microsoft</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lee wb</cp:lastModifiedBy>
  <cp:revision>6</cp:revision>
  <dcterms:created xsi:type="dcterms:W3CDTF">2021-01-13T01:29:00Z</dcterms:created>
  <dcterms:modified xsi:type="dcterms:W3CDTF">2021-12-29T09:06:00Z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http://www.zotero.org/styles/frontiers-in-aging-neuroscience</vt:lpwstr>
  </property>
  <property fmtid="{D5CDD505-2E9C-101B-9397-08002B2CF9AE}" pid="11" name="Mendeley Recent Style Name 4_1">
    <vt:lpwstr>Frontiers in Aging Neuroscience</vt:lpwstr>
  </property>
  <property fmtid="{D5CDD505-2E9C-101B-9397-08002B2CF9AE}" pid="12" name="Mendeley Recent Style Id 5_1">
    <vt:lpwstr>http://www.zotero.org/styles/frontiers-in-cellular-neuroscience</vt:lpwstr>
  </property>
  <property fmtid="{D5CDD505-2E9C-101B-9397-08002B2CF9AE}" pid="13" name="Mendeley Recent Style Name 5_1">
    <vt:lpwstr>Frontiers in Cellular Neuroscience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http://www.zotero.org/styles/frontiers-in-aging-neuroscience</vt:lpwstr>
  </property>
  <property fmtid="{D5CDD505-2E9C-101B-9397-08002B2CF9AE}" pid="24" name="Mendeley Unique User Id_1">
    <vt:lpwstr>1ceedf0a-fcda-31a9-9190-710afcad3ab8</vt:lpwstr>
  </property>
</Properties>
</file>