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PalatinoLTStd-Roman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Supplementary table 1. Multivariate</w:t>
      </w:r>
      <w:r>
        <w:rPr>
          <w:rFonts w:hint="default" w:ascii="Times New Roman" w:hAnsi="Times New Roman" w:eastAsia="PalatinoLTStd-Roman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analysis of independent risk factors for </w:t>
      </w:r>
      <w:r>
        <w:rPr>
          <w:rFonts w:hint="eastAsia" w:ascii="Times New Roman" w:hAnsi="Times New Roman" w:eastAsia="PalatinoLTStd-Roman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moderate</w:t>
      </w:r>
      <w:r>
        <w:rPr>
          <w:rFonts w:hint="default" w:ascii="Times New Roman" w:hAnsi="Times New Roman" w:eastAsia="PalatinoLTStd-Roman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hypoxemia</w:t>
      </w:r>
      <w:r>
        <w:rPr>
          <w:rFonts w:hint="eastAsia" w:ascii="Times New Roman" w:hAnsi="Times New Roman" w:eastAsia="PalatinoLTStd-Roman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after AADS</w:t>
      </w:r>
    </w:p>
    <w:tbl>
      <w:tblPr>
        <w:tblStyle w:val="2"/>
        <w:tblW w:w="847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9"/>
        <w:gridCol w:w="1088"/>
        <w:gridCol w:w="1325"/>
        <w:gridCol w:w="2025"/>
        <w:gridCol w:w="111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29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Characteristic</w:t>
            </w:r>
          </w:p>
        </w:tc>
        <w:tc>
          <w:tcPr>
            <w:tcW w:w="1088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Coefficient</w:t>
            </w:r>
          </w:p>
        </w:tc>
        <w:tc>
          <w:tcPr>
            <w:tcW w:w="1325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tandard error</w:t>
            </w:r>
          </w:p>
        </w:tc>
        <w:tc>
          <w:tcPr>
            <w:tcW w:w="2025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R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(95% CI)</w:t>
            </w:r>
          </w:p>
        </w:tc>
        <w:tc>
          <w:tcPr>
            <w:tcW w:w="1112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value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 w:colFirst="1" w:colLast="1"/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Age (years)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0.030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0.011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1.030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1.008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1.053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Body mass index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(kg/m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0.147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0.035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1.158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1.082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1.240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Smoking history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1.138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0.247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3.120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1.922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5.066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Hypertension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1.124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0.242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3.076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1.913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4.945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Renal insufficiency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1.070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0.298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2.916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1.628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5.225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White blood cell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count 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eastAsia="JansonTextLT-Roman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0.130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0.036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1.139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1.061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1.222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&lt;0.001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AAD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S, 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Stanford type A acute aortic dissection surgery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CI, confidence interval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; 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OR, odds ratio</w:t>
      </w:r>
      <w:r>
        <w:rPr>
          <w:rFonts w:hint="default" w:ascii="Times New Roman" w:hAnsi="Times New Roman" w:eastAsia="华文中宋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r>
        <w:br w:type="page"/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PalatinoLTStd-Roman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Supplementary table 2. Multivariate</w:t>
      </w:r>
      <w:r>
        <w:rPr>
          <w:rFonts w:hint="default" w:ascii="Times New Roman" w:hAnsi="Times New Roman" w:eastAsia="PalatinoLTStd-Roman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analysis of independent risk factors for </w:t>
      </w:r>
      <w:r>
        <w:rPr>
          <w:rFonts w:hint="eastAsia" w:ascii="Times New Roman" w:hAnsi="Times New Roman" w:eastAsia="PalatinoLTStd-Roman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mild</w:t>
      </w:r>
      <w:r>
        <w:rPr>
          <w:rFonts w:hint="default" w:ascii="Times New Roman" w:hAnsi="Times New Roman" w:eastAsia="PalatinoLTStd-Roman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hypoxemia </w:t>
      </w:r>
      <w:r>
        <w:rPr>
          <w:rFonts w:hint="eastAsia" w:ascii="Times New Roman" w:hAnsi="Times New Roman" w:eastAsia="PalatinoLTStd-Roman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after AADS</w:t>
      </w:r>
    </w:p>
    <w:tbl>
      <w:tblPr>
        <w:tblStyle w:val="2"/>
        <w:tblW w:w="847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9"/>
        <w:gridCol w:w="1088"/>
        <w:gridCol w:w="1325"/>
        <w:gridCol w:w="2025"/>
        <w:gridCol w:w="111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29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Characteristic</w:t>
            </w:r>
          </w:p>
        </w:tc>
        <w:tc>
          <w:tcPr>
            <w:tcW w:w="1088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Coefficient</w:t>
            </w:r>
          </w:p>
        </w:tc>
        <w:tc>
          <w:tcPr>
            <w:tcW w:w="1325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tandard error</w:t>
            </w:r>
          </w:p>
        </w:tc>
        <w:tc>
          <w:tcPr>
            <w:tcW w:w="2025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R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(95% CI)</w:t>
            </w:r>
          </w:p>
        </w:tc>
        <w:tc>
          <w:tcPr>
            <w:tcW w:w="1112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value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Smoking history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0.950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0.478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2.586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1.013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6.599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0.047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Age (years)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0.039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0.017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1.040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1.074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Body mass index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(kg/m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0.354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0.078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1.425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1.222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1.660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White blood cell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count 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eastAsia="JansonTextLT-Roman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0.135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0.066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1.144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&lt;0.0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华文中宋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AAD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S, 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Stanford type A acute aortic dissection surgery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CI, confidence interval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; 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OR, odds ratio</w:t>
      </w:r>
      <w:r>
        <w:rPr>
          <w:rFonts w:hint="default" w:ascii="Times New Roman" w:hAnsi="Times New Roman" w:eastAsia="华文中宋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rPr>
          <w:rFonts w:hint="default" w:ascii="Times New Roman" w:hAnsi="Times New Roman" w:eastAsia="华文中宋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华文中宋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Supplementary table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Clinical outcomes in patients with and without </w:t>
      </w:r>
      <w:r>
        <w:rPr>
          <w:rFonts w:hint="eastAsia" w:ascii="Times New Roman" w:hAnsi="Times New Roman" w:eastAsia="PalatinoLTStd-Roman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moderate</w:t>
      </w:r>
      <w:r>
        <w:rPr>
          <w:rFonts w:hint="default" w:ascii="Times New Roman" w:hAnsi="Times New Roman" w:eastAsia="PalatinoLTStd-Roman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hypoxemia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after AADS</w:t>
      </w:r>
    </w:p>
    <w:tbl>
      <w:tblPr>
        <w:tblStyle w:val="2"/>
        <w:tblW w:w="8363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2415"/>
        <w:gridCol w:w="2203"/>
        <w:gridCol w:w="825"/>
        <w:gridCol w:w="100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2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Variables</w:t>
            </w:r>
          </w:p>
        </w:tc>
        <w:tc>
          <w:tcPr>
            <w:tcW w:w="2415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With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moderate hypoxemia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n =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(%)</w:t>
            </w:r>
          </w:p>
        </w:tc>
        <w:tc>
          <w:tcPr>
            <w:tcW w:w="2203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With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moderate hypoxemia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n =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(%)</w:t>
            </w:r>
          </w:p>
        </w:tc>
        <w:tc>
          <w:tcPr>
            <w:tcW w:w="825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ode2000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χ</w:t>
            </w:r>
            <w:r>
              <w:rPr>
                <w:rFonts w:hint="default" w:ascii="Times New Roman" w:hAnsi="Times New Roman" w:eastAsia="Code2000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/Z</w:t>
            </w:r>
          </w:p>
        </w:tc>
        <w:tc>
          <w:tcPr>
            <w:tcW w:w="100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value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Mechanical ventilation (hours)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45.8 (25.4, 78.9)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66.5 (42.3, 111.2)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5.796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Pneumonia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 (20.5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140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18.006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20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intubation</w:t>
            </w:r>
          </w:p>
        </w:tc>
        <w:tc>
          <w:tcPr>
            <w:tcW w:w="2415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 (8.2)</w:t>
            </w:r>
          </w:p>
        </w:tc>
        <w:tc>
          <w:tcPr>
            <w:tcW w:w="2203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 (17.3)</w:t>
            </w:r>
          </w:p>
        </w:tc>
        <w:tc>
          <w:tcPr>
            <w:tcW w:w="825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6.839</w:t>
            </w:r>
          </w:p>
        </w:tc>
        <w:tc>
          <w:tcPr>
            <w:tcW w:w="1000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racheostomy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 (2.7)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 (14.7)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14.891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Readmission to ICU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 (4.1)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 (11.0)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5.956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20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ICU stay (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hour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s)</w:t>
            </w:r>
          </w:p>
        </w:tc>
        <w:tc>
          <w:tcPr>
            <w:tcW w:w="2415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112.3 (84.7, 158.5)</w:t>
            </w:r>
          </w:p>
        </w:tc>
        <w:tc>
          <w:tcPr>
            <w:tcW w:w="2203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171.4 (114.2, 302.7)</w:t>
            </w:r>
          </w:p>
        </w:tc>
        <w:tc>
          <w:tcPr>
            <w:tcW w:w="825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7.492</w:t>
            </w:r>
          </w:p>
        </w:tc>
        <w:tc>
          <w:tcPr>
            <w:tcW w:w="1000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Hospital stay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(days)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 (16, 25)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 (18, 28)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3.364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Mortality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 (2.1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46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14.465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</w:tr>
    </w:tbl>
    <w:p>
      <w:pPr>
        <w:rPr>
          <w:rFonts w:hint="eastAsia" w:ascii="Times New Roman" w:hAnsi="Times New Roman" w:eastAsia="华文中宋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AAD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S, 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Stanford type A acute aortic dissection surgery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华文中宋" w:cs="Times New Roman"/>
          <w:sz w:val="20"/>
          <w:szCs w:val="20"/>
          <w:lang w:val="en-US" w:eastAsia="zh-CN"/>
        </w:rPr>
        <w:t>ICU</w:t>
      </w:r>
      <w:r>
        <w:rPr>
          <w:rFonts w:hint="eastAsia" w:ascii="Times New Roman" w:hAnsi="Times New Roman" w:eastAsia="华文中宋" w:cs="Times New Roman"/>
          <w:sz w:val="20"/>
          <w:szCs w:val="20"/>
          <w:lang w:val="en-US" w:eastAsia="zh-CN"/>
        </w:rPr>
        <w:t>,</w:t>
      </w:r>
      <w:r>
        <w:rPr>
          <w:rFonts w:hint="default" w:ascii="Times New Roman" w:hAnsi="Times New Roman" w:eastAsia="华文中宋" w:cs="Times New Roman"/>
          <w:sz w:val="20"/>
          <w:szCs w:val="20"/>
          <w:lang w:val="en-US" w:eastAsia="zh-CN"/>
        </w:rPr>
        <w:t xml:space="preserve"> intensive care unit</w:t>
      </w:r>
      <w:r>
        <w:rPr>
          <w:rFonts w:hint="eastAsia" w:ascii="Times New Roman" w:hAnsi="Times New Roman" w:eastAsia="华文中宋" w:cs="Times New Roman"/>
          <w:sz w:val="20"/>
          <w:szCs w:val="20"/>
          <w:lang w:val="en-US" w:eastAsia="zh-CN"/>
        </w:rPr>
        <w:t>.</w:t>
      </w:r>
    </w:p>
    <w:p>
      <w:pPr>
        <w:rPr>
          <w:rFonts w:hint="eastAsia" w:ascii="Times New Roman" w:hAnsi="Times New Roman" w:eastAsia="华文中宋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华文中宋" w:cs="Times New Roman"/>
          <w:sz w:val="20"/>
          <w:szCs w:val="20"/>
          <w:lang w:val="en-US" w:eastAsia="zh-CN"/>
        </w:rPr>
        <w:br w:type="page"/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Supplementary table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Clinical outcomes in patients with and without </w:t>
      </w:r>
      <w:r>
        <w:rPr>
          <w:rFonts w:hint="eastAsia" w:ascii="Times New Roman" w:hAnsi="Times New Roman" w:eastAsia="PalatinoLTStd-Roman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moderate</w:t>
      </w:r>
      <w:r>
        <w:rPr>
          <w:rFonts w:hint="default" w:ascii="Times New Roman" w:hAnsi="Times New Roman" w:eastAsia="PalatinoLTStd-Roman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hypoxemia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following AADS after propensity score matching</w:t>
      </w:r>
    </w:p>
    <w:tbl>
      <w:tblPr>
        <w:tblStyle w:val="2"/>
        <w:tblW w:w="8355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7"/>
        <w:gridCol w:w="2492"/>
        <w:gridCol w:w="2158"/>
        <w:gridCol w:w="842"/>
        <w:gridCol w:w="986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77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Variables</w:t>
            </w:r>
          </w:p>
        </w:tc>
        <w:tc>
          <w:tcPr>
            <w:tcW w:w="2492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With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moderate hypoxemia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n =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(%)</w:t>
            </w:r>
          </w:p>
        </w:tc>
        <w:tc>
          <w:tcPr>
            <w:tcW w:w="2158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With moderate hypoxemia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n =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(%)</w:t>
            </w:r>
          </w:p>
        </w:tc>
        <w:tc>
          <w:tcPr>
            <w:tcW w:w="842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ode2000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χ</w:t>
            </w:r>
            <w:r>
              <w:rPr>
                <w:rFonts w:hint="default" w:ascii="Times New Roman" w:hAnsi="Times New Roman" w:eastAsia="Code2000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/Z</w:t>
            </w:r>
          </w:p>
        </w:tc>
        <w:tc>
          <w:tcPr>
            <w:tcW w:w="986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value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Mechanical ventilation (hours)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48.1 (35.6, 82.8)</w:t>
            </w:r>
          </w:p>
        </w:tc>
        <w:tc>
          <w:tcPr>
            <w:tcW w:w="2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62.8 (40.7, 133.4)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2.289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0.022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Pneumonia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 (25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0.627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0.428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77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intubation</w:t>
            </w:r>
          </w:p>
        </w:tc>
        <w:tc>
          <w:tcPr>
            <w:tcW w:w="2492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 (10)</w:t>
            </w:r>
          </w:p>
        </w:tc>
        <w:tc>
          <w:tcPr>
            <w:tcW w:w="2158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 (11)</w:t>
            </w:r>
          </w:p>
        </w:tc>
        <w:tc>
          <w:tcPr>
            <w:tcW w:w="842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0.053</w:t>
            </w:r>
          </w:p>
        </w:tc>
        <w:tc>
          <w:tcPr>
            <w:tcW w:w="986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0.818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racheostomy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 (3)</w:t>
            </w:r>
          </w:p>
        </w:tc>
        <w:tc>
          <w:tcPr>
            <w:tcW w:w="2158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 (12)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5.838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0.016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Readmission to ICU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 (5)</w:t>
            </w:r>
          </w:p>
        </w:tc>
        <w:tc>
          <w:tcPr>
            <w:tcW w:w="2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 (12)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3.150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77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ICU stay (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hour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s)</w:t>
            </w:r>
          </w:p>
        </w:tc>
        <w:tc>
          <w:tcPr>
            <w:tcW w:w="2492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116.5 (86.9, 162.0)</w:t>
            </w:r>
          </w:p>
        </w:tc>
        <w:tc>
          <w:tcPr>
            <w:tcW w:w="2158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146.3 (107.8, 244.3)</w:t>
            </w:r>
          </w:p>
        </w:tc>
        <w:tc>
          <w:tcPr>
            <w:tcW w:w="842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2.734</w:t>
            </w:r>
          </w:p>
        </w:tc>
        <w:tc>
          <w:tcPr>
            <w:tcW w:w="986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Hospital stay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(days)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 (16, 26)</w:t>
            </w:r>
          </w:p>
        </w:tc>
        <w:tc>
          <w:tcPr>
            <w:tcW w:w="2158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 (16, 27)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0.841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0.400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Mortality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 (2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7.680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0.006</w:t>
            </w:r>
          </w:p>
        </w:tc>
      </w:tr>
    </w:tbl>
    <w:p>
      <w:pPr>
        <w:rPr>
          <w:rFonts w:hint="eastAsia" w:ascii="Times New Roman" w:hAnsi="Times New Roman" w:eastAsia="华文中宋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AAD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S, 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Stanford type A acute aortic dissection surgery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华文中宋" w:cs="Times New Roman"/>
          <w:sz w:val="20"/>
          <w:szCs w:val="20"/>
          <w:lang w:val="en-US" w:eastAsia="zh-CN"/>
        </w:rPr>
        <w:t>ICU</w:t>
      </w:r>
      <w:r>
        <w:rPr>
          <w:rFonts w:hint="eastAsia" w:ascii="Times New Roman" w:hAnsi="Times New Roman" w:eastAsia="华文中宋" w:cs="Times New Roman"/>
          <w:sz w:val="20"/>
          <w:szCs w:val="20"/>
          <w:lang w:val="en-US" w:eastAsia="zh-CN"/>
        </w:rPr>
        <w:t>,</w:t>
      </w:r>
      <w:r>
        <w:rPr>
          <w:rFonts w:hint="default" w:ascii="Times New Roman" w:hAnsi="Times New Roman" w:eastAsia="华文中宋" w:cs="Times New Roman"/>
          <w:sz w:val="20"/>
          <w:szCs w:val="20"/>
          <w:lang w:val="en-US" w:eastAsia="zh-CN"/>
        </w:rPr>
        <w:t xml:space="preserve"> intensive care unit</w:t>
      </w:r>
      <w:r>
        <w:rPr>
          <w:rFonts w:hint="eastAsia" w:ascii="Times New Roman" w:hAnsi="Times New Roman" w:eastAsia="华文中宋" w:cs="Times New Roman"/>
          <w:sz w:val="20"/>
          <w:szCs w:val="20"/>
          <w:lang w:val="en-US" w:eastAsia="zh-CN"/>
        </w:rPr>
        <w:t>.</w:t>
      </w:r>
    </w:p>
    <w:p>
      <w:pPr>
        <w:rPr>
          <w:rFonts w:hint="eastAsia" w:ascii="Times New Roman" w:hAnsi="Times New Roman" w:eastAsia="华文中宋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华文中宋" w:cs="Times New Roman"/>
          <w:sz w:val="20"/>
          <w:szCs w:val="20"/>
          <w:lang w:val="en-US" w:eastAsia="zh-CN"/>
        </w:rPr>
        <w:br w:type="page"/>
      </w:r>
    </w:p>
    <w:p>
      <w:pPr>
        <w:rPr>
          <w:rFonts w:hint="default" w:ascii="Times New Roman" w:hAnsi="Times New Roman" w:eastAsia="华文中宋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Supplementary table 5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Clinical outcomes in patients with and without </w:t>
      </w:r>
      <w:r>
        <w:rPr>
          <w:rFonts w:hint="eastAsia" w:ascii="Times New Roman" w:hAnsi="Times New Roman" w:eastAsia="PalatinoLTStd-Roman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mild</w:t>
      </w:r>
      <w:r>
        <w:rPr>
          <w:rFonts w:hint="default" w:ascii="Times New Roman" w:hAnsi="Times New Roman" w:eastAsia="PalatinoLTStd-Roman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hypoxemia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after AADS</w:t>
      </w:r>
    </w:p>
    <w:tbl>
      <w:tblPr>
        <w:tblStyle w:val="2"/>
        <w:tblW w:w="8500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2037"/>
        <w:gridCol w:w="2038"/>
        <w:gridCol w:w="912"/>
        <w:gridCol w:w="95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563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Variables</w:t>
            </w:r>
          </w:p>
        </w:tc>
        <w:tc>
          <w:tcPr>
            <w:tcW w:w="2037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Without </w:t>
            </w:r>
            <w:r>
              <w:rPr>
                <w:rFonts w:hint="default" w:ascii="Times New Roman" w:hAnsi="Times New Roman" w:eastAsia="PalatinoLTStd-Roman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mild hypoxemia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 =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30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(%)</w:t>
            </w:r>
          </w:p>
        </w:tc>
        <w:tc>
          <w:tcPr>
            <w:tcW w:w="2038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With </w:t>
            </w:r>
            <w:r>
              <w:rPr>
                <w:rFonts w:hint="default" w:ascii="Times New Roman" w:hAnsi="Times New Roman" w:eastAsia="PalatinoLTStd-Roman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mild hypoxemia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n =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(%)</w:t>
            </w:r>
          </w:p>
        </w:tc>
        <w:tc>
          <w:tcPr>
            <w:tcW w:w="912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ode2000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χ</w:t>
            </w:r>
            <w:r>
              <w:rPr>
                <w:rFonts w:hint="default" w:ascii="Times New Roman" w:hAnsi="Times New Roman" w:eastAsia="Code2000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/Z</w:t>
            </w:r>
          </w:p>
        </w:tc>
        <w:tc>
          <w:tcPr>
            <w:tcW w:w="95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value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5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Mechanical ventilation (hours)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23.8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, 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2.920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5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Pneumonia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6.361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0.012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563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Reintubation</w:t>
            </w:r>
          </w:p>
        </w:tc>
        <w:tc>
          <w:tcPr>
            <w:tcW w:w="2037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038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72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12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5.477</w:t>
            </w:r>
          </w:p>
        </w:tc>
        <w:tc>
          <w:tcPr>
            <w:tcW w:w="950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0.019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Tracheostomy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 (0)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 (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4.021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0.045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5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Readmission to ICU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3.138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563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ICU stay (hours)</w:t>
            </w:r>
          </w:p>
        </w:tc>
        <w:tc>
          <w:tcPr>
            <w:tcW w:w="2037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06.8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038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12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4.276</w:t>
            </w:r>
          </w:p>
        </w:tc>
        <w:tc>
          <w:tcPr>
            <w:tcW w:w="950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&lt;0.001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Hospital stay (days)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 (1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, 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1.613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0.107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5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Mortality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3.534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0.060</w:t>
            </w:r>
          </w:p>
        </w:tc>
      </w:tr>
    </w:tbl>
    <w:p>
      <w:pPr>
        <w:rPr>
          <w:rFonts w:hint="eastAsia" w:ascii="Times New Roman" w:hAnsi="Times New Roman" w:eastAsia="华文中宋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AAD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S, 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Stanford type A acute aortic dissection surgery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华文中宋" w:cs="Times New Roman"/>
          <w:sz w:val="20"/>
          <w:szCs w:val="20"/>
          <w:lang w:val="en-US" w:eastAsia="zh-CN"/>
        </w:rPr>
        <w:t>ICU</w:t>
      </w:r>
      <w:r>
        <w:rPr>
          <w:rFonts w:hint="eastAsia" w:ascii="Times New Roman" w:hAnsi="Times New Roman" w:eastAsia="华文中宋" w:cs="Times New Roman"/>
          <w:sz w:val="20"/>
          <w:szCs w:val="20"/>
          <w:lang w:val="en-US" w:eastAsia="zh-CN"/>
        </w:rPr>
        <w:t>,</w:t>
      </w:r>
      <w:r>
        <w:rPr>
          <w:rFonts w:hint="default" w:ascii="Times New Roman" w:hAnsi="Times New Roman" w:eastAsia="华文中宋" w:cs="Times New Roman"/>
          <w:sz w:val="20"/>
          <w:szCs w:val="20"/>
          <w:lang w:val="en-US" w:eastAsia="zh-CN"/>
        </w:rPr>
        <w:t xml:space="preserve"> intensive care unit</w:t>
      </w:r>
      <w:r>
        <w:rPr>
          <w:rFonts w:hint="eastAsia" w:ascii="Times New Roman" w:hAnsi="Times New Roman" w:eastAsia="华文中宋" w:cs="Times New Roman"/>
          <w:sz w:val="20"/>
          <w:szCs w:val="20"/>
          <w:lang w:val="en-US" w:eastAsia="zh-CN"/>
        </w:rPr>
        <w:t>.</w:t>
      </w:r>
    </w:p>
    <w:p>
      <w:pPr>
        <w:rPr>
          <w:rFonts w:hint="eastAsia" w:ascii="Times New Roman" w:hAnsi="Times New Roman" w:eastAsia="华文中宋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华文中宋" w:cs="Times New Roman"/>
          <w:sz w:val="20"/>
          <w:szCs w:val="20"/>
          <w:lang w:val="en-US" w:eastAsia="zh-CN"/>
        </w:rPr>
        <w:br w:type="page"/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Supplementary table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Clinical outcomes in patients with and without </w:t>
      </w:r>
      <w:r>
        <w:rPr>
          <w:rFonts w:hint="eastAsia" w:ascii="Times New Roman" w:hAnsi="Times New Roman" w:eastAsia="PalatinoLTStd-Roman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mild</w:t>
      </w:r>
      <w:r>
        <w:rPr>
          <w:rFonts w:hint="default" w:ascii="Times New Roman" w:hAnsi="Times New Roman" w:eastAsia="PalatinoLTStd-Roman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hypoxemia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follow</w:t>
      </w:r>
      <w:bookmarkStart w:id="1" w:name="_GoBack"/>
      <w:bookmarkEnd w:id="1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ing AADS after propensity score matching</w:t>
      </w:r>
    </w:p>
    <w:tbl>
      <w:tblPr>
        <w:tblStyle w:val="2"/>
        <w:tblW w:w="849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2114"/>
        <w:gridCol w:w="1986"/>
        <w:gridCol w:w="900"/>
        <w:gridCol w:w="943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555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Variables</w:t>
            </w:r>
          </w:p>
        </w:tc>
        <w:tc>
          <w:tcPr>
            <w:tcW w:w="2114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With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PalatinoLTStd-Roman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mild hypoxemia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n =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(%)</w:t>
            </w:r>
          </w:p>
        </w:tc>
        <w:tc>
          <w:tcPr>
            <w:tcW w:w="1986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With </w:t>
            </w:r>
            <w:r>
              <w:rPr>
                <w:rFonts w:hint="default" w:ascii="Times New Roman" w:hAnsi="Times New Roman" w:eastAsia="PalatinoLTStd-Roman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mild hypoxemia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n =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(%)</w:t>
            </w:r>
          </w:p>
        </w:tc>
        <w:tc>
          <w:tcPr>
            <w:tcW w:w="90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ode2000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χ</w:t>
            </w:r>
            <w:r>
              <w:rPr>
                <w:rFonts w:hint="default" w:ascii="Times New Roman" w:hAnsi="Times New Roman" w:eastAsia="Code2000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/Z</w:t>
            </w:r>
          </w:p>
        </w:tc>
        <w:tc>
          <w:tcPr>
            <w:tcW w:w="943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value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Mechanical ventilation (hours)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44.7 (29.3, 79.8)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41.7 (22.1, 65.9)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0.536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0.592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Pneumonia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 (16.7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0.762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555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intubation</w:t>
            </w:r>
          </w:p>
        </w:tc>
        <w:tc>
          <w:tcPr>
            <w:tcW w:w="2114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 (0)</w:t>
            </w:r>
          </w:p>
        </w:tc>
        <w:tc>
          <w:tcPr>
            <w:tcW w:w="1986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 (0)</w:t>
            </w:r>
          </w:p>
        </w:tc>
        <w:tc>
          <w:tcPr>
            <w:tcW w:w="900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43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racheostomy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 (0)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 (0)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Readmission to ICU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 (0)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 (4.2)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1.021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555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ICU stay (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hour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s)</w:t>
            </w:r>
          </w:p>
        </w:tc>
        <w:tc>
          <w:tcPr>
            <w:tcW w:w="2114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110.5 (86.1, 152.3)</w:t>
            </w:r>
          </w:p>
        </w:tc>
        <w:tc>
          <w:tcPr>
            <w:tcW w:w="1986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112.9 (66.1, 139.1)</w:t>
            </w:r>
          </w:p>
        </w:tc>
        <w:tc>
          <w:tcPr>
            <w:tcW w:w="900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0.052</w:t>
            </w:r>
          </w:p>
        </w:tc>
        <w:tc>
          <w:tcPr>
            <w:tcW w:w="943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0.959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Hospital stay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(days)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 (16, 22)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 (14, 26)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0.041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0.967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Mortality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 (0)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 (0)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</w:tbl>
    <w:p>
      <w:pPr>
        <w:rPr>
          <w:rFonts w:hint="default" w:ascii="Times New Roman" w:hAnsi="Times New Roman" w:eastAsia="华文中宋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AAD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S, 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Stanford type A acute aortic dissection surgery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华文中宋" w:cs="Times New Roman"/>
          <w:sz w:val="20"/>
          <w:szCs w:val="20"/>
          <w:lang w:val="en-US" w:eastAsia="zh-CN"/>
        </w:rPr>
        <w:t>ICU</w:t>
      </w:r>
      <w:r>
        <w:rPr>
          <w:rFonts w:hint="eastAsia" w:ascii="Times New Roman" w:hAnsi="Times New Roman" w:eastAsia="华文中宋" w:cs="Times New Roman"/>
          <w:sz w:val="20"/>
          <w:szCs w:val="20"/>
          <w:lang w:val="en-US" w:eastAsia="zh-CN"/>
        </w:rPr>
        <w:t>,</w:t>
      </w:r>
      <w:r>
        <w:rPr>
          <w:rFonts w:hint="default" w:ascii="Times New Roman" w:hAnsi="Times New Roman" w:eastAsia="华文中宋" w:cs="Times New Roman"/>
          <w:sz w:val="20"/>
          <w:szCs w:val="20"/>
          <w:lang w:val="en-US" w:eastAsia="zh-CN"/>
        </w:rPr>
        <w:t xml:space="preserve"> intensive care unit</w:t>
      </w:r>
      <w:r>
        <w:rPr>
          <w:rFonts w:hint="eastAsia" w:ascii="Times New Roman" w:hAnsi="Times New Roman" w:eastAsia="华文中宋" w:cs="Times New Roman"/>
          <w:sz w:val="20"/>
          <w:szCs w:val="20"/>
          <w:lang w:val="en-US" w:eastAsia="zh-CN"/>
        </w:rPr>
        <w:t>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LTStd-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ansonTextLT-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de20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07272"/>
    <w:rsid w:val="07707272"/>
    <w:rsid w:val="26080B62"/>
    <w:rsid w:val="572E731E"/>
    <w:rsid w:val="6FF51C9A"/>
    <w:rsid w:val="70DA3BB1"/>
    <w:rsid w:val="721E1065"/>
    <w:rsid w:val="73494184"/>
    <w:rsid w:val="74B54CB4"/>
    <w:rsid w:val="75471E95"/>
    <w:rsid w:val="7724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5">
    <w:name w:val="font61"/>
    <w:basedOn w:val="3"/>
    <w:qFormat/>
    <w:uiPriority w:val="0"/>
    <w:rPr>
      <w:rFonts w:hint="default" w:ascii="Calibri" w:hAnsi="Calibri" w:cs="Calibri"/>
      <w:color w:val="000000"/>
      <w:sz w:val="21"/>
      <w:szCs w:val="21"/>
      <w:u w:val="none"/>
      <w:vertAlign w:val="superscript"/>
    </w:rPr>
  </w:style>
  <w:style w:type="character" w:customStyle="1" w:styleId="6">
    <w:name w:val="font16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2021-12-24T16:57:00Z</dcterms:created>
  <dc:creator>王大帅</dc:creator>
  <cp:lastModifiedBy>王大帅</cp:lastModifiedBy>
  <dcterms:modified xsi:type="dcterms:W3CDTF">2022-01-09T18:19:18Z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