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FD93" w14:textId="44E43946" w:rsidR="00D263AD" w:rsidRPr="00E624A4" w:rsidRDefault="00933CC0" w:rsidP="00E624A4">
      <w:pPr>
        <w:spacing w:line="480" w:lineRule="auto"/>
        <w:rPr>
          <w:b/>
          <w:bCs/>
        </w:rPr>
      </w:pPr>
      <w:r w:rsidRPr="00D263AD">
        <w:rPr>
          <w:b/>
          <w:bCs/>
        </w:rPr>
        <w:t>Supplementary Methods</w:t>
      </w:r>
    </w:p>
    <w:p w14:paraId="1765755E" w14:textId="5B7B1DE9" w:rsidR="00D263AD" w:rsidRPr="00EE690C" w:rsidRDefault="00D263AD" w:rsidP="00E624A4">
      <w:pPr>
        <w:spacing w:line="480" w:lineRule="auto"/>
        <w:jc w:val="both"/>
        <w:rPr>
          <w:rFonts w:cstheme="minorHAnsi"/>
          <w:color w:val="000000" w:themeColor="text1"/>
          <w:lang w:val="en-US"/>
        </w:rPr>
      </w:pPr>
      <w:r w:rsidRPr="00EE690C">
        <w:rPr>
          <w:rFonts w:cstheme="minorHAnsi"/>
          <w:color w:val="000000" w:themeColor="text1"/>
          <w:lang w:val="en-US"/>
        </w:rPr>
        <w:t>The following LNAs (</w:t>
      </w:r>
      <w:r>
        <w:rPr>
          <w:rFonts w:cstheme="minorHAnsi"/>
          <w:color w:val="000000" w:themeColor="text1"/>
          <w:lang w:val="en-US"/>
        </w:rPr>
        <w:t>provided by EXIQON</w:t>
      </w:r>
      <w:r w:rsidR="00E609F4">
        <w:rPr>
          <w:rFonts w:cstheme="minorHAnsi"/>
          <w:color w:val="000000" w:themeColor="text1"/>
          <w:lang w:val="en-US"/>
        </w:rPr>
        <w:t>/QIAGEN</w:t>
      </w:r>
      <w:r>
        <w:rPr>
          <w:rFonts w:cstheme="minorHAnsi"/>
          <w:color w:val="000000" w:themeColor="text1"/>
          <w:lang w:val="en-US"/>
        </w:rPr>
        <w:t>)</w:t>
      </w:r>
      <w:r w:rsidRPr="00EE690C">
        <w:rPr>
          <w:rFonts w:cstheme="minorHAnsi"/>
          <w:color w:val="000000" w:themeColor="text1"/>
          <w:lang w:val="en-US"/>
        </w:rPr>
        <w:t xml:space="preserve"> were used</w:t>
      </w:r>
      <w:r w:rsidR="00515B9F">
        <w:rPr>
          <w:rFonts w:cstheme="minorHAnsi"/>
          <w:color w:val="000000" w:themeColor="text1"/>
          <w:lang w:val="en-US"/>
        </w:rPr>
        <w:t xml:space="preserve"> to silence MIAT</w:t>
      </w:r>
      <w:r w:rsidRPr="00EE690C">
        <w:rPr>
          <w:rFonts w:cstheme="minorHAnsi"/>
          <w:color w:val="000000" w:themeColor="text1"/>
          <w:lang w:val="en-US"/>
        </w:rPr>
        <w:t>:</w:t>
      </w:r>
    </w:p>
    <w:p w14:paraId="2A5454D1" w14:textId="77777777" w:rsidR="00D263AD" w:rsidRPr="00EE690C" w:rsidRDefault="00D263AD" w:rsidP="00E624A4">
      <w:pPr>
        <w:spacing w:line="480" w:lineRule="auto"/>
        <w:jc w:val="both"/>
        <w:rPr>
          <w:rFonts w:cstheme="minorHAnsi"/>
          <w:color w:val="000000" w:themeColor="text1"/>
          <w:lang w:val="en-US"/>
        </w:rPr>
      </w:pPr>
      <w:r w:rsidRPr="00EE690C">
        <w:rPr>
          <w:rFonts w:cstheme="minorHAnsi"/>
          <w:color w:val="000000" w:themeColor="text1"/>
          <w:lang w:val="en-US"/>
        </w:rPr>
        <w:t>LNA</w:t>
      </w:r>
      <w:r w:rsidRPr="00BF2C6A">
        <w:rPr>
          <w:rFonts w:cstheme="minorHAnsi"/>
          <w:color w:val="000000" w:themeColor="text1"/>
          <w:lang w:val="en-US"/>
        </w:rPr>
        <w:t>-N</w:t>
      </w:r>
      <w:r>
        <w:rPr>
          <w:rFonts w:cstheme="minorHAnsi"/>
          <w:color w:val="000000" w:themeColor="text1"/>
          <w:lang w:val="en-US"/>
        </w:rPr>
        <w:t xml:space="preserve">C (non-targeting control): </w:t>
      </w:r>
      <w:r w:rsidRPr="00BF2C6A">
        <w:rPr>
          <w:rFonts w:cstheme="minorHAnsi"/>
          <w:color w:val="000000" w:themeColor="text1"/>
          <w:lang w:val="en-US"/>
        </w:rPr>
        <w:t>5´-</w:t>
      </w:r>
      <w:r>
        <w:rPr>
          <w:rFonts w:cstheme="minorHAnsi"/>
          <w:color w:val="000000" w:themeColor="text1"/>
          <w:lang w:val="en-US"/>
        </w:rPr>
        <w:t>AACACGTCTATACGC</w:t>
      </w:r>
      <w:r w:rsidRPr="00BF2C6A">
        <w:rPr>
          <w:rFonts w:cstheme="minorHAnsi"/>
          <w:color w:val="000000" w:themeColor="text1"/>
          <w:lang w:val="en-US"/>
        </w:rPr>
        <w:t xml:space="preserve"> </w:t>
      </w:r>
      <w:r w:rsidRPr="00ED0AF0">
        <w:rPr>
          <w:rFonts w:cstheme="minorHAnsi"/>
          <w:color w:val="000000" w:themeColor="text1"/>
          <w:lang w:val="en-US"/>
        </w:rPr>
        <w:t>-3´;</w:t>
      </w:r>
    </w:p>
    <w:p w14:paraId="00469C36" w14:textId="77777777" w:rsidR="00D263AD" w:rsidRDefault="00D263AD" w:rsidP="00E624A4">
      <w:pPr>
        <w:spacing w:line="480" w:lineRule="auto"/>
        <w:jc w:val="both"/>
        <w:rPr>
          <w:rFonts w:cstheme="minorHAnsi"/>
          <w:color w:val="000000" w:themeColor="text1"/>
          <w:lang w:val="en-US"/>
        </w:rPr>
      </w:pPr>
      <w:r w:rsidRPr="00EE690C">
        <w:rPr>
          <w:rFonts w:cstheme="minorHAnsi"/>
          <w:color w:val="000000" w:themeColor="text1"/>
          <w:lang w:val="en-US"/>
        </w:rPr>
        <w:t>LNA-1</w:t>
      </w:r>
      <w:r>
        <w:rPr>
          <w:rFonts w:cstheme="minorHAnsi"/>
          <w:color w:val="000000" w:themeColor="text1"/>
          <w:lang w:val="en-US"/>
        </w:rPr>
        <w:t>:</w:t>
      </w:r>
      <w:r w:rsidRPr="00EE690C">
        <w:rPr>
          <w:rFonts w:cstheme="minorHAnsi"/>
          <w:color w:val="000000" w:themeColor="text1"/>
          <w:lang w:val="en-US"/>
        </w:rPr>
        <w:t xml:space="preserve"> 5'-</w:t>
      </w:r>
      <w:r>
        <w:rPr>
          <w:rFonts w:cstheme="minorHAnsi"/>
          <w:color w:val="000000" w:themeColor="text1"/>
          <w:lang w:val="en-US"/>
        </w:rPr>
        <w:t>ACTTTGGCATTCTAGG</w:t>
      </w:r>
      <w:r w:rsidRPr="00EE690C">
        <w:rPr>
          <w:rFonts w:cstheme="minorHAnsi"/>
          <w:color w:val="000000" w:themeColor="text1"/>
          <w:lang w:val="en-US"/>
        </w:rPr>
        <w:t>-3´;</w:t>
      </w:r>
    </w:p>
    <w:p w14:paraId="2FE385A1" w14:textId="77777777" w:rsidR="00D263AD" w:rsidRPr="00EE690C" w:rsidRDefault="00D263AD" w:rsidP="00E624A4">
      <w:pPr>
        <w:spacing w:line="480" w:lineRule="auto"/>
        <w:jc w:val="both"/>
        <w:rPr>
          <w:rFonts w:cstheme="minorHAnsi"/>
          <w:color w:val="000000" w:themeColor="text1"/>
          <w:lang w:val="en-US"/>
        </w:rPr>
      </w:pPr>
      <w:r w:rsidRPr="006B49EE">
        <w:rPr>
          <w:rFonts w:cstheme="minorHAnsi"/>
          <w:color w:val="000000" w:themeColor="text1"/>
          <w:lang w:val="en-US"/>
        </w:rPr>
        <w:t>LNA-2: 5´-AAGTGCTGAAACTGAG-3´</w:t>
      </w:r>
    </w:p>
    <w:p w14:paraId="1DC2A9CF" w14:textId="5D344EB7" w:rsidR="00515B9F" w:rsidRDefault="00D263AD" w:rsidP="00E624A4">
      <w:pPr>
        <w:spacing w:line="480" w:lineRule="auto"/>
        <w:jc w:val="both"/>
        <w:rPr>
          <w:rFonts w:cstheme="minorHAnsi"/>
          <w:color w:val="000000" w:themeColor="text1"/>
          <w:lang w:val="en-US"/>
        </w:rPr>
      </w:pPr>
      <w:r w:rsidRPr="00EE690C">
        <w:rPr>
          <w:rFonts w:cstheme="minorHAnsi"/>
          <w:color w:val="000000" w:themeColor="text1"/>
          <w:lang w:val="en-US"/>
        </w:rPr>
        <w:t>LNA-4</w:t>
      </w:r>
      <w:r>
        <w:rPr>
          <w:rFonts w:cstheme="minorHAnsi"/>
          <w:color w:val="000000" w:themeColor="text1"/>
          <w:lang w:val="en-US"/>
        </w:rPr>
        <w:t>:</w:t>
      </w:r>
      <w:r w:rsidRPr="00EE690C">
        <w:rPr>
          <w:rFonts w:cstheme="minorHAnsi"/>
          <w:color w:val="000000" w:themeColor="text1"/>
          <w:lang w:val="en-US"/>
        </w:rPr>
        <w:t xml:space="preserve"> 5'-</w:t>
      </w:r>
      <w:r>
        <w:rPr>
          <w:rFonts w:cstheme="minorHAnsi"/>
          <w:color w:val="000000" w:themeColor="text1"/>
          <w:lang w:val="en-US"/>
        </w:rPr>
        <w:t>AGGCTGGTAGGCTATG</w:t>
      </w:r>
      <w:r w:rsidRPr="00EE690C">
        <w:rPr>
          <w:rFonts w:cstheme="minorHAnsi"/>
          <w:color w:val="000000" w:themeColor="text1"/>
          <w:lang w:val="en-US"/>
        </w:rPr>
        <w:t>-3´</w:t>
      </w:r>
      <w:r>
        <w:rPr>
          <w:rFonts w:cstheme="minorHAnsi"/>
          <w:color w:val="000000" w:themeColor="text1"/>
          <w:lang w:val="en-US"/>
        </w:rPr>
        <w:t>.</w:t>
      </w:r>
    </w:p>
    <w:p w14:paraId="18091EF1" w14:textId="1674E6B0" w:rsidR="00515B9F" w:rsidRPr="007C3F14" w:rsidRDefault="00515B9F" w:rsidP="00E624A4">
      <w:pPr>
        <w:spacing w:line="480" w:lineRule="auto"/>
        <w:jc w:val="both"/>
        <w:rPr>
          <w:rFonts w:cstheme="minorHAnsi"/>
          <w:color w:val="000000" w:themeColor="text1"/>
          <w:lang w:val="en-US"/>
        </w:rPr>
      </w:pPr>
      <w:r w:rsidRPr="007C3F14">
        <w:rPr>
          <w:rFonts w:cstheme="minorHAnsi"/>
          <w:color w:val="000000" w:themeColor="text1"/>
          <w:lang w:val="en-US"/>
        </w:rPr>
        <w:t xml:space="preserve">The following </w:t>
      </w:r>
      <w:proofErr w:type="spellStart"/>
      <w:r w:rsidRPr="007C3F14">
        <w:rPr>
          <w:rFonts w:cstheme="minorHAnsi"/>
          <w:color w:val="000000" w:themeColor="text1"/>
          <w:lang w:val="en-US"/>
        </w:rPr>
        <w:t>siGENOME</w:t>
      </w:r>
      <w:proofErr w:type="spellEnd"/>
      <w:r w:rsidRPr="007C3F14">
        <w:rPr>
          <w:rFonts w:cstheme="minorHAnsi"/>
          <w:color w:val="000000" w:themeColor="text1"/>
          <w:lang w:val="en-US"/>
        </w:rPr>
        <w:t xml:space="preserve"> </w:t>
      </w:r>
      <w:proofErr w:type="spellStart"/>
      <w:r w:rsidRPr="007C3F14">
        <w:rPr>
          <w:rFonts w:cstheme="minorHAnsi"/>
          <w:color w:val="000000" w:themeColor="text1"/>
          <w:lang w:val="en-US"/>
        </w:rPr>
        <w:t>SMARTpool</w:t>
      </w:r>
      <w:proofErr w:type="spellEnd"/>
      <w:r w:rsidRPr="007C3F14">
        <w:rPr>
          <w:rFonts w:cstheme="minorHAnsi"/>
          <w:color w:val="000000" w:themeColor="text1"/>
          <w:lang w:val="en-US"/>
        </w:rPr>
        <w:t xml:space="preserve"> siRNA (provided by </w:t>
      </w:r>
      <w:proofErr w:type="spellStart"/>
      <w:r w:rsidRPr="007C3F14">
        <w:rPr>
          <w:rFonts w:cstheme="minorHAnsi"/>
          <w:color w:val="000000" w:themeColor="text1"/>
          <w:lang w:val="en-US"/>
        </w:rPr>
        <w:t>Dharmacon</w:t>
      </w:r>
      <w:proofErr w:type="spellEnd"/>
      <w:r w:rsidRPr="007C3F14">
        <w:rPr>
          <w:rFonts w:cstheme="minorHAnsi"/>
          <w:color w:val="000000" w:themeColor="text1"/>
          <w:lang w:val="en-US"/>
        </w:rPr>
        <w:t>) were used</w:t>
      </w:r>
      <w:r>
        <w:rPr>
          <w:rFonts w:cstheme="minorHAnsi"/>
          <w:color w:val="000000" w:themeColor="text1"/>
          <w:lang w:val="en-US"/>
        </w:rPr>
        <w:t xml:space="preserve"> for PRKCA silencing</w:t>
      </w:r>
      <w:r w:rsidRPr="007C3F14">
        <w:rPr>
          <w:rFonts w:cstheme="minorHAnsi"/>
          <w:color w:val="000000" w:themeColor="text1"/>
          <w:lang w:val="en-US"/>
        </w:rPr>
        <w:t>:</w:t>
      </w:r>
    </w:p>
    <w:p w14:paraId="30F4C94F" w14:textId="77777777" w:rsidR="00515B9F" w:rsidRPr="007C3F14" w:rsidRDefault="00515B9F" w:rsidP="00E624A4">
      <w:pPr>
        <w:spacing w:line="480" w:lineRule="auto"/>
        <w:jc w:val="both"/>
        <w:rPr>
          <w:rFonts w:cstheme="minorHAnsi"/>
          <w:color w:val="000000" w:themeColor="text1"/>
          <w:lang w:val="en-US"/>
        </w:rPr>
      </w:pPr>
      <w:r w:rsidRPr="007C3F14">
        <w:rPr>
          <w:rFonts w:cstheme="minorHAnsi"/>
          <w:color w:val="000000" w:themeColor="text1"/>
          <w:lang w:val="en-US"/>
        </w:rPr>
        <w:t>5´-GGAUUGUUCUUUCUUCAUA-3´;</w:t>
      </w:r>
    </w:p>
    <w:p w14:paraId="39DBB9A9" w14:textId="77777777" w:rsidR="00515B9F" w:rsidRPr="007C3F14" w:rsidRDefault="00515B9F" w:rsidP="00E624A4">
      <w:pPr>
        <w:spacing w:line="480" w:lineRule="auto"/>
        <w:jc w:val="both"/>
        <w:rPr>
          <w:rFonts w:cstheme="minorHAnsi"/>
          <w:color w:val="000000" w:themeColor="text1"/>
          <w:lang w:val="en-US"/>
        </w:rPr>
      </w:pPr>
      <w:r w:rsidRPr="007C3F14">
        <w:rPr>
          <w:rFonts w:cstheme="minorHAnsi"/>
          <w:color w:val="000000" w:themeColor="text1"/>
          <w:lang w:val="en-US"/>
        </w:rPr>
        <w:t>5´-GAAGGGUUCUCGUAUGUCA-3´;</w:t>
      </w:r>
    </w:p>
    <w:p w14:paraId="3D6E59B1" w14:textId="77777777" w:rsidR="00515B9F" w:rsidRPr="007C3F14" w:rsidRDefault="00515B9F" w:rsidP="00E624A4">
      <w:pPr>
        <w:spacing w:line="480" w:lineRule="auto"/>
        <w:jc w:val="both"/>
        <w:rPr>
          <w:rFonts w:cstheme="minorHAnsi"/>
          <w:color w:val="000000" w:themeColor="text1"/>
          <w:lang w:val="en-US"/>
        </w:rPr>
      </w:pPr>
      <w:r w:rsidRPr="007C3F14">
        <w:rPr>
          <w:rFonts w:cstheme="minorHAnsi"/>
          <w:color w:val="000000" w:themeColor="text1"/>
          <w:lang w:val="en-US"/>
        </w:rPr>
        <w:t>5´-GGACUGGGAUCGAACAACA-3´;</w:t>
      </w:r>
    </w:p>
    <w:p w14:paraId="4D73B836" w14:textId="77777777" w:rsidR="00515B9F" w:rsidRPr="007C3F14" w:rsidRDefault="00515B9F" w:rsidP="00E624A4">
      <w:pPr>
        <w:spacing w:line="480" w:lineRule="auto"/>
        <w:jc w:val="both"/>
        <w:rPr>
          <w:rFonts w:cstheme="minorHAnsi"/>
          <w:color w:val="000000" w:themeColor="text1"/>
          <w:lang w:val="en-US"/>
        </w:rPr>
      </w:pPr>
      <w:r w:rsidRPr="007C3F14">
        <w:rPr>
          <w:rFonts w:cstheme="minorHAnsi"/>
          <w:color w:val="000000" w:themeColor="text1"/>
          <w:lang w:val="en-US"/>
        </w:rPr>
        <w:t>5´-UAAGGAACCACAAGCAGUA-3´;</w:t>
      </w:r>
    </w:p>
    <w:p w14:paraId="6B6ED272" w14:textId="77777777" w:rsidR="00515B9F" w:rsidRPr="007C3F14" w:rsidRDefault="00515B9F" w:rsidP="00E624A4">
      <w:pPr>
        <w:spacing w:line="480" w:lineRule="auto"/>
        <w:rPr>
          <w:rFonts w:cstheme="minorHAnsi"/>
          <w:lang w:val="en-US"/>
        </w:rPr>
      </w:pPr>
      <w:r w:rsidRPr="007C3F14">
        <w:rPr>
          <w:rFonts w:cstheme="minorHAnsi"/>
          <w:lang w:val="en-US"/>
        </w:rPr>
        <w:t>The NT siRNAs (synthesized by Sigma) were used:</w:t>
      </w:r>
    </w:p>
    <w:p w14:paraId="23B4DEDB" w14:textId="02760B26" w:rsidR="00515B9F" w:rsidRDefault="00515B9F" w:rsidP="00E624A4">
      <w:pPr>
        <w:spacing w:line="480" w:lineRule="auto"/>
        <w:rPr>
          <w:rFonts w:cstheme="minorHAnsi"/>
          <w:lang w:val="en-US"/>
        </w:rPr>
      </w:pPr>
      <w:r w:rsidRPr="007C3F14">
        <w:rPr>
          <w:rFonts w:cstheme="minorHAnsi"/>
          <w:lang w:val="en-US"/>
        </w:rPr>
        <w:t>siNT 5´-AAUUCUCCGAACGUGUCACGU-3´</w:t>
      </w:r>
      <w:r w:rsidRPr="00EE73EA">
        <w:rPr>
          <w:rFonts w:cstheme="minorHAnsi"/>
          <w:lang w:val="en-US"/>
        </w:rPr>
        <w:t xml:space="preserve"> </w:t>
      </w:r>
    </w:p>
    <w:p w14:paraId="3BE0A071" w14:textId="566E4FB9" w:rsidR="001711CF" w:rsidRPr="001711CF" w:rsidRDefault="001711CF" w:rsidP="00E624A4">
      <w:pPr>
        <w:spacing w:line="480" w:lineRule="auto"/>
        <w:jc w:val="both"/>
        <w:rPr>
          <w:rFonts w:cstheme="minorHAnsi"/>
          <w:b/>
          <w:bCs/>
          <w:color w:val="000000"/>
          <w:lang w:val="en-US"/>
        </w:rPr>
      </w:pPr>
      <w:r w:rsidRPr="001711CF">
        <w:rPr>
          <w:rFonts w:cstheme="minorHAnsi"/>
          <w:b/>
          <w:bCs/>
          <w:color w:val="000000"/>
          <w:lang w:val="en-US"/>
        </w:rPr>
        <w:t xml:space="preserve">TaqMan qPCR </w:t>
      </w:r>
    </w:p>
    <w:p w14:paraId="25DE81BC" w14:textId="42546CD9" w:rsidR="00515B9F" w:rsidRPr="000F4B7C" w:rsidRDefault="00515B9F" w:rsidP="00E624A4">
      <w:pPr>
        <w:spacing w:line="480" w:lineRule="auto"/>
        <w:jc w:val="both"/>
        <w:rPr>
          <w:rFonts w:cstheme="minorHAnsi"/>
          <w:color w:val="000000"/>
          <w:lang w:val="en-US"/>
        </w:rPr>
      </w:pPr>
      <w:r w:rsidRPr="000F4B7C">
        <w:rPr>
          <w:rFonts w:cstheme="minorHAnsi"/>
          <w:color w:val="000000"/>
          <w:lang w:val="en-US"/>
        </w:rPr>
        <w:t xml:space="preserve">The </w:t>
      </w:r>
      <w:r>
        <w:rPr>
          <w:rFonts w:cstheme="minorHAnsi"/>
          <w:color w:val="000000"/>
          <w:lang w:val="en-US"/>
        </w:rPr>
        <w:t xml:space="preserve">following </w:t>
      </w:r>
      <w:r w:rsidRPr="000F4B7C">
        <w:rPr>
          <w:rFonts w:cstheme="minorHAnsi"/>
          <w:color w:val="000000"/>
          <w:lang w:val="en-US"/>
        </w:rPr>
        <w:t>primers used in this study:</w:t>
      </w:r>
    </w:p>
    <w:p w14:paraId="7E306526" w14:textId="77777777" w:rsidR="00EB020A" w:rsidRDefault="00515B9F" w:rsidP="00E624A4">
      <w:pPr>
        <w:spacing w:line="480" w:lineRule="auto"/>
        <w:rPr>
          <w:rFonts w:cstheme="minorHAnsi"/>
          <w:i/>
          <w:iCs/>
          <w:color w:val="212121"/>
          <w:shd w:val="clear" w:color="auto" w:fill="FFFFFF"/>
          <w:lang w:val="en-US"/>
        </w:rPr>
      </w:pPr>
      <w:r w:rsidRPr="007C3F14">
        <w:rPr>
          <w:rFonts w:cstheme="minorHAnsi"/>
          <w:i/>
          <w:iCs/>
          <w:color w:val="212121"/>
          <w:shd w:val="clear" w:color="auto" w:fill="FFFFFF"/>
          <w:lang w:val="en-US"/>
        </w:rPr>
        <w:t>IL17A</w:t>
      </w:r>
    </w:p>
    <w:p w14:paraId="736D040C" w14:textId="2C9ED676" w:rsidR="00057399" w:rsidRDefault="00EB020A" w:rsidP="00E624A4">
      <w:pPr>
        <w:spacing w:line="480" w:lineRule="auto"/>
        <w:rPr>
          <w:rFonts w:cstheme="minorHAnsi"/>
          <w:color w:val="212121"/>
          <w:shd w:val="clear" w:color="auto" w:fill="FFFFFF"/>
          <w:lang w:val="en-US"/>
        </w:rPr>
      </w:pPr>
      <w:r w:rsidRPr="006A7171">
        <w:rPr>
          <w:rFonts w:cstheme="minorHAnsi"/>
          <w:lang w:val="en-US"/>
        </w:rPr>
        <w:t xml:space="preserve">Universal </w:t>
      </w:r>
      <w:r w:rsidR="00997C43">
        <w:rPr>
          <w:rFonts w:cstheme="minorHAnsi"/>
          <w:lang w:val="en-US"/>
        </w:rPr>
        <w:t xml:space="preserve">Roches </w:t>
      </w:r>
      <w:r w:rsidRPr="006A7171">
        <w:rPr>
          <w:rFonts w:cstheme="minorHAnsi"/>
          <w:lang w:val="en-US"/>
        </w:rPr>
        <w:t>Probe</w:t>
      </w:r>
      <w:r w:rsidR="00997C43">
        <w:rPr>
          <w:rFonts w:cstheme="minorHAnsi"/>
          <w:lang w:val="en-US"/>
        </w:rPr>
        <w:t xml:space="preserve"> </w:t>
      </w:r>
      <w:r w:rsidRPr="006A7171">
        <w:rPr>
          <w:rFonts w:cstheme="minorHAnsi"/>
          <w:lang w:val="en-US"/>
        </w:rPr>
        <w:t>library probe #8</w:t>
      </w:r>
      <w:r w:rsidR="00515B9F" w:rsidRPr="007C3F14">
        <w:rPr>
          <w:rFonts w:cstheme="minorHAnsi"/>
          <w:color w:val="212121"/>
          <w:lang w:val="en-US"/>
        </w:rPr>
        <w:br/>
      </w:r>
      <w:r w:rsidR="00515B9F" w:rsidRPr="007C3F14">
        <w:rPr>
          <w:rFonts w:cstheme="minorHAnsi"/>
          <w:color w:val="212121"/>
          <w:shd w:val="clear" w:color="auto" w:fill="FFFFFF"/>
          <w:lang w:val="en-US"/>
        </w:rPr>
        <w:t>Forward primer 5`-TGGGAAGACCTCATTGGTGT</w:t>
      </w:r>
      <w:r w:rsidR="00515B9F" w:rsidRPr="007C3F14">
        <w:rPr>
          <w:rFonts w:cstheme="minorHAnsi"/>
          <w:color w:val="000000" w:themeColor="text1"/>
          <w:lang w:val="en-US"/>
        </w:rPr>
        <w:t>-3´;</w:t>
      </w:r>
      <w:r w:rsidR="00515B9F" w:rsidRPr="007C3F14">
        <w:rPr>
          <w:rFonts w:cstheme="minorHAnsi"/>
          <w:color w:val="212121"/>
          <w:lang w:val="en-US"/>
        </w:rPr>
        <w:br/>
      </w:r>
      <w:r w:rsidR="00515B9F" w:rsidRPr="007C3F14">
        <w:rPr>
          <w:rFonts w:cstheme="minorHAnsi"/>
          <w:color w:val="212121"/>
          <w:shd w:val="clear" w:color="auto" w:fill="FFFFFF"/>
          <w:lang w:val="en-US"/>
        </w:rPr>
        <w:t>Reverse primer  5`-GGATTTCGTGGGATTGTGAT</w:t>
      </w:r>
      <w:r w:rsidR="00515B9F" w:rsidRPr="007C3F14">
        <w:rPr>
          <w:rFonts w:cstheme="minorHAnsi"/>
          <w:color w:val="000000" w:themeColor="text1"/>
          <w:lang w:val="en-US"/>
        </w:rPr>
        <w:t>-3´;</w:t>
      </w:r>
      <w:r w:rsidR="00515B9F" w:rsidRPr="007C3F14">
        <w:rPr>
          <w:rFonts w:cstheme="minorHAnsi"/>
          <w:color w:val="212121"/>
          <w:lang w:val="en-US"/>
        </w:rPr>
        <w:br/>
      </w:r>
      <w:r w:rsidR="00515B9F" w:rsidRPr="007C3F14">
        <w:rPr>
          <w:rFonts w:cstheme="minorHAnsi"/>
          <w:i/>
          <w:iCs/>
          <w:color w:val="212121"/>
          <w:shd w:val="clear" w:color="auto" w:fill="FFFFFF"/>
          <w:lang w:val="en-US"/>
        </w:rPr>
        <w:t>MIAT</w:t>
      </w:r>
      <w:r w:rsidR="00515B9F" w:rsidRPr="007C3F14">
        <w:rPr>
          <w:rFonts w:cstheme="minorHAnsi"/>
          <w:color w:val="212121"/>
          <w:lang w:val="en-US"/>
        </w:rPr>
        <w:br/>
      </w:r>
      <w:r w:rsidR="00057399" w:rsidRPr="006A7171">
        <w:rPr>
          <w:rFonts w:cstheme="minorHAnsi"/>
          <w:lang w:val="en-US"/>
        </w:rPr>
        <w:t xml:space="preserve">Universal </w:t>
      </w:r>
      <w:r w:rsidR="00057399">
        <w:rPr>
          <w:rFonts w:cstheme="minorHAnsi"/>
          <w:lang w:val="en-US"/>
        </w:rPr>
        <w:t xml:space="preserve">Roches </w:t>
      </w:r>
      <w:r w:rsidR="00057399" w:rsidRPr="006A7171">
        <w:rPr>
          <w:rFonts w:cstheme="minorHAnsi"/>
          <w:lang w:val="en-US"/>
        </w:rPr>
        <w:t>Probe</w:t>
      </w:r>
      <w:r w:rsidR="00057399">
        <w:rPr>
          <w:rFonts w:cstheme="minorHAnsi"/>
          <w:lang w:val="en-US"/>
        </w:rPr>
        <w:t xml:space="preserve"> </w:t>
      </w:r>
      <w:r w:rsidR="00057399" w:rsidRPr="006A7171">
        <w:rPr>
          <w:rFonts w:cstheme="minorHAnsi"/>
          <w:lang w:val="en-US"/>
        </w:rPr>
        <w:t>library probe #</w:t>
      </w:r>
      <w:r w:rsidR="00057399">
        <w:rPr>
          <w:rFonts w:cstheme="minorHAnsi"/>
          <w:lang w:val="en-US"/>
        </w:rPr>
        <w:t>75</w:t>
      </w:r>
    </w:p>
    <w:p w14:paraId="77B6F501" w14:textId="77777777" w:rsidR="00437461" w:rsidRDefault="00515B9F" w:rsidP="00E624A4">
      <w:pPr>
        <w:spacing w:line="480" w:lineRule="auto"/>
        <w:rPr>
          <w:rFonts w:cstheme="minorHAnsi"/>
          <w:color w:val="000000" w:themeColor="text1"/>
          <w:lang w:val="en-US"/>
        </w:rPr>
      </w:pPr>
      <w:r w:rsidRPr="007C3F14">
        <w:rPr>
          <w:rFonts w:cstheme="minorHAnsi"/>
          <w:color w:val="212121"/>
          <w:shd w:val="clear" w:color="auto" w:fill="FFFFFF"/>
          <w:lang w:val="en-US"/>
        </w:rPr>
        <w:t>Forward primer 5`-GAGTGTGTGTGCATCTTGACAAT</w:t>
      </w:r>
      <w:r w:rsidRPr="007C3F14">
        <w:rPr>
          <w:rFonts w:cstheme="minorHAnsi"/>
          <w:color w:val="000000" w:themeColor="text1"/>
          <w:lang w:val="en-US"/>
        </w:rPr>
        <w:t>-3´;</w:t>
      </w:r>
      <w:r w:rsidRPr="007C3F14">
        <w:rPr>
          <w:rFonts w:cstheme="minorHAnsi"/>
          <w:color w:val="212121"/>
          <w:lang w:val="en-US"/>
        </w:rPr>
        <w:br/>
      </w:r>
      <w:r w:rsidRPr="007C3F14">
        <w:rPr>
          <w:rFonts w:cstheme="minorHAnsi"/>
          <w:color w:val="212121"/>
          <w:shd w:val="clear" w:color="auto" w:fill="FFFFFF"/>
          <w:lang w:val="en-US"/>
        </w:rPr>
        <w:t>Reverse primer  5`-GAGGGGTCGAAGAGAATGTG</w:t>
      </w:r>
      <w:r w:rsidRPr="007C3F14">
        <w:rPr>
          <w:rFonts w:cstheme="minorHAnsi"/>
          <w:color w:val="000000" w:themeColor="text1"/>
          <w:lang w:val="en-US"/>
        </w:rPr>
        <w:t>-3´</w:t>
      </w:r>
      <w:r w:rsidRPr="007C3F14">
        <w:rPr>
          <w:rFonts w:cstheme="minorHAnsi"/>
          <w:color w:val="212121"/>
          <w:lang w:val="en-US"/>
        </w:rPr>
        <w:br/>
      </w:r>
      <w:r w:rsidRPr="007C3F14">
        <w:rPr>
          <w:rFonts w:cstheme="minorHAnsi"/>
          <w:i/>
          <w:iCs/>
          <w:color w:val="212121"/>
          <w:shd w:val="clear" w:color="auto" w:fill="FFFFFF"/>
          <w:lang w:val="en-US"/>
        </w:rPr>
        <w:lastRenderedPageBreak/>
        <w:t>STAT3</w:t>
      </w:r>
      <w:r w:rsidRPr="007C3F14">
        <w:rPr>
          <w:rFonts w:cstheme="minorHAnsi"/>
          <w:color w:val="212121"/>
          <w:lang w:val="en-US"/>
        </w:rPr>
        <w:br/>
      </w:r>
      <w:r w:rsidR="00437461">
        <w:rPr>
          <w:rFonts w:cstheme="minorHAnsi"/>
          <w:color w:val="000000" w:themeColor="text1"/>
          <w:lang w:val="en-US"/>
        </w:rPr>
        <w:t>Probe (FAM-TAMRA):</w:t>
      </w:r>
      <w:r w:rsidR="00437461" w:rsidRPr="005B4A26">
        <w:rPr>
          <w:rFonts w:cstheme="minorHAnsi"/>
          <w:color w:val="000000" w:themeColor="text1"/>
          <w:lang w:val="en-US"/>
        </w:rPr>
        <w:t xml:space="preserve"> 5'-TCGGCCAGAGAGCCAGGAGCAT-3'</w:t>
      </w:r>
    </w:p>
    <w:p w14:paraId="40E21462" w14:textId="77777777" w:rsidR="00437461" w:rsidRDefault="00437461" w:rsidP="00E624A4">
      <w:pPr>
        <w:spacing w:line="480" w:lineRule="auto"/>
        <w:rPr>
          <w:rFonts w:cstheme="minorHAnsi"/>
          <w:color w:val="000000" w:themeColor="text1"/>
          <w:lang w:val="en-US"/>
        </w:rPr>
      </w:pPr>
      <w:proofErr w:type="spellStart"/>
      <w:r>
        <w:rPr>
          <w:rFonts w:cstheme="minorHAnsi"/>
          <w:color w:val="000000" w:themeColor="text1"/>
          <w:lang w:val="en-US"/>
        </w:rPr>
        <w:t>Fw</w:t>
      </w:r>
      <w:proofErr w:type="spellEnd"/>
      <w:r>
        <w:rPr>
          <w:rFonts w:cstheme="minorHAnsi"/>
          <w:color w:val="000000" w:themeColor="text1"/>
          <w:lang w:val="en-US"/>
        </w:rPr>
        <w:t>:</w:t>
      </w:r>
      <w:r w:rsidRPr="005B4A26">
        <w:rPr>
          <w:rFonts w:cstheme="minorHAnsi"/>
          <w:color w:val="000000" w:themeColor="text1"/>
          <w:lang w:val="en-US"/>
        </w:rPr>
        <w:t xml:space="preserve"> 5'-GAGGAGGCATTCGGGAAGTATT-3'</w:t>
      </w:r>
    </w:p>
    <w:p w14:paraId="0E93038A" w14:textId="3C34D888" w:rsidR="00057399" w:rsidRPr="00057399" w:rsidRDefault="00437461" w:rsidP="00E624A4">
      <w:pPr>
        <w:spacing w:line="480" w:lineRule="auto"/>
        <w:rPr>
          <w:rFonts w:cstheme="minorHAnsi"/>
          <w:color w:val="212121"/>
          <w:lang w:val="en-US"/>
        </w:rPr>
      </w:pPr>
      <w:r>
        <w:rPr>
          <w:rFonts w:cstheme="minorHAnsi"/>
          <w:color w:val="212121"/>
          <w:lang w:val="en-US"/>
        </w:rPr>
        <w:t xml:space="preserve">Rev: </w:t>
      </w:r>
      <w:r w:rsidRPr="005B4A26">
        <w:rPr>
          <w:rFonts w:cstheme="minorHAnsi"/>
          <w:color w:val="212121"/>
          <w:lang w:val="en-US"/>
        </w:rPr>
        <w:t xml:space="preserve"> 5'-GCGCTACCTGGGTCAGCTT-3'</w:t>
      </w:r>
      <w:r w:rsidR="00515B9F" w:rsidRPr="007C3F14">
        <w:rPr>
          <w:rFonts w:cstheme="minorHAnsi"/>
          <w:color w:val="212121"/>
          <w:lang w:val="en-US"/>
        </w:rPr>
        <w:br/>
      </w:r>
      <w:r w:rsidR="00515B9F" w:rsidRPr="007C3F14">
        <w:rPr>
          <w:rFonts w:cstheme="minorHAnsi"/>
          <w:i/>
          <w:iCs/>
          <w:color w:val="212121"/>
          <w:shd w:val="clear" w:color="auto" w:fill="FFFFFF"/>
          <w:lang w:val="en-US"/>
        </w:rPr>
        <w:t>PRKCA</w:t>
      </w:r>
    </w:p>
    <w:p w14:paraId="6423DCD7" w14:textId="6A2A48C0" w:rsidR="00515B9F" w:rsidRPr="00BE4F72" w:rsidRDefault="00057399" w:rsidP="00E624A4">
      <w:pPr>
        <w:spacing w:line="480" w:lineRule="auto"/>
        <w:rPr>
          <w:rFonts w:cstheme="minorHAnsi"/>
          <w:lang w:val="en-US"/>
        </w:rPr>
      </w:pPr>
      <w:r w:rsidRPr="006A7171">
        <w:rPr>
          <w:rFonts w:cstheme="minorHAnsi"/>
          <w:lang w:val="en-US"/>
        </w:rPr>
        <w:t xml:space="preserve">Universal </w:t>
      </w:r>
      <w:r>
        <w:rPr>
          <w:rFonts w:cstheme="minorHAnsi"/>
          <w:lang w:val="en-US"/>
        </w:rPr>
        <w:t xml:space="preserve">Roches </w:t>
      </w:r>
      <w:r w:rsidRPr="006A7171">
        <w:rPr>
          <w:rFonts w:cstheme="minorHAnsi"/>
          <w:lang w:val="en-US"/>
        </w:rPr>
        <w:t>Probe</w:t>
      </w:r>
      <w:r>
        <w:rPr>
          <w:rFonts w:cstheme="minorHAnsi"/>
          <w:lang w:val="en-US"/>
        </w:rPr>
        <w:t xml:space="preserve"> </w:t>
      </w:r>
      <w:r w:rsidRPr="006A7171">
        <w:rPr>
          <w:rFonts w:cstheme="minorHAnsi"/>
          <w:lang w:val="en-US"/>
        </w:rPr>
        <w:t>library probe #</w:t>
      </w:r>
      <w:r>
        <w:rPr>
          <w:rFonts w:cstheme="minorHAnsi"/>
          <w:lang w:val="en-US"/>
        </w:rPr>
        <w:t>202</w:t>
      </w:r>
      <w:r w:rsidR="00515B9F" w:rsidRPr="007C3F14">
        <w:rPr>
          <w:rFonts w:cstheme="minorHAnsi"/>
          <w:color w:val="212121"/>
          <w:lang w:val="en-US"/>
        </w:rPr>
        <w:br/>
      </w:r>
      <w:r w:rsidR="00515B9F" w:rsidRPr="007C3F14">
        <w:rPr>
          <w:rFonts w:cstheme="minorHAnsi"/>
          <w:color w:val="212121"/>
          <w:shd w:val="clear" w:color="auto" w:fill="FFFFFF"/>
          <w:lang w:val="en-US"/>
        </w:rPr>
        <w:t>Forward primer 5</w:t>
      </w:r>
      <w:r w:rsidR="00BE4F72">
        <w:rPr>
          <w:rFonts w:cstheme="minorHAnsi"/>
          <w:color w:val="212121"/>
          <w:shd w:val="clear" w:color="auto" w:fill="FFFFFF"/>
          <w:lang w:val="en-US"/>
        </w:rPr>
        <w:t>’</w:t>
      </w:r>
      <w:r w:rsidR="00515B9F" w:rsidRPr="007C3F14">
        <w:rPr>
          <w:rFonts w:cstheme="minorHAnsi"/>
          <w:color w:val="212121"/>
          <w:shd w:val="clear" w:color="auto" w:fill="FFFFFF"/>
          <w:lang w:val="en-US"/>
        </w:rPr>
        <w:t>-TGGCGTCCTGTTGTATGAAA</w:t>
      </w:r>
      <w:r w:rsidR="00515B9F" w:rsidRPr="007C3F14">
        <w:rPr>
          <w:rFonts w:cstheme="minorHAnsi"/>
          <w:color w:val="000000" w:themeColor="text1"/>
          <w:lang w:val="en-US"/>
        </w:rPr>
        <w:t>-3´;</w:t>
      </w:r>
      <w:r w:rsidR="00515B9F" w:rsidRPr="007C3F14">
        <w:rPr>
          <w:rFonts w:cstheme="minorHAnsi"/>
          <w:color w:val="212121"/>
          <w:lang w:val="en-US"/>
        </w:rPr>
        <w:br/>
      </w:r>
      <w:r w:rsidR="00515B9F" w:rsidRPr="007C3F14">
        <w:rPr>
          <w:rFonts w:cstheme="minorHAnsi"/>
          <w:color w:val="212121"/>
          <w:shd w:val="clear" w:color="auto" w:fill="FFFFFF"/>
          <w:lang w:val="en-US"/>
        </w:rPr>
        <w:t>Reverse primer  5</w:t>
      </w:r>
      <w:r w:rsidR="00BE4F72">
        <w:rPr>
          <w:rFonts w:cstheme="minorHAnsi"/>
          <w:color w:val="212121"/>
          <w:shd w:val="clear" w:color="auto" w:fill="FFFFFF"/>
          <w:lang w:val="en-US"/>
        </w:rPr>
        <w:t>’</w:t>
      </w:r>
      <w:r w:rsidR="00515B9F" w:rsidRPr="007C3F14">
        <w:rPr>
          <w:rFonts w:cstheme="minorHAnsi"/>
          <w:color w:val="212121"/>
          <w:shd w:val="clear" w:color="auto" w:fill="FFFFFF"/>
          <w:lang w:val="en-US"/>
        </w:rPr>
        <w:t>-CGTTGTGCTCCATGATAGACTG</w:t>
      </w:r>
      <w:r w:rsidR="00515B9F" w:rsidRPr="007C3F14">
        <w:rPr>
          <w:rFonts w:cstheme="minorHAnsi"/>
          <w:color w:val="000000" w:themeColor="text1"/>
          <w:lang w:val="en-US"/>
        </w:rPr>
        <w:t>-3´;</w:t>
      </w:r>
    </w:p>
    <w:p w14:paraId="3C16018B" w14:textId="728848D7" w:rsidR="00197AFD" w:rsidRDefault="00197AFD" w:rsidP="00E624A4">
      <w:pPr>
        <w:spacing w:line="480" w:lineRule="auto"/>
        <w:rPr>
          <w:rFonts w:cstheme="minorHAnsi"/>
          <w:i/>
          <w:iCs/>
          <w:color w:val="212121"/>
          <w:shd w:val="clear" w:color="auto" w:fill="FFFFFF"/>
          <w:lang w:val="en-US"/>
        </w:rPr>
      </w:pPr>
      <w:r>
        <w:rPr>
          <w:rFonts w:cstheme="minorHAnsi"/>
          <w:i/>
          <w:iCs/>
          <w:color w:val="212121"/>
          <w:shd w:val="clear" w:color="auto" w:fill="FFFFFF"/>
          <w:lang w:val="en-US"/>
        </w:rPr>
        <w:t>RORC</w:t>
      </w:r>
    </w:p>
    <w:p w14:paraId="715F55AA" w14:textId="67BA1742" w:rsidR="006A7171" w:rsidRDefault="006A7171" w:rsidP="00E624A4">
      <w:pPr>
        <w:spacing w:line="480" w:lineRule="auto"/>
        <w:rPr>
          <w:rFonts w:cstheme="minorHAnsi"/>
          <w:lang w:val="en-US"/>
        </w:rPr>
      </w:pPr>
      <w:r w:rsidRPr="006A7171">
        <w:rPr>
          <w:rFonts w:cstheme="minorHAnsi"/>
          <w:lang w:val="en-US"/>
        </w:rPr>
        <w:t xml:space="preserve">Universal </w:t>
      </w:r>
      <w:r w:rsidR="00404CAD">
        <w:rPr>
          <w:rFonts w:cstheme="minorHAnsi"/>
          <w:lang w:val="en-US"/>
        </w:rPr>
        <w:t xml:space="preserve">Roche </w:t>
      </w:r>
      <w:r w:rsidRPr="006A7171">
        <w:rPr>
          <w:rFonts w:cstheme="minorHAnsi"/>
          <w:lang w:val="en-US"/>
        </w:rPr>
        <w:t>Probe</w:t>
      </w:r>
      <w:r w:rsidR="00404CAD">
        <w:rPr>
          <w:rFonts w:cstheme="minorHAnsi"/>
          <w:lang w:val="en-US"/>
        </w:rPr>
        <w:t xml:space="preserve"> </w:t>
      </w:r>
      <w:r w:rsidRPr="006A7171">
        <w:rPr>
          <w:rFonts w:cstheme="minorHAnsi"/>
          <w:lang w:val="en-US"/>
        </w:rPr>
        <w:t>library probe #87</w:t>
      </w:r>
    </w:p>
    <w:p w14:paraId="0E9C475D" w14:textId="5A032B64" w:rsidR="00197AFD" w:rsidRPr="00197AFD" w:rsidRDefault="00197AFD" w:rsidP="00E624A4">
      <w:pPr>
        <w:spacing w:line="480" w:lineRule="auto"/>
        <w:rPr>
          <w:rFonts w:cstheme="minorHAnsi"/>
          <w:lang w:val="en-US"/>
        </w:rPr>
      </w:pPr>
      <w:r w:rsidRPr="00197AFD">
        <w:rPr>
          <w:rFonts w:cstheme="minorHAnsi"/>
          <w:lang w:val="en-US"/>
        </w:rPr>
        <w:t>Forward primer: 5’- AGACTCATCGCCAAAGCATC -3’</w:t>
      </w:r>
    </w:p>
    <w:p w14:paraId="4B59ABA3" w14:textId="13A22284" w:rsidR="00973750" w:rsidRDefault="00197AFD" w:rsidP="00E624A4">
      <w:pPr>
        <w:spacing w:line="480" w:lineRule="auto"/>
        <w:rPr>
          <w:rFonts w:cstheme="minorHAnsi"/>
          <w:lang w:val="en-US"/>
        </w:rPr>
      </w:pPr>
      <w:r w:rsidRPr="00197AFD">
        <w:rPr>
          <w:rFonts w:cstheme="minorHAnsi"/>
          <w:lang w:val="en-US"/>
        </w:rPr>
        <w:t>Reverse primer: 5’- TCCACATGCTGGCTACACA -3’</w:t>
      </w:r>
    </w:p>
    <w:p w14:paraId="4E12E3BD" w14:textId="054ED150" w:rsidR="000E1EED" w:rsidRPr="00404CAD" w:rsidRDefault="00404CAD" w:rsidP="00E624A4">
      <w:pPr>
        <w:spacing w:line="480" w:lineRule="auto"/>
        <w:rPr>
          <w:rFonts w:cstheme="minorHAnsi"/>
          <w:i/>
          <w:iCs/>
          <w:lang w:val="en-US"/>
        </w:rPr>
      </w:pPr>
      <w:r>
        <w:rPr>
          <w:rFonts w:cstheme="minorHAnsi"/>
          <w:i/>
          <w:iCs/>
          <w:lang w:val="en-US"/>
        </w:rPr>
        <w:t>E</w:t>
      </w:r>
      <w:r w:rsidR="006A5530">
        <w:rPr>
          <w:rFonts w:cstheme="minorHAnsi"/>
          <w:i/>
          <w:iCs/>
          <w:lang w:val="en-US"/>
        </w:rPr>
        <w:t>EF1</w:t>
      </w:r>
      <w:r>
        <w:rPr>
          <w:rFonts w:cstheme="minorHAnsi"/>
          <w:i/>
          <w:iCs/>
          <w:lang w:val="en-US"/>
        </w:rPr>
        <w:t xml:space="preserve">A1 </w:t>
      </w:r>
      <w:r w:rsidRPr="00404CAD">
        <w:rPr>
          <w:rFonts w:cstheme="minorHAnsi"/>
          <w:lang w:val="en-US"/>
        </w:rPr>
        <w:t>(EF1α)</w:t>
      </w:r>
    </w:p>
    <w:p w14:paraId="25E677CA" w14:textId="77777777" w:rsidR="008B73B9" w:rsidRDefault="000E1EED" w:rsidP="00E624A4">
      <w:pPr>
        <w:spacing w:line="480" w:lineRule="auto"/>
        <w:rPr>
          <w:rFonts w:cstheme="minorHAnsi"/>
          <w:lang w:val="en-US"/>
        </w:rPr>
      </w:pPr>
      <w:r>
        <w:rPr>
          <w:rFonts w:cstheme="minorHAnsi"/>
          <w:color w:val="000000" w:themeColor="text1"/>
          <w:lang w:val="en-US"/>
        </w:rPr>
        <w:t>Probe (FAM-TAMRA):</w:t>
      </w:r>
      <w:r w:rsidRPr="005B4A26">
        <w:rPr>
          <w:rFonts w:cstheme="minorHAnsi"/>
          <w:color w:val="000000" w:themeColor="text1"/>
          <w:lang w:val="en-US"/>
        </w:rPr>
        <w:t xml:space="preserve"> </w:t>
      </w:r>
      <w:r w:rsidRPr="000E1EED">
        <w:rPr>
          <w:rFonts w:cstheme="minorHAnsi"/>
          <w:lang w:val="en-US"/>
        </w:rPr>
        <w:t>5' -AGCGCCGGCTATGCCCCTG- 3'</w:t>
      </w:r>
    </w:p>
    <w:p w14:paraId="1C741350" w14:textId="59BF95E6" w:rsidR="000E1EED" w:rsidRPr="000E1EED" w:rsidRDefault="000E1EED" w:rsidP="00E624A4">
      <w:pPr>
        <w:spacing w:line="480" w:lineRule="auto"/>
        <w:rPr>
          <w:rFonts w:cstheme="minorHAnsi"/>
          <w:lang w:val="en-US"/>
        </w:rPr>
      </w:pPr>
      <w:r>
        <w:rPr>
          <w:rFonts w:cstheme="minorHAnsi"/>
          <w:lang w:val="en-US"/>
        </w:rPr>
        <w:t xml:space="preserve">Forward primer: </w:t>
      </w:r>
      <w:r w:rsidRPr="000E1EED">
        <w:rPr>
          <w:rFonts w:cstheme="minorHAnsi"/>
          <w:lang w:val="en-US"/>
        </w:rPr>
        <w:t>5' -CTGAACCATCCAGGCCAAAT- 3'</w:t>
      </w:r>
    </w:p>
    <w:p w14:paraId="072BD78E" w14:textId="41EADDB3" w:rsidR="000E1EED" w:rsidRPr="000E1EED" w:rsidRDefault="000E1EED" w:rsidP="00E624A4">
      <w:pPr>
        <w:spacing w:line="480" w:lineRule="auto"/>
        <w:rPr>
          <w:rFonts w:cstheme="minorHAnsi"/>
          <w:lang w:val="en-US"/>
        </w:rPr>
      </w:pPr>
      <w:r>
        <w:rPr>
          <w:rFonts w:cstheme="minorHAnsi"/>
          <w:lang w:val="en-US"/>
        </w:rPr>
        <w:t xml:space="preserve">Reverse primer: </w:t>
      </w:r>
      <w:r w:rsidRPr="000E1EED">
        <w:rPr>
          <w:rFonts w:cstheme="minorHAnsi"/>
          <w:lang w:val="en-US"/>
        </w:rPr>
        <w:t>5' -GCCGTGTGGCAATCCAAT- 3'</w:t>
      </w:r>
    </w:p>
    <w:p w14:paraId="701DAC06" w14:textId="6CA9D6A4" w:rsidR="00973750" w:rsidRPr="00E928AD" w:rsidRDefault="00973750" w:rsidP="00E624A4">
      <w:pPr>
        <w:spacing w:line="480" w:lineRule="auto"/>
        <w:rPr>
          <w:rFonts w:cstheme="minorHAnsi"/>
          <w:b/>
          <w:bCs/>
          <w:lang w:val="en-US"/>
        </w:rPr>
      </w:pPr>
      <w:r w:rsidRPr="00E928AD">
        <w:rPr>
          <w:rFonts w:cstheme="minorHAnsi"/>
          <w:b/>
          <w:bCs/>
          <w:lang w:val="en-US"/>
        </w:rPr>
        <w:t>ChIP-PCR primers</w:t>
      </w:r>
    </w:p>
    <w:p w14:paraId="4A9C4378" w14:textId="0542045D" w:rsidR="00973750" w:rsidRDefault="00973750" w:rsidP="00E624A4">
      <w:pPr>
        <w:spacing w:line="480" w:lineRule="auto"/>
        <w:rPr>
          <w:rFonts w:cstheme="minorHAnsi"/>
          <w:lang w:val="en-US"/>
        </w:rPr>
      </w:pPr>
      <w:r>
        <w:rPr>
          <w:rFonts w:cstheme="minorHAnsi"/>
          <w:lang w:val="en-US"/>
        </w:rPr>
        <w:t>STAT3 ChIP primers on MIAT promoter</w:t>
      </w:r>
    </w:p>
    <w:p w14:paraId="259DC5BD" w14:textId="1A24C42D" w:rsidR="00973750" w:rsidRDefault="00973750" w:rsidP="00E624A4">
      <w:pPr>
        <w:spacing w:line="480" w:lineRule="auto"/>
        <w:rPr>
          <w:rFonts w:ascii="Times New Roman" w:eastAsia="Times New Roman" w:hAnsi="Times New Roman" w:cs="Times New Roman"/>
          <w:sz w:val="20"/>
          <w:szCs w:val="20"/>
          <w:lang w:eastAsia="en-GB"/>
        </w:rPr>
      </w:pPr>
      <w:r w:rsidRPr="006A244F">
        <w:rPr>
          <w:rFonts w:cstheme="minorHAnsi"/>
          <w:color w:val="000000"/>
        </w:rPr>
        <w:t>Forward primer</w:t>
      </w:r>
      <w:r>
        <w:rPr>
          <w:rFonts w:cstheme="minorHAnsi"/>
          <w:color w:val="000000"/>
        </w:rPr>
        <w:t xml:space="preserve"> s</w:t>
      </w:r>
      <w:r w:rsidRPr="006A244F">
        <w:rPr>
          <w:rFonts w:cstheme="minorHAnsi"/>
          <w:color w:val="000000"/>
        </w:rPr>
        <w:t>equence (5'-&gt;3')</w:t>
      </w:r>
      <w:r>
        <w:rPr>
          <w:rFonts w:cstheme="minorHAnsi"/>
          <w:color w:val="000000"/>
        </w:rPr>
        <w:t xml:space="preserve">: </w:t>
      </w:r>
      <w:r w:rsidRPr="00E94967">
        <w:rPr>
          <w:rFonts w:ascii="Times New Roman" w:eastAsia="Times New Roman" w:hAnsi="Times New Roman" w:cs="Times New Roman"/>
          <w:sz w:val="20"/>
          <w:szCs w:val="20"/>
          <w:lang w:eastAsia="en-GB"/>
        </w:rPr>
        <w:t>AAGTGTCCGGAAATGGTTTG</w:t>
      </w:r>
    </w:p>
    <w:p w14:paraId="19985CF0" w14:textId="652F5A46" w:rsidR="001711CF" w:rsidRPr="00E928AD" w:rsidRDefault="00973750" w:rsidP="00E624A4">
      <w:pPr>
        <w:spacing w:line="480" w:lineRule="auto"/>
        <w:rPr>
          <w:rFonts w:cstheme="minorHAnsi"/>
          <w:lang w:val="en-US"/>
        </w:rPr>
      </w:pPr>
      <w:r w:rsidRPr="006A244F">
        <w:rPr>
          <w:rFonts w:cstheme="minorHAnsi"/>
          <w:color w:val="000000"/>
        </w:rPr>
        <w:t>Reverse primer</w:t>
      </w:r>
      <w:r>
        <w:rPr>
          <w:rFonts w:cstheme="minorHAnsi"/>
          <w:color w:val="000000"/>
        </w:rPr>
        <w:t xml:space="preserve"> s</w:t>
      </w:r>
      <w:r w:rsidRPr="006A244F">
        <w:rPr>
          <w:rFonts w:cstheme="minorHAnsi"/>
          <w:color w:val="000000"/>
        </w:rPr>
        <w:t>equence (5'-&gt;3')</w:t>
      </w:r>
      <w:r>
        <w:rPr>
          <w:rFonts w:cstheme="minorHAnsi"/>
          <w:color w:val="000000"/>
        </w:rPr>
        <w:t xml:space="preserve">: </w:t>
      </w:r>
      <w:r w:rsidRPr="00E94967">
        <w:rPr>
          <w:rFonts w:ascii="Times New Roman" w:eastAsia="Times New Roman" w:hAnsi="Times New Roman" w:cs="Times New Roman"/>
          <w:sz w:val="20"/>
          <w:szCs w:val="20"/>
          <w:lang w:eastAsia="en-GB"/>
        </w:rPr>
        <w:t>CGCCCCTCAACTTTCTAGG</w:t>
      </w:r>
    </w:p>
    <w:p w14:paraId="3E6C1AE4" w14:textId="6F4DE007" w:rsidR="001711CF" w:rsidRDefault="001711CF" w:rsidP="00E624A4">
      <w:pPr>
        <w:spacing w:line="480" w:lineRule="auto"/>
        <w:rPr>
          <w:b/>
          <w:bCs/>
        </w:rPr>
      </w:pPr>
      <w:r>
        <w:rPr>
          <w:b/>
          <w:bCs/>
        </w:rPr>
        <w:t>ATAC-PCR</w:t>
      </w:r>
    </w:p>
    <w:p w14:paraId="7B91CE82" w14:textId="468311AA" w:rsidR="003D175C" w:rsidRDefault="003D175C" w:rsidP="00E624A4">
      <w:pPr>
        <w:autoSpaceDE w:val="0"/>
        <w:autoSpaceDN w:val="0"/>
        <w:adjustRightInd w:val="0"/>
        <w:spacing w:line="480" w:lineRule="auto"/>
        <w:jc w:val="both"/>
        <w:rPr>
          <w:rFonts w:cstheme="minorHAnsi"/>
          <w:color w:val="000000"/>
        </w:rPr>
      </w:pPr>
      <w:r>
        <w:rPr>
          <w:rFonts w:cstheme="minorHAnsi"/>
          <w:color w:val="000000"/>
        </w:rPr>
        <w:t xml:space="preserve">DNA sequences of the regions and the primers used to TaqMan ATAC-qPCR are as follows: </w:t>
      </w:r>
    </w:p>
    <w:p w14:paraId="23AC5DCB" w14:textId="77777777" w:rsidR="003D175C" w:rsidRPr="006A244F" w:rsidRDefault="003D175C" w:rsidP="00E624A4">
      <w:pPr>
        <w:autoSpaceDE w:val="0"/>
        <w:autoSpaceDN w:val="0"/>
        <w:adjustRightInd w:val="0"/>
        <w:spacing w:line="480" w:lineRule="auto"/>
        <w:jc w:val="both"/>
        <w:rPr>
          <w:rFonts w:cstheme="minorHAnsi"/>
          <w:color w:val="000000"/>
        </w:rPr>
      </w:pPr>
      <w:r w:rsidRPr="00232042">
        <w:rPr>
          <w:rFonts w:cstheme="minorHAnsi"/>
          <w:b/>
          <w:bCs/>
          <w:color w:val="000000"/>
        </w:rPr>
        <w:t>Region 1:</w:t>
      </w:r>
      <w:r>
        <w:rPr>
          <w:rFonts w:cstheme="minorHAnsi"/>
          <w:color w:val="000000"/>
        </w:rPr>
        <w:t xml:space="preserve"> </w:t>
      </w:r>
      <w:r w:rsidRPr="006A244F">
        <w:rPr>
          <w:rFonts w:cstheme="minorHAnsi"/>
          <w:color w:val="000000"/>
        </w:rPr>
        <w:t>hg38_dna range=chr6:52186481-52186673</w:t>
      </w:r>
    </w:p>
    <w:p w14:paraId="2697054C" w14:textId="77777777" w:rsidR="003D175C" w:rsidRDefault="003D175C" w:rsidP="00E624A4">
      <w:pPr>
        <w:autoSpaceDE w:val="0"/>
        <w:autoSpaceDN w:val="0"/>
        <w:adjustRightInd w:val="0"/>
        <w:spacing w:line="480" w:lineRule="auto"/>
        <w:jc w:val="both"/>
        <w:rPr>
          <w:rFonts w:cstheme="minorHAnsi"/>
          <w:color w:val="000000"/>
        </w:rPr>
      </w:pPr>
      <w:r w:rsidRPr="006A244F">
        <w:rPr>
          <w:rFonts w:cstheme="minorHAnsi"/>
          <w:color w:val="000000"/>
        </w:rPr>
        <w:t>Forward primer</w:t>
      </w:r>
      <w:r>
        <w:rPr>
          <w:rFonts w:cstheme="minorHAnsi"/>
          <w:color w:val="000000"/>
        </w:rPr>
        <w:t xml:space="preserve"> s</w:t>
      </w:r>
      <w:r w:rsidRPr="006A244F">
        <w:rPr>
          <w:rFonts w:cstheme="minorHAnsi"/>
          <w:color w:val="000000"/>
        </w:rPr>
        <w:t>equence (5'-&gt;3')</w:t>
      </w:r>
      <w:r>
        <w:rPr>
          <w:rFonts w:cstheme="minorHAnsi"/>
          <w:color w:val="000000"/>
        </w:rPr>
        <w:t xml:space="preserve">: </w:t>
      </w:r>
      <w:r w:rsidRPr="006A244F">
        <w:rPr>
          <w:rFonts w:cstheme="minorHAnsi"/>
          <w:color w:val="000000"/>
        </w:rPr>
        <w:t>GCATGAAACGCTGGGTTCTG</w:t>
      </w:r>
      <w:r>
        <w:rPr>
          <w:rFonts w:cstheme="minorHAnsi"/>
          <w:color w:val="000000"/>
        </w:rPr>
        <w:t xml:space="preserve"> </w:t>
      </w:r>
    </w:p>
    <w:p w14:paraId="0AB2F234" w14:textId="77777777" w:rsidR="003D175C" w:rsidRDefault="003D175C" w:rsidP="00E624A4">
      <w:pPr>
        <w:autoSpaceDE w:val="0"/>
        <w:autoSpaceDN w:val="0"/>
        <w:adjustRightInd w:val="0"/>
        <w:spacing w:line="480" w:lineRule="auto"/>
        <w:jc w:val="both"/>
        <w:rPr>
          <w:rFonts w:cstheme="minorHAnsi"/>
          <w:color w:val="000000"/>
        </w:rPr>
      </w:pPr>
      <w:r w:rsidRPr="006A244F">
        <w:rPr>
          <w:rFonts w:cstheme="minorHAnsi"/>
          <w:color w:val="000000"/>
        </w:rPr>
        <w:lastRenderedPageBreak/>
        <w:t>Reverse primer</w:t>
      </w:r>
      <w:r>
        <w:rPr>
          <w:rFonts w:cstheme="minorHAnsi"/>
          <w:color w:val="000000"/>
        </w:rPr>
        <w:t xml:space="preserve"> s</w:t>
      </w:r>
      <w:r w:rsidRPr="006A244F">
        <w:rPr>
          <w:rFonts w:cstheme="minorHAnsi"/>
          <w:color w:val="000000"/>
        </w:rPr>
        <w:t>equence (5'-&gt;3')</w:t>
      </w:r>
      <w:r>
        <w:rPr>
          <w:rFonts w:cstheme="minorHAnsi"/>
          <w:color w:val="000000"/>
        </w:rPr>
        <w:t xml:space="preserve">: </w:t>
      </w:r>
      <w:r w:rsidRPr="006A244F">
        <w:rPr>
          <w:rFonts w:cstheme="minorHAnsi"/>
          <w:color w:val="000000"/>
        </w:rPr>
        <w:t>TCTTGAAAATGCTGCACAATGACT</w:t>
      </w:r>
    </w:p>
    <w:p w14:paraId="0E027435" w14:textId="77777777" w:rsidR="003D175C" w:rsidRPr="006A244F" w:rsidRDefault="003D175C" w:rsidP="00E624A4">
      <w:pPr>
        <w:autoSpaceDE w:val="0"/>
        <w:autoSpaceDN w:val="0"/>
        <w:adjustRightInd w:val="0"/>
        <w:spacing w:line="480" w:lineRule="auto"/>
        <w:jc w:val="both"/>
        <w:rPr>
          <w:rFonts w:cstheme="minorHAnsi"/>
          <w:color w:val="000000"/>
        </w:rPr>
      </w:pPr>
      <w:r w:rsidRPr="00232042">
        <w:rPr>
          <w:rFonts w:cstheme="minorHAnsi"/>
          <w:b/>
          <w:bCs/>
          <w:color w:val="000000"/>
        </w:rPr>
        <w:t>Region 2:</w:t>
      </w:r>
      <w:r>
        <w:rPr>
          <w:rFonts w:cstheme="minorHAnsi"/>
          <w:color w:val="000000"/>
        </w:rPr>
        <w:t xml:space="preserve"> </w:t>
      </w:r>
      <w:r w:rsidRPr="006A244F">
        <w:rPr>
          <w:rFonts w:cstheme="minorHAnsi"/>
          <w:color w:val="000000"/>
        </w:rPr>
        <w:t xml:space="preserve">hg38_dna range=chr6:52186432-52186721 </w:t>
      </w:r>
    </w:p>
    <w:p w14:paraId="0F30DB64" w14:textId="77777777" w:rsidR="003D175C" w:rsidRDefault="003D175C" w:rsidP="00E624A4">
      <w:pPr>
        <w:autoSpaceDE w:val="0"/>
        <w:autoSpaceDN w:val="0"/>
        <w:adjustRightInd w:val="0"/>
        <w:spacing w:line="480" w:lineRule="auto"/>
        <w:jc w:val="both"/>
        <w:rPr>
          <w:rFonts w:ascii="Calibri" w:hAnsi="Calibri" w:cs="Calibri"/>
          <w:lang w:val="en-US"/>
        </w:rPr>
      </w:pPr>
      <w:r w:rsidRPr="006A244F">
        <w:rPr>
          <w:rFonts w:ascii="Calibri" w:hAnsi="Calibri" w:cs="Calibri"/>
          <w:lang w:val="en-US"/>
        </w:rPr>
        <w:t>Forward primer</w:t>
      </w:r>
      <w:r w:rsidRPr="0072219F">
        <w:rPr>
          <w:rFonts w:cstheme="minorHAnsi"/>
          <w:color w:val="000000"/>
        </w:rPr>
        <w:t xml:space="preserve"> </w:t>
      </w:r>
      <w:r>
        <w:rPr>
          <w:rFonts w:cstheme="minorHAnsi"/>
          <w:color w:val="000000"/>
        </w:rPr>
        <w:t>s</w:t>
      </w:r>
      <w:r w:rsidRPr="006A244F">
        <w:rPr>
          <w:rFonts w:cstheme="minorHAnsi"/>
          <w:color w:val="000000"/>
        </w:rPr>
        <w:t>equence (5'-&gt;3')</w:t>
      </w:r>
      <w:r>
        <w:rPr>
          <w:rFonts w:ascii="Calibri" w:hAnsi="Calibri" w:cs="Calibri"/>
          <w:lang w:val="en-US"/>
        </w:rPr>
        <w:t xml:space="preserve">: </w:t>
      </w:r>
      <w:r w:rsidRPr="006A244F">
        <w:rPr>
          <w:rFonts w:ascii="Calibri" w:hAnsi="Calibri" w:cs="Calibri"/>
          <w:lang w:val="en-US"/>
        </w:rPr>
        <w:t>TCCTGCACTAACGTGCGATG</w:t>
      </w:r>
    </w:p>
    <w:p w14:paraId="605D3F67" w14:textId="77777777" w:rsidR="003D175C" w:rsidRDefault="003D175C" w:rsidP="00E624A4">
      <w:pPr>
        <w:autoSpaceDE w:val="0"/>
        <w:autoSpaceDN w:val="0"/>
        <w:adjustRightInd w:val="0"/>
        <w:spacing w:line="480" w:lineRule="auto"/>
        <w:jc w:val="both"/>
        <w:rPr>
          <w:rFonts w:ascii="Calibri" w:hAnsi="Calibri" w:cs="Calibri"/>
          <w:lang w:val="en-US"/>
        </w:rPr>
      </w:pPr>
      <w:r w:rsidRPr="006A244F">
        <w:rPr>
          <w:rFonts w:ascii="Calibri" w:hAnsi="Calibri" w:cs="Calibri"/>
          <w:lang w:val="en-US"/>
        </w:rPr>
        <w:t>Reverse primer</w:t>
      </w:r>
      <w:r w:rsidRPr="0072219F">
        <w:rPr>
          <w:rFonts w:cstheme="minorHAnsi"/>
          <w:color w:val="000000"/>
        </w:rPr>
        <w:t xml:space="preserve"> </w:t>
      </w:r>
      <w:r>
        <w:rPr>
          <w:rFonts w:cstheme="minorHAnsi"/>
          <w:color w:val="000000"/>
        </w:rPr>
        <w:t>s</w:t>
      </w:r>
      <w:r w:rsidRPr="006A244F">
        <w:rPr>
          <w:rFonts w:cstheme="minorHAnsi"/>
          <w:color w:val="000000"/>
        </w:rPr>
        <w:t>equence (5'-&gt;3')</w:t>
      </w:r>
      <w:r>
        <w:rPr>
          <w:rFonts w:ascii="Calibri" w:hAnsi="Calibri" w:cs="Calibri"/>
          <w:lang w:val="en-US"/>
        </w:rPr>
        <w:t xml:space="preserve">: </w:t>
      </w:r>
      <w:r w:rsidRPr="006A244F">
        <w:rPr>
          <w:rFonts w:ascii="Calibri" w:hAnsi="Calibri" w:cs="Calibri"/>
          <w:lang w:val="en-US"/>
        </w:rPr>
        <w:t>CTCCATAGTCAGAACCCAGCG</w:t>
      </w:r>
    </w:p>
    <w:p w14:paraId="74563578" w14:textId="77777777" w:rsidR="003D175C" w:rsidRPr="006A244F" w:rsidRDefault="003D175C" w:rsidP="00E624A4">
      <w:pPr>
        <w:autoSpaceDE w:val="0"/>
        <w:autoSpaceDN w:val="0"/>
        <w:adjustRightInd w:val="0"/>
        <w:spacing w:line="480" w:lineRule="auto"/>
        <w:jc w:val="both"/>
        <w:rPr>
          <w:rFonts w:ascii="Calibri" w:hAnsi="Calibri" w:cs="Calibri"/>
          <w:lang w:val="en-US"/>
        </w:rPr>
      </w:pPr>
      <w:r w:rsidRPr="00232042">
        <w:rPr>
          <w:rFonts w:cstheme="minorHAnsi"/>
          <w:b/>
          <w:bCs/>
          <w:color w:val="000000"/>
        </w:rPr>
        <w:t>Region 3:</w:t>
      </w:r>
      <w:r>
        <w:rPr>
          <w:rFonts w:cstheme="minorHAnsi"/>
          <w:color w:val="000000"/>
        </w:rPr>
        <w:t xml:space="preserve"> </w:t>
      </w:r>
      <w:r w:rsidRPr="006A244F">
        <w:rPr>
          <w:rFonts w:ascii="Calibri" w:hAnsi="Calibri" w:cs="Calibri"/>
          <w:lang w:val="en-US"/>
        </w:rPr>
        <w:t xml:space="preserve">hg38_dna range=chr6:52186635-52186787 </w:t>
      </w:r>
    </w:p>
    <w:p w14:paraId="2A4E41BE" w14:textId="77777777" w:rsidR="003D175C" w:rsidRDefault="003D175C" w:rsidP="00E624A4">
      <w:pPr>
        <w:autoSpaceDE w:val="0"/>
        <w:autoSpaceDN w:val="0"/>
        <w:adjustRightInd w:val="0"/>
        <w:spacing w:line="480" w:lineRule="auto"/>
        <w:jc w:val="both"/>
        <w:rPr>
          <w:rFonts w:ascii="Calibri" w:hAnsi="Calibri" w:cs="Calibri"/>
          <w:lang w:val="en-US"/>
        </w:rPr>
      </w:pPr>
      <w:r w:rsidRPr="006A244F">
        <w:rPr>
          <w:rFonts w:ascii="Calibri" w:hAnsi="Calibri" w:cs="Calibri"/>
          <w:lang w:val="en-US"/>
        </w:rPr>
        <w:t>Forward primer</w:t>
      </w:r>
      <w:r w:rsidRPr="0072219F">
        <w:rPr>
          <w:rFonts w:cstheme="minorHAnsi"/>
          <w:color w:val="000000"/>
        </w:rPr>
        <w:t xml:space="preserve"> </w:t>
      </w:r>
      <w:r>
        <w:rPr>
          <w:rFonts w:cstheme="minorHAnsi"/>
          <w:color w:val="000000"/>
        </w:rPr>
        <w:t>s</w:t>
      </w:r>
      <w:r w:rsidRPr="006A244F">
        <w:rPr>
          <w:rFonts w:cstheme="minorHAnsi"/>
          <w:color w:val="000000"/>
        </w:rPr>
        <w:t>equence (5'-&gt;3')</w:t>
      </w:r>
      <w:r>
        <w:rPr>
          <w:rFonts w:ascii="Calibri" w:hAnsi="Calibri" w:cs="Calibri"/>
          <w:lang w:val="en-US"/>
        </w:rPr>
        <w:t xml:space="preserve">: </w:t>
      </w:r>
      <w:r w:rsidRPr="006A244F">
        <w:rPr>
          <w:rFonts w:ascii="Calibri" w:hAnsi="Calibri" w:cs="Calibri"/>
          <w:lang w:val="en-US"/>
        </w:rPr>
        <w:t>CAAGAACTGATACACAGCAGTTTGA</w:t>
      </w:r>
    </w:p>
    <w:p w14:paraId="48F919F4" w14:textId="3ABCA2D7" w:rsidR="00D263AD" w:rsidRPr="00E624A4" w:rsidRDefault="003D175C" w:rsidP="00E624A4">
      <w:pPr>
        <w:autoSpaceDE w:val="0"/>
        <w:autoSpaceDN w:val="0"/>
        <w:adjustRightInd w:val="0"/>
        <w:spacing w:line="480" w:lineRule="auto"/>
        <w:jc w:val="both"/>
        <w:rPr>
          <w:rFonts w:ascii="Calibri" w:hAnsi="Calibri" w:cs="Calibri"/>
          <w:lang w:val="en-US"/>
        </w:rPr>
      </w:pPr>
      <w:r w:rsidRPr="006A244F">
        <w:rPr>
          <w:rFonts w:ascii="Calibri" w:hAnsi="Calibri" w:cs="Calibri"/>
          <w:lang w:val="en-US"/>
        </w:rPr>
        <w:t>Reverse primer</w:t>
      </w:r>
      <w:r w:rsidRPr="0072219F">
        <w:rPr>
          <w:rFonts w:cstheme="minorHAnsi"/>
          <w:color w:val="000000"/>
        </w:rPr>
        <w:t xml:space="preserve"> </w:t>
      </w:r>
      <w:r>
        <w:rPr>
          <w:rFonts w:cstheme="minorHAnsi"/>
          <w:color w:val="000000"/>
        </w:rPr>
        <w:t>s</w:t>
      </w:r>
      <w:r w:rsidRPr="006A244F">
        <w:rPr>
          <w:rFonts w:cstheme="minorHAnsi"/>
          <w:color w:val="000000"/>
        </w:rPr>
        <w:t>equence (5'-&gt;3')</w:t>
      </w:r>
      <w:r>
        <w:rPr>
          <w:rFonts w:ascii="Calibri" w:hAnsi="Calibri" w:cs="Calibri"/>
          <w:lang w:val="en-US"/>
        </w:rPr>
        <w:t xml:space="preserve">: </w:t>
      </w:r>
      <w:r w:rsidRPr="006A244F">
        <w:rPr>
          <w:rFonts w:ascii="Calibri" w:hAnsi="Calibri" w:cs="Calibri"/>
          <w:lang w:val="en-US"/>
        </w:rPr>
        <w:t>CTTCTTGTGTGGTTTAGCCCC</w:t>
      </w:r>
    </w:p>
    <w:p w14:paraId="533D92D7" w14:textId="77777777" w:rsidR="00C33D56" w:rsidRPr="00C33D56" w:rsidRDefault="00C33D56" w:rsidP="00C33D56">
      <w:pPr>
        <w:spacing w:line="480" w:lineRule="auto"/>
        <w:rPr>
          <w:b/>
          <w:bCs/>
        </w:rPr>
      </w:pPr>
      <w:r w:rsidRPr="00C33D56">
        <w:rPr>
          <w:b/>
          <w:bCs/>
        </w:rPr>
        <w:t xml:space="preserve">Human CD4+ T cell isolation, activation, and differentiation </w:t>
      </w:r>
    </w:p>
    <w:p w14:paraId="6C8ABE4E" w14:textId="303D9312" w:rsidR="00C33D56" w:rsidRPr="00C33D56" w:rsidRDefault="00C33D56" w:rsidP="00C33D56">
      <w:pPr>
        <w:spacing w:line="480" w:lineRule="auto"/>
      </w:pPr>
      <w:r w:rsidRPr="00C33D56">
        <w:t xml:space="preserve">CD4+ T cells were isolated from umbilical cord blood as described previously </w:t>
      </w:r>
      <w:r>
        <w:t xml:space="preserve">earlier </w:t>
      </w:r>
      <w:r>
        <w:fldChar w:fldCharType="begin" w:fldLock="1"/>
      </w:r>
      <w:r>
        <w:instrText>ADDIN CSL_CITATION {"citationItems":[{"id":"ITEM-1","itemData":{"DOI":"10.1016/j.immuni.2010.06.011; 10.1016/j.immuni.2010.06.011","ISBN":"1097-4180; 1074-7613","PMID":"20620947","abstract":"Dissecting the molecular mechanisms by which T helper (Th) cells differentiate to effector Th2 cells is important for understanding the pathogenesis of immune-mediated diseases, such as asthma and allergy. Because the STAT6 transcription factor is an upstream mediator required for interleukin-4 (IL-4)-induced Th2 cell differentiation, its targets include genes important for this process. Using primary human CD4(+) T cells, and by blocking STAT6 with RNAi, we identified a number of direct and indirect targets of STAT6 with ChIP sequencing. The integration of these data sets with detailed kinetics of IL-4-driven transcriptional changes showed that STAT6 was predominantly needed for the activation of transcription leading to the Th2 cell phenotype. This integrated genome-wide data on IL-4- and STAT6-mediated transcription provide a unique resource for studies on Th cell differentiation and, in particular, for designing interventions of human Th2 cell responses.","author":[{"dropping-particle":"","family":"Elo","given":"L L","non-dropping-particle":"","parse-names":false,"suffix":""},{"dropping-particle":"","family":"Jarvenpaa","given":"H","non-dropping-particle":"","parse-names":false,"suffix":""},{"dropping-particle":"","family":"Tuomela","given":"S","non-dropping-particle":"","parse-names":false,"suffix":""},{"dropping-particle":"","family":"Raghav","given":"S","non-dropping-particle":"","parse-names":false,"suffix":""},{"dropping-particle":"","family":"Ahlfors","given":"H","non-dropping-particle":"","parse-names":false,"suffix":""},{"dropping-particle":"","family":"Laurila","given":"K","non-dropping-particle":"","parse-names":false,"suffix":""},{"dropping-particle":"","family":"Gupta","given":"B","non-dropping-particle":"","parse-names":false,"suffix":""},{"dropping-particle":"","family":"Lund","given":"R J","non-dropping-particle":"","parse-names":false,"suffix":""},{"dropping-particle":"","family":"Tahvanainen","given":"J","non-dropping-particle":"","parse-names":false,"suffix":""},{"dropping-particle":"","family":"Hawkins","given":"R D","non-dropping-particle":"","parse-names":false,"suffix":""},{"dropping-particle":"","family":"Oresic","given":"M","non-dropping-particle":"","parse-names":false,"suffix":""},{"dropping-particle":"","family":"Lahdesmaki","given":"H","non-dropping-particle":"","parse-names":false,"suffix":""},{"dropping-particle":"","family":"Rasool","given":"O","non-dropping-particle":"","parse-names":false,"suffix":""},{"dropping-particle":"V","family":"Rao","given":"K","non-dropping-particle":"","parse-names":false,"suffix":""},{"dropping-particle":"","family":"Aittokallio","given":"T","non-dropping-particle":"","parse-names":false,"suffix":""},{"dropping-particle":"","family":"Lahesmaa","given":"R","non-dropping-particle":"","parse-names":false,"suffix":""}],"container-title":"Immunity","id":"ITEM-1","issue":"6","issued":{"date-parts":[["2010","6"]]},"note":"CI: Copyright 2010; GEO/GSE18017; JID: 9432918; 0 (STAT6 Transcription Factor); 207137-56-2 (Interleukin-4); 2009/12/11 [received]; 2010/04/20 [revised]; 2010/05/26 [accepted]; ppublish","page":"852-862","title":"Genome-wide profiling of interleukin-4 and STAT6 transcription factor regulation of human Th2 cell programming","type":"article-journal","volume":"32"},"uris":["http://www.mendeley.com/documents/?uuid=aae6e16e-6ea9-4f12-a818-4d6605683fac"]},{"id":"ITEM-2","itemData":{"DOI":"10.1016/j.isci.2020.100947","ISSN":"25890042","abstract":"Cancerous Inhibitor of Protein Phosphatase 2A (CIP2A) is an oncogene and a potential cancer therapy target protein. Accordingly, a better understanding of the physiological function of CIP2A, especially in the context of immune cells, is a prerequisite for its exploitation in cancer therapy. Here, we report that CIP2A negatively regulates interleukin (IL)-17 production by Th17 cells in human and mouse. Interestingly, concomitant with increased IL-17 production, CIP2A-deficient Th17 cells had increased strength and duration of STAT3 phosphorylation. We analyzed the interactome of phosphorylated STAT3 in CIP2A-deficient and CIP2A-sufficient Th17 cells and indicated together with genome-wide gene expression profiling, a role of Acylglycerol Kinase (AGK) in the regulation of Th17 differentiation by CIP2A. We demonstrated that CIP2A regulates the strength of the interaction between AGK and STAT3, and thereby modulates STAT3 phosphorylation and expression of IL-17 in Th17 cells.","author":[{"dropping-particle":"","family":"Khan","given":"Mohd Moin","non-dropping-particle":"","parse-names":false,"suffix":""},{"dropping-particle":"","family":"Ullah","given":"Ubaid","non-dropping-particle":"","parse-names":false,"suffix":""},{"dropping-particle":"","family":"Khan","given":"Meraj H.","non-dropping-particle":"","parse-names":false,"suffix":""},{"dropping-particle":"","family":"Kong","given":"Lingjia","non-dropping-particle":"","parse-names":false,"suffix":""},{"dropping-particle":"","family":"Moulder","given":"Robert","non-dropping-particle":"","parse-names":false,"suffix":""},{"dropping-particle":"","family":"Välikangas","given":"Tommi","non-dropping-particle":"","parse-names":false,"suffix":""},{"dropping-particle":"","family":"Bhosale","given":"Santosh Dilip","non-dropping-particle":"","parse-names":false,"suffix":""},{"dropping-particle":"","family":"Komsi","given":"Elina","non-dropping-particle":"","parse-names":false,"suffix":""},{"dropping-particle":"","family":"Rasool","given":"Omid","non-dropping-particle":"","parse-names":false,"suffix":""},{"dropping-particle":"","family":"Chen","given":"Zhi","non-dropping-particle":"","parse-names":false,"suffix":""},{"dropping-particle":"","family":"Elo","given":"Laura L.","non-dropping-particle":"","parse-names":false,"suffix":""},{"dropping-particle":"","family":"Westermarck","given":"Jukka","non-dropping-particle":"","parse-names":false,"suffix":""},{"dropping-particle":"","family":"Lahesmaa","given":"Riitta","non-dropping-particle":"","parse-names":false,"suffix":""}],"container-title":"iScience","id":"ITEM-2","issue":"3","issued":{"date-parts":[["2020"]]},"title":"CIP2A Constrains Th17 Differentiation by Modulating STAT3 Signaling","type":"article-journal","volume":"23"},"uris":["http://www.mendeley.com/documents/?uuid=8122e772-f0b5-47f1-8c9b-25053f8c499c"]},{"id":"ITEM-3","itemData":{"DOI":"10.1016/j.celrep.2017.05.013","ISSN":"22111247","abstract":"The development of therapeutic strategies to combat immune-associated diseases requires the molecular mechanisms of human Th17 cell differentiation to be fully identified and understood. To investigate transcriptional control of Th17 cell differentiation, we used primary human CD4+ T cells in small interfering RNA (siRNA)-mediated gene silencing and chromatin immunoprecipitation followed by massive parallel sequencing (ChIP-seq) to identify both the early direct and indirect targets of STAT3. The integrated dataset presented in this study confirms that STAT3 is critical for transcriptional regulation of early human Th17 cell differentiation. Additionally, we found that a number of SNPs from loci associated with immune-mediated disorders were located at sites where STAT3 binds to induce Th17 cell specification. Importantly, introduction of such SNPs alters STAT3 binding in DNA affinity precipitation assays. Overall, our study provides important insights for modulating Th17-mediated pathogenic immune responses in humans.","author":[{"dropping-particle":"","family":"Tripathi","given":"Subhash K.","non-dropping-particle":"","parse-names":false,"suffix":""},{"dropping-particle":"","family":"Chen","given":"Zhi","non-dropping-particle":"","parse-names":false,"suffix":""},{"dropping-particle":"","family":"Larjo","given":"Antti","non-dropping-particle":"","parse-names":false,"suffix":""},{"dropping-particle":"","family":"Kanduri","given":"Kartiek","non-dropping-particle":"","parse-names":false,"suffix":""},{"dropping-particle":"","family":"Nousiainen","given":"Kari","non-dropping-particle":"","parse-names":false,"suffix":""},{"dropping-particle":"","family":"Äijo","given":"Tarmo","non-dropping-particle":"","parse-names":false,"suffix":""},{"dropping-particle":"","family":"Ricaño-Ponce","given":"Isis","non-dropping-particle":"","parse-names":false,"suffix":""},{"dropping-particle":"","family":"Hrdlickova","given":"Barbara","non-dropping-particle":"","parse-names":false,"suffix":""},{"dropping-particle":"","family":"Tuomela","given":"Soile","non-dropping-particle":"","parse-names":false,"suffix":""},{"dropping-particle":"","family":"Laajala","given":"Essi","non-dropping-particle":"","parse-names":false,"suffix":""},{"dropping-particle":"","family":"Salo","given":"Verna","non-dropping-particle":"","parse-names":false,"suffix":""},{"dropping-particle":"","family":"Kumar","given":"Vinod","non-dropping-particle":"","parse-names":false,"suffix":""},{"dropping-particle":"","family":"Wijmenga","given":"Cisca","non-dropping-particle":"","parse-names":false,"suffix":""},{"dropping-particle":"","family":"Lähdesmäki","given":"Harri","non-dropping-particle":"","parse-names":false,"suffix":""},{"dropping-particle":"","family":"Lahesmaa","given":"Riitta","non-dropping-particle":"","parse-names":false,"suffix":""}],"container-title":"Cell Reports","id":"ITEM-3","issue":"9","issued":{"date-parts":[["2017"]]},"page":"1888-1901","title":"Genome-wide Analysis of STAT3-Mediated Transcription during Early Human Th17 Cell Differentiation","type":"article-journal","volume":"19"},"uris":["http://www.mendeley.com/documents/?uuid=8f68c9bc-7a14-4db7-b34e-e88d7b33177c"]},{"id":"ITEM-4","itemData":{"DOI":"10.1016/j.celrep.2018.01.070","ISSN":"22111247","abstract":"© 2018 The Author(s) Regulatory T (Treg) cells are critical in regulating the immune response. In vitro induced Treg (iTreg) cells have significant potential in clinical medicine. However, applying iTreg cells as therapeutics is complicated by the poor stability of human iTreg cells and their variable suppressive activity. Therefore, it is important to understand the molecular mechanisms of human iTreg cell specification. We identified hypermethylated in cancer 1 (HIC1) as a transcription factor upregulated early during the differentiation of human iTreg cells. Although FOXP3 expression was unaffected, HIC1 deficiency led to a considerable loss of suppression by iTreg cells with a concomitant increase in the expression of effector T cell associated genes. SNPs linked to several immune-mediated disorders were enriched around HIC1 binding sites, and in vitro binding assays indicated that these SNPs may alter the binding of HIC1. Our results suggest that HIC1 is an important contributor to iTreg cell development and function. Ullah et al. find that HIC1 is induced during human iTreg cell differentiation. HIC1 binds to and regulates the expression of key genes during iTreg differentiation. Several autoimmune-disease-associated SNPs are enriched near HIC1 ChIP-seq peaks.","author":[{"dropping-particle":"","family":"Ubaid Ullah","given":"","non-dropping-particle":"","parse-names":false,"suffix":""},{"dropping-particle":"","family":"Andrabi","given":"S.B.A.","non-dropping-particle":"","parse-names":false,"suffix":""},{"dropping-particle":"","family":"Tripathi","given":"S.K.","non-dropping-particle":"","parse-names":false,"suffix":""},{"dropping-particle":"","family":"Dirasantha","given":"O.","non-dropping-particle":"","parse-names":false,"suffix":""},{"dropping-particle":"","family":"Kanduri","given":"K.","non-dropping-particle":"","parse-names":false,"suffix":""},{"dropping-particle":"","family":"Rautio","given":"S.","non-dropping-particle":"","parse-names":false,"suffix":""},{"dropping-particle":"","family":"Gross","given":"C.C.","non-dropping-particle":"","parse-names":false,"suffix":""},{"dropping-particle":"","family":"Lehtimäki","given":"S.","non-dropping-particle":"","parse-names":false,"suffix":""},{"dropping-particle":"","family":"Bala","given":"K.","non-dropping-particle":"","parse-names":false,"suffix":""},{"dropping-particle":"","family":"Tuomisto","given":"J.","non-dropping-particle":"","parse-names":false,"suffix":""},{"dropping-particle":"","family":"Bhatia","given":"U.","non-dropping-particle":"","parse-names":false,"suffix":""},{"dropping-particle":"","family":"Chakroborty","given":"D.","non-dropping-particle":"","parse-names":false,"suffix":""},{"dropping-particle":"","family":"Elo","given":"L.L.","non-dropping-particle":"","parse-names":false,"suffix":""},{"dropping-particle":"","family":"Lähdesmäki","given":"H.","non-dropping-particle":"","parse-names":false,"suffix":""},{"dropping-particle":"","family":"Wiendl","given":"H.","non-dropping-particle":"","parse-names":false,"suffix":""},{"dropping-particle":"","family":"Rasool","given":"O.","non-dropping-particle":"","parse-names":false,"suffix":""},{"dropping-particle":"","family":"Lahesmaa","given":"R.","non-dropping-particle":"","parse-names":false,"suffix":""}],"container-title":"Cell Reports","id":"ITEM-4","issue":"8","issued":{"date-parts":[["2018"]]},"title":"Transcriptional Repressor HIC1 Contributes to Suppressive Function of Human Induced Regulatory T Cells","type":"article-journal","volume":"22"},"uris":["http://www.mendeley.com/documents/?uuid=666d3bf5-cc51-4320-8ac5-81c81fcafab7"]}],"mendeley":{"formattedCitation":"(1–4)","plainTextFormattedCitation":"(1–4)","previouslyFormattedCitation":"(1–4)"},"properties":{"noteIndex":0},"schema":"https://github.com/citation-style-language/schema/raw/master/csl-citation.json"}</w:instrText>
      </w:r>
      <w:r>
        <w:fldChar w:fldCharType="separate"/>
      </w:r>
      <w:r w:rsidRPr="00C33D56">
        <w:rPr>
          <w:noProof/>
        </w:rPr>
        <w:t>(1–4)</w:t>
      </w:r>
      <w:r>
        <w:fldChar w:fldCharType="end"/>
      </w:r>
      <w:r>
        <w:t xml:space="preserve">. </w:t>
      </w:r>
      <w:r w:rsidRPr="00C33D56">
        <w:t xml:space="preserve">Human umbilical cord blood was layered on </w:t>
      </w:r>
      <w:proofErr w:type="spellStart"/>
      <w:r w:rsidRPr="00C33D56">
        <w:t>ficol</w:t>
      </w:r>
      <w:proofErr w:type="spellEnd"/>
      <w:r w:rsidRPr="00C33D56">
        <w:t xml:space="preserve"> (GE Healthcare, cat# 17-1440-03) for isolation of white blood cells. CD4+ T cells were then isolated using the bead-based CD4+ isolation kit from Invitrogen (cat# 11331D). For activation of T cells, a combination of plate-bound anti-CD3 (3750 ng/6-well culture plate well) (Beckman Coulter, cat# IM-1304) and soluble anti-CD28 (1 mg/mL)(Beckman Coulter, cat# IM1376) antibodies were used. </w:t>
      </w:r>
    </w:p>
    <w:p w14:paraId="21B397AC" w14:textId="1455113D" w:rsidR="00C33D56" w:rsidRPr="00C33D56" w:rsidRDefault="00C33D56" w:rsidP="00C33D56">
      <w:pPr>
        <w:spacing w:line="480" w:lineRule="auto"/>
      </w:pPr>
      <w:r w:rsidRPr="00C33D56">
        <w:t xml:space="preserve">For Th17 cell differentiation, isolated CD4+ cells were activated with a combination of plate-bound anti-CD3 (750 ng/24-well culture plate well; </w:t>
      </w:r>
      <w:proofErr w:type="spellStart"/>
      <w:r w:rsidRPr="00C33D56">
        <w:t>Immunotech</w:t>
      </w:r>
      <w:proofErr w:type="spellEnd"/>
      <w:r w:rsidRPr="00C33D56">
        <w:t xml:space="preserve">/Beckman Coulter REF # IM-1304) and soluble anti-CD28 ((1ug/mL; </w:t>
      </w:r>
      <w:proofErr w:type="spellStart"/>
      <w:r w:rsidRPr="00C33D56">
        <w:t>Immunotech</w:t>
      </w:r>
      <w:proofErr w:type="spellEnd"/>
      <w:r w:rsidRPr="00C33D56">
        <w:t xml:space="preserve">/Beckman coulter REF # IM1376) antibodies in serum-free X-Vivo 20 medium (Lonza), in the absence (Th0) or presence (Th17) of IL-6 (20ng/ml, Roche, Cat# 11138600 001); IL-1b (10ng/ml, R&amp;D Systems Cat # 201 LB); TGF-b1 (10ng/ml, R&amp;D Systems Cat# 240); anti-IL-4 (1 mg/ml) R&amp;D Systems Cat# MAB204) and anti-IFN-g (1 mg/ml R&amp;D Systems Cat#MAB-285). Differentiation of Th17 cells was confirmed by measuring IL-17 expression by quantitative real-time PCR, at 72 hours of Th17/Th0 culturing </w:t>
      </w:r>
      <w:r w:rsidR="006C5FCA">
        <w:fldChar w:fldCharType="begin" w:fldLock="1"/>
      </w:r>
      <w:r w:rsidR="006C5FCA">
        <w:instrText>ADDIN CSL_CITATION {"citationItems":[{"id":"ITEM-1","itemData":{"DOI":"10.1016/j.isci.2020.100947","ISSN":"25890042","abstract":"Cancerous Inhibitor of Protein Phosphatase 2A (CIP2A) is an oncogene and a potential cancer therapy target protein. Accordingly, a better understanding of the physiological function of CIP2A, especially in the context of immune cells, is a prerequisite for its exploitation in cancer therapy. Here, we report that CIP2A negatively regulates interleukin (IL)-17 production by Th17 cells in human and mouse. Interestingly, concomitant with increased IL-17 production, CIP2A-deficient Th17 cells had increased strength and duration of STAT3 phosphorylation. We analyzed the interactome of phosphorylated STAT3 in CIP2A-deficient and CIP2A-sufficient Th17 cells and indicated together with genome-wide gene expression profiling, a role of Acylglycerol Kinase (AGK) in the regulation of Th17 differentiation by CIP2A. We demonstrated that CIP2A regulates the strength of the interaction between AGK and STAT3, and thereby modulates STAT3 phosphorylation and expression of IL-17 in Th17 cells.","author":[{"dropping-particle":"","family":"Khan","given":"Mohd Moin","non-dropping-particle":"","parse-names":false,"suffix":""},{"dropping-particle":"","family":"Ullah","given":"Ubaid","non-dropping-particle":"","parse-names":false,"suffix":""},{"dropping-particle":"","family":"Khan","given":"Meraj H.","non-dropping-particle":"","parse-names":false,"suffix":""},{"dropping-particle":"","family":"Kong","given":"Lingjia","non-dropping-particle":"","parse-names":false,"suffix":""},{"dropping-particle":"","family":"Moulder","given":"Robert","non-dropping-particle":"","parse-names":false,"suffix":""},{"dropping-particle":"","family":"Välikangas","given":"Tommi","non-dropping-particle":"","parse-names":false,"suffix":""},{"dropping-particle":"","family":"Bhosale","given":"Santosh Dilip","non-dropping-particle":"","parse-names":false,"suffix":""},{"dropping-particle":"","family":"Komsi","given":"Elina","non-dropping-particle":"","parse-names":false,"suffix":""},{"dropping-particle":"","family":"Rasool","given":"Omid","non-dropping-particle":"","parse-names":false,"suffix":""},{"dropping-particle":"","family":"Chen","given":"Zhi","non-dropping-particle":"","parse-names":false,"suffix":""},{"dropping-particle":"","family":"Elo","given":"Laura L.","non-dropping-particle":"","parse-names":false,"suffix":""},{"dropping-particle":"","family":"Westermarck","given":"Jukka","non-dropping-particle":"","parse-names":false,"suffix":""},{"dropping-particle":"","family":"Lahesmaa","given":"Riitta","non-dropping-particle":"","parse-names":false,"suffix":""}],"container-title":"iScience","id":"ITEM-1","issue":"3","issued":{"date-parts":[["2020"]]},"title":"CIP2A Constrains Th17 Differentiation by Modulating STAT3 Signaling","type":"article-journal","volume":"23"},"uris":["http://www.mendeley.com/documents/?uuid=8122e772-f0b5-47f1-8c9b-25053f8c499c"]}],"mendeley":{"formattedCitation":"(2)","plainTextFormattedCitation":"(2)","previouslyFormattedCitation":"(2)"},"properties":{"noteIndex":0},"schema":"https://github.com/citation-style-language/schema/raw/master/csl-citation.json"}</w:instrText>
      </w:r>
      <w:r w:rsidR="006C5FCA">
        <w:fldChar w:fldCharType="separate"/>
      </w:r>
      <w:r w:rsidR="006C5FCA" w:rsidRPr="006C5FCA">
        <w:rPr>
          <w:noProof/>
        </w:rPr>
        <w:t>(2)</w:t>
      </w:r>
      <w:r w:rsidR="006C5FCA">
        <w:fldChar w:fldCharType="end"/>
      </w:r>
      <w:r w:rsidRPr="00C33D56">
        <w:t xml:space="preserve">. </w:t>
      </w:r>
    </w:p>
    <w:p w14:paraId="01CE532A" w14:textId="0F7AEB79" w:rsidR="00C33D56" w:rsidRPr="00C33D56" w:rsidRDefault="00C33D56" w:rsidP="00C33D56">
      <w:pPr>
        <w:spacing w:line="480" w:lineRule="auto"/>
      </w:pPr>
      <w:r w:rsidRPr="00C33D56">
        <w:lastRenderedPageBreak/>
        <w:t>For iTreg cell culturing, after CD25+ cells were depleted using LD columns from CD25 depletion kit (</w:t>
      </w:r>
      <w:proofErr w:type="spellStart"/>
      <w:r w:rsidRPr="00C33D56">
        <w:t>Miltenyi</w:t>
      </w:r>
      <w:proofErr w:type="spellEnd"/>
      <w:r w:rsidRPr="00C33D56">
        <w:t xml:space="preserve"> </w:t>
      </w:r>
      <w:proofErr w:type="spellStart"/>
      <w:r w:rsidRPr="00C33D56">
        <w:t>Biotec</w:t>
      </w:r>
      <w:proofErr w:type="spellEnd"/>
      <w:r w:rsidRPr="00C33D56">
        <w:t xml:space="preserve">), CD4+CD25 cells were activated with plate-bound anti-CD3 (500 ng/24-well culture plate well) and soluble anti-CD28 (500 ng/mL) at a density of 2 3 106 cells/mL of X-vivo 15 serum-free medium (Lonza). For iTreg differentiation, the medium was supplemented with IL-2 (12 ng/mL), TGF-b (10 ng/mL) (both from R&amp;D Systems), all-trans retinoic acid (ATRA) (10 </w:t>
      </w:r>
      <w:proofErr w:type="spellStart"/>
      <w:r w:rsidRPr="00C33D56">
        <w:t>nM</w:t>
      </w:r>
      <w:proofErr w:type="spellEnd"/>
      <w:r w:rsidRPr="00C33D56">
        <w:t>; Sigma-Aldrich), and human serum (10%) and cultured at 37C in 5% CO2. Control Th0 cells were stimulated with plate-bound anti-CD3 soluble anti-CD28 antibodies without cytokines. For confirmation of iTreg cell differentiation, we used intracellular staining to measure, at 72 hours of iTreg culturing, expression of FOXP3 which is the major transcription factor driving Treg differentiation. Intracellular staining was performed using buffer sets of Human Regulatory T cell Staining Kit (</w:t>
      </w:r>
      <w:proofErr w:type="spellStart"/>
      <w:r w:rsidRPr="00C33D56">
        <w:t>eBioscience</w:t>
      </w:r>
      <w:proofErr w:type="spellEnd"/>
      <w:r w:rsidRPr="00C33D56">
        <w:t>/</w:t>
      </w:r>
      <w:proofErr w:type="spellStart"/>
      <w:r w:rsidRPr="00C33D56">
        <w:t>Thermo</w:t>
      </w:r>
      <w:proofErr w:type="spellEnd"/>
      <w:r w:rsidRPr="00C33D56">
        <w:t xml:space="preserve"> Fisher Scientific), following the manufacturer’s pro- </w:t>
      </w:r>
      <w:proofErr w:type="spellStart"/>
      <w:r w:rsidRPr="00C33D56">
        <w:t>tocol</w:t>
      </w:r>
      <w:proofErr w:type="spellEnd"/>
      <w:r w:rsidRPr="00C33D56">
        <w:t>. The following antibodies were used: anti-human FOXP3-PE (</w:t>
      </w:r>
      <w:proofErr w:type="spellStart"/>
      <w:r w:rsidRPr="00C33D56">
        <w:t>eBioscience</w:t>
      </w:r>
      <w:proofErr w:type="spellEnd"/>
      <w:r w:rsidRPr="00C33D56">
        <w:t>, Cat. No. 12-4776-42) and rat IgG2a isotype control (</w:t>
      </w:r>
      <w:proofErr w:type="spellStart"/>
      <w:r w:rsidRPr="00C33D56">
        <w:t>eBioscience</w:t>
      </w:r>
      <w:proofErr w:type="spellEnd"/>
      <w:r w:rsidRPr="00C33D56">
        <w:t xml:space="preserve">, Cat. No. 72-4321-77A). All samples were acquired by a flow cytometer (LSRII) and </w:t>
      </w:r>
      <w:proofErr w:type="spellStart"/>
      <w:r w:rsidRPr="00C33D56">
        <w:t>analyzed</w:t>
      </w:r>
      <w:proofErr w:type="spellEnd"/>
      <w:r w:rsidRPr="00C33D56">
        <w:t xml:space="preserve"> either with </w:t>
      </w:r>
      <w:proofErr w:type="spellStart"/>
      <w:r w:rsidRPr="00C33D56">
        <w:t>FlowJo</w:t>
      </w:r>
      <w:proofErr w:type="spellEnd"/>
      <w:r w:rsidRPr="00C33D56">
        <w:t xml:space="preserve"> (FLOWJO, LLC) or with Flowing Software </w:t>
      </w:r>
      <w:r>
        <w:fldChar w:fldCharType="begin" w:fldLock="1"/>
      </w:r>
      <w:r>
        <w:instrText>ADDIN CSL_CITATION {"citationItems":[{"id":"ITEM-1","itemData":{"DOI":"10.1016/j.celrep.2018.01.070","ISSN":"22111247","abstract":"© 2018 The Author(s) Regulatory T (Treg) cells are critical in regulating the immune response. In vitro induced Treg (iTreg) cells have significant potential in clinical medicine. However, applying iTreg cells as therapeutics is complicated by the poor stability of human iTreg cells and their variable suppressive activity. Therefore, it is important to understand the molecular mechanisms of human iTreg cell specification. We identified hypermethylated in cancer 1 (HIC1) as a transcription factor upregulated early during the differentiation of human iTreg cells. Although FOXP3 expression was unaffected, HIC1 deficiency led to a considerable loss of suppression by iTreg cells with a concomitant increase in the expression of effector T cell associated genes. SNPs linked to several immune-mediated disorders were enriched around HIC1 binding sites, and in vitro binding assays indicated that these SNPs may alter the binding of HIC1. Our results suggest that HIC1 is an important contributor to iTreg cell development and function. Ullah et al. find that HIC1 is induced during human iTreg cell differentiation. HIC1 binds to and regulates the expression of key genes during iTreg differentiation. Several autoimmune-disease-associated SNPs are enriched near HIC1 ChIP-seq peaks.","author":[{"dropping-particle":"","family":"Ubaid Ullah","given":"","non-dropping-particle":"","parse-names":false,"suffix":""},{"dropping-particle":"","family":"Andrabi","given":"S.B.A.","non-dropping-particle":"","parse-names":false,"suffix":""},{"dropping-particle":"","family":"Tripathi","given":"S.K.","non-dropping-particle":"","parse-names":false,"suffix":""},{"dropping-particle":"","family":"Dirasantha","given":"O.","non-dropping-particle":"","parse-names":false,"suffix":""},{"dropping-particle":"","family":"Kanduri","given":"K.","non-dropping-particle":"","parse-names":false,"suffix":""},{"dropping-particle":"","family":"Rautio","given":"S.","non-dropping-particle":"","parse-names":false,"suffix":""},{"dropping-particle":"","family":"Gross","given":"C.C.","non-dropping-particle":"","parse-names":false,"suffix":""},{"dropping-particle":"","family":"Lehtimäki","given":"S.","non-dropping-particle":"","parse-names":false,"suffix":""},{"dropping-particle":"","family":"Bala","given":"K.","non-dropping-particle":"","parse-names":false,"suffix":""},{"dropping-particle":"","family":"Tuomisto","given":"J.","non-dropping-particle":"","parse-names":false,"suffix":""},{"dropping-particle":"","family":"Bhatia","given":"U.","non-dropping-particle":"","parse-names":false,"suffix":""},{"dropping-particle":"","family":"Chakroborty","given":"D.","non-dropping-particle":"","parse-names":false,"suffix":""},{"dropping-particle":"","family":"Elo","given":"L.L.","non-dropping-particle":"","parse-names":false,"suffix":""},{"dropping-particle":"","family":"Lähdesmäki","given":"H.","non-dropping-particle":"","parse-names":false,"suffix":""},{"dropping-particle":"","family":"Wiendl","given":"H.","non-dropping-particle":"","parse-names":false,"suffix":""},{"dropping-particle":"","family":"Rasool","given":"O.","non-dropping-particle":"","parse-names":false,"suffix":""},{"dropping-particle":"","family":"Lahesmaa","given":"R.","non-dropping-particle":"","parse-names":false,"suffix":""}],"container-title":"Cell Reports","id":"ITEM-1","issue":"8","issued":{"date-parts":[["2018"]]},"title":"Transcriptional Repressor HIC1 Contributes to Suppressive Function of Human Induced Regulatory T Cells","type":"article-journal","volume":"22"},"uris":["http://www.mendeley.com/documents/?uuid=666d3bf5-cc51-4320-8ac5-81c81fcafab7"]}],"mendeley":{"formattedCitation":"(4)","plainTextFormattedCitation":"(4)","previouslyFormattedCitation":"(4)"},"properties":{"noteIndex":0},"schema":"https://github.com/citation-style-language/schema/raw/master/csl-citation.json"}</w:instrText>
      </w:r>
      <w:r>
        <w:fldChar w:fldCharType="separate"/>
      </w:r>
      <w:r w:rsidRPr="00C33D56">
        <w:rPr>
          <w:noProof/>
        </w:rPr>
        <w:t>(4)</w:t>
      </w:r>
      <w:r>
        <w:fldChar w:fldCharType="end"/>
      </w:r>
      <w:r w:rsidRPr="00C33D56">
        <w:t xml:space="preserve">. </w:t>
      </w:r>
    </w:p>
    <w:p w14:paraId="116707B4" w14:textId="36BE32B4" w:rsidR="00C33D56" w:rsidRPr="00C33D56" w:rsidRDefault="00C33D56" w:rsidP="00C33D56">
      <w:pPr>
        <w:spacing w:line="480" w:lineRule="auto"/>
      </w:pPr>
      <w:r w:rsidRPr="00C33D56">
        <w:t>Th1 and Th2 cell differentiation were done as described previously</w:t>
      </w:r>
      <w:r>
        <w:t xml:space="preserve"> </w:t>
      </w:r>
      <w:r>
        <w:fldChar w:fldCharType="begin" w:fldLock="1"/>
      </w:r>
      <w:r w:rsidR="006C5FCA">
        <w:instrText>ADDIN CSL_CITATION {"citationItems":[{"id":"ITEM-1","itemData":{"DOI":"10.1016/j.immuni.2013.05.011","ISBN":"1097-4180 (Electronic) 1074-7613 (Linking)","ISSN":"1097-4180","PMID":"23791644","abstract":"Naive CD4⁺ T cells can differentiate into specific helper and regulatory T cell lineages in order to combat infection and disease. The correct response to cytokines and a controlled balance of these populations is critical for the immune system and the avoidance of autoimmune disorders. To investigate how early cell-fate commitment is regulated, we generated the first human genome-wide maps of histone modifications that reveal enhancer elements after 72 hr of in vitro polarization toward T helper 1 (Th1) and T helper 2 (Th2) cell lineages. Our analysis indicated that even at this very early time point, cell-specific gene regulation and enhancers were at work directing lineage commitment. Further examination of lineage-specific enhancers identified transcription factors (TFs) with known and unknown T cell roles as putative drivers of lineage-specific gene expression. Lastly, an integrative analysis of immunopathogenic-associated SNPs suggests a role for distal regulatory elements in disease etiology.","author":[{"dropping-particle":"","family":"Hawkins","given":"R D","non-dropping-particle":"","parse-names":false,"suffix":""},{"dropping-particle":"","family":"Larjo","given":"A","non-dropping-particle":"","parse-names":false,"suffix":""},{"dropping-particle":"","family":"Tripathi","given":"S K","non-dropping-particle":"","parse-names":false,"suffix":""},{"dropping-particle":"","family":"Wagner","given":"U","non-dropping-particle":"","parse-names":false,"suffix":""},{"dropping-particle":"","family":"Luu","given":"Y","non-dropping-particle":"","parse-names":false,"suffix":""},{"dropping-particle":"","family":"Lönnberg","given":"T","non-dropping-particle":"","parse-names":false,"suffix":""},{"dropping-particle":"","family":"Raghav","given":"S K","non-dropping-particle":"","parse-names":false,"suffix":""},{"dropping-particle":"","family":"Lee","given":"L K","non-dropping-particle":"","parse-names":false,"suffix":""},{"dropping-particle":"","family":"Lund","given":"R","non-dropping-particle":"","parse-names":false,"suffix":""},{"dropping-particle":"","family":"Ren","given":"B","non-dropping-particle":"","parse-names":false,"suffix":""},{"dropping-particle":"","family":"Lähdesmäki","given":"H","non-dropping-particle":"","parse-names":false,"suffix":""},{"dropping-particle":"","family":"Lahesmaa","given":"R","non-dropping-particle":"","parse-names":false,"suffix":""}],"container-title":"Immunity","id":"ITEM-1","issue":"6","issued":{"date-parts":[["2013"]]},"page":"1271-1284","title":"Global chromatin state analysis reveals lineage-specific enhancers during the initiation of human T helper 1 and T helper 2 cell polarization","type":"article-journal","volume":"38"},"uris":["http://www.mendeley.com/documents/?uuid=afddd257-6688-4f15-aa57-e9bcc5702180"]}],"mendeley":{"formattedCitation":"(5)","plainTextFormattedCitation":"(5)","previouslyFormattedCitation":"(5)"},"properties":{"noteIndex":0},"schema":"https://github.com/citation-style-language/schema/raw/master/csl-citation.json"}</w:instrText>
      </w:r>
      <w:r>
        <w:fldChar w:fldCharType="separate"/>
      </w:r>
      <w:r w:rsidRPr="00C33D56">
        <w:rPr>
          <w:noProof/>
        </w:rPr>
        <w:t>(5)</w:t>
      </w:r>
      <w:r>
        <w:fldChar w:fldCharType="end"/>
      </w:r>
      <w:r w:rsidRPr="00C33D56">
        <w:t>. Briefly, purified naive CD4+ T cells were activated with plate-bound anti-CD3 (500 ng/24-well culture plate well) and 500 ng/ml soluble anti-CD28 and cultured in the absence (Th0) or presence of 2.5 ng/ml IL-12 (R&amp;D Systems) (Th1) or 10 ng/ml IL-4 (R&amp;D Systems) (for Th2). At 48 hours following the activation of the cells, 17 ng/ml IL-2 (R&amp;D Systems) was added to the cultures. Differentiation of Th1 and Th2 cells was confirmed by measuring (using flow cytometry) the expression of T-bet and Gata3 at 72 hours after cell activation. Briefly, cells were fixed and permeabilized using the Intracellular Fixation &amp; Permeabilization Buffer Set (</w:t>
      </w:r>
      <w:proofErr w:type="spellStart"/>
      <w:r w:rsidRPr="00C33D56">
        <w:t>eBioscience</w:t>
      </w:r>
      <w:proofErr w:type="spellEnd"/>
      <w:r w:rsidRPr="00C33D56">
        <w:t>/</w:t>
      </w:r>
      <w:proofErr w:type="spellStart"/>
      <w:r w:rsidRPr="00C33D56">
        <w:t>Thermo</w:t>
      </w:r>
      <w:proofErr w:type="spellEnd"/>
      <w:r w:rsidRPr="00C33D56">
        <w:t xml:space="preserve"> Fisher Scientific), according the manufacturer’s protocol. The </w:t>
      </w:r>
      <w:r w:rsidRPr="00C33D56">
        <w:lastRenderedPageBreak/>
        <w:t>following antibodies were used: anti-human GATA3-PE (</w:t>
      </w:r>
      <w:proofErr w:type="spellStart"/>
      <w:r w:rsidRPr="00C33D56">
        <w:t>eBioscience</w:t>
      </w:r>
      <w:proofErr w:type="spellEnd"/>
      <w:r w:rsidRPr="00C33D56">
        <w:t xml:space="preserve">, 12-9966), anti-human T-bet-BV711 (BD, 563320) and corresponding isotype controls (BV711 Mouse IgG1, BD, 563044 and PE Rat IgG2b, </w:t>
      </w:r>
      <w:proofErr w:type="spellStart"/>
      <w:r w:rsidRPr="00C33D56">
        <w:t>eBioscience</w:t>
      </w:r>
      <w:proofErr w:type="spellEnd"/>
      <w:r w:rsidRPr="00C33D56">
        <w:t xml:space="preserve">, 12-4031-82). Samples were acquired by BD </w:t>
      </w:r>
      <w:proofErr w:type="spellStart"/>
      <w:r w:rsidRPr="00C33D56">
        <w:t>LSRFortessa</w:t>
      </w:r>
      <w:proofErr w:type="spellEnd"/>
      <w:r w:rsidRPr="00C33D56">
        <w:t xml:space="preserve"> cell </w:t>
      </w:r>
      <w:proofErr w:type="spellStart"/>
      <w:r w:rsidRPr="00C33D56">
        <w:t>analyzer</w:t>
      </w:r>
      <w:proofErr w:type="spellEnd"/>
      <w:r w:rsidRPr="00C33D56">
        <w:t xml:space="preserve"> and data were </w:t>
      </w:r>
      <w:proofErr w:type="spellStart"/>
      <w:r w:rsidRPr="00C33D56">
        <w:t>analyzed</w:t>
      </w:r>
      <w:proofErr w:type="spellEnd"/>
      <w:r w:rsidRPr="00C33D56">
        <w:t xml:space="preserve"> using </w:t>
      </w:r>
      <w:proofErr w:type="spellStart"/>
      <w:r w:rsidRPr="00C33D56">
        <w:t>FlowJo</w:t>
      </w:r>
      <w:proofErr w:type="spellEnd"/>
      <w:r w:rsidRPr="00C33D56">
        <w:t xml:space="preserve"> software (FLOWJO, LLC). </w:t>
      </w:r>
    </w:p>
    <w:p w14:paraId="4196E9D2" w14:textId="754FCC8C" w:rsidR="002D4615" w:rsidRDefault="002D4615" w:rsidP="00E624A4">
      <w:pPr>
        <w:spacing w:line="480" w:lineRule="auto"/>
        <w:rPr>
          <w:b/>
          <w:bCs/>
        </w:rPr>
      </w:pPr>
      <w:r>
        <w:rPr>
          <w:b/>
          <w:bCs/>
        </w:rPr>
        <w:t>RNA-seq analysis</w:t>
      </w:r>
    </w:p>
    <w:p w14:paraId="0EDEF89B" w14:textId="4672BC65" w:rsidR="00E035F1" w:rsidRPr="00E035F1" w:rsidRDefault="00FF6FA9" w:rsidP="00E624A4">
      <w:pPr>
        <w:autoSpaceDE w:val="0"/>
        <w:autoSpaceDN w:val="0"/>
        <w:adjustRightInd w:val="0"/>
        <w:spacing w:line="480" w:lineRule="auto"/>
        <w:jc w:val="both"/>
        <w:rPr>
          <w:rFonts w:cstheme="minorHAnsi"/>
          <w:color w:val="000000"/>
        </w:rPr>
      </w:pPr>
      <w:r>
        <w:rPr>
          <w:rFonts w:ascii="Calibri" w:hAnsi="Calibri" w:cs="Calibri"/>
          <w:lang w:val="en-US"/>
        </w:rPr>
        <w:t xml:space="preserve">RNA was isolated with </w:t>
      </w:r>
      <w:r w:rsidRPr="00CA0211">
        <w:rPr>
          <w:rFonts w:ascii="Calibri" w:hAnsi="Calibri" w:cs="Calibri"/>
          <w:lang w:val="en-US"/>
        </w:rPr>
        <w:t>(RNeasy Mini Kit</w:t>
      </w:r>
      <w:r>
        <w:rPr>
          <w:rFonts w:ascii="Calibri" w:hAnsi="Calibri" w:cs="Calibri"/>
          <w:lang w:val="en-US"/>
        </w:rPr>
        <w:t>,</w:t>
      </w:r>
      <w:r w:rsidRPr="00CA0211">
        <w:rPr>
          <w:rFonts w:ascii="Calibri" w:hAnsi="Calibri" w:cs="Calibri"/>
          <w:lang w:val="en-US"/>
        </w:rPr>
        <w:t xml:space="preserve"> </w:t>
      </w:r>
      <w:r w:rsidRPr="00EE690C">
        <w:rPr>
          <w:rFonts w:cstheme="minorHAnsi"/>
          <w:color w:val="000000"/>
          <w:lang w:val="en-US"/>
        </w:rPr>
        <w:t>cat# 74106</w:t>
      </w:r>
      <w:r>
        <w:rPr>
          <w:rFonts w:cstheme="minorHAnsi"/>
          <w:color w:val="000000"/>
          <w:lang w:val="en-US"/>
        </w:rPr>
        <w:t xml:space="preserve">, </w:t>
      </w:r>
      <w:r w:rsidRPr="00CA0211">
        <w:rPr>
          <w:rFonts w:ascii="Calibri" w:hAnsi="Calibri" w:cs="Calibri"/>
          <w:lang w:val="en-US"/>
        </w:rPr>
        <w:t>QIAGEN) and treated in-column with DNase (RNase-Free DNase</w:t>
      </w:r>
      <w:r>
        <w:rPr>
          <w:rFonts w:ascii="Calibri" w:hAnsi="Calibri" w:cs="Calibri"/>
          <w:lang w:val="en-US"/>
        </w:rPr>
        <w:t xml:space="preserve"> </w:t>
      </w:r>
      <w:r w:rsidRPr="00CA0211">
        <w:rPr>
          <w:rFonts w:ascii="Calibri" w:hAnsi="Calibri" w:cs="Calibri"/>
          <w:lang w:val="en-US"/>
        </w:rPr>
        <w:t xml:space="preserve">Set; QIAGEN) for 15 min. The removal of genomic DNA was </w:t>
      </w:r>
      <w:r>
        <w:rPr>
          <w:rFonts w:ascii="Calibri" w:hAnsi="Calibri" w:cs="Calibri"/>
          <w:lang w:val="en-US"/>
        </w:rPr>
        <w:t>ensured</w:t>
      </w:r>
      <w:r w:rsidRPr="00CA0211">
        <w:rPr>
          <w:rFonts w:ascii="Calibri" w:hAnsi="Calibri" w:cs="Calibri"/>
          <w:lang w:val="en-US"/>
        </w:rPr>
        <w:t xml:space="preserve"> by an additional treatment of the samples with</w:t>
      </w:r>
      <w:r>
        <w:rPr>
          <w:rFonts w:ascii="Calibri" w:hAnsi="Calibri" w:cs="Calibri"/>
          <w:lang w:val="en-US"/>
        </w:rPr>
        <w:t xml:space="preserve"> </w:t>
      </w:r>
      <w:r w:rsidRPr="00CA0211">
        <w:rPr>
          <w:rFonts w:ascii="Calibri" w:hAnsi="Calibri" w:cs="Calibri"/>
          <w:lang w:val="en-US"/>
        </w:rPr>
        <w:t xml:space="preserve">DNase I (Invitrogen). After RNA quantification (using Nanodrop 2000) and quality control (using </w:t>
      </w:r>
      <w:proofErr w:type="spellStart"/>
      <w:r w:rsidRPr="00CA0211">
        <w:rPr>
          <w:rFonts w:ascii="Calibri" w:hAnsi="Calibri" w:cs="Calibri"/>
          <w:lang w:val="en-US"/>
        </w:rPr>
        <w:t>BioRad</w:t>
      </w:r>
      <w:proofErr w:type="spellEnd"/>
      <w:r w:rsidRPr="00CA0211">
        <w:rPr>
          <w:rFonts w:ascii="Calibri" w:hAnsi="Calibri" w:cs="Calibri"/>
          <w:lang w:val="en-US"/>
        </w:rPr>
        <w:t xml:space="preserve"> Experion </w:t>
      </w:r>
      <w:r>
        <w:rPr>
          <w:rFonts w:ascii="Calibri" w:hAnsi="Calibri" w:cs="Calibri"/>
          <w:lang w:val="en-US"/>
        </w:rPr>
        <w:t xml:space="preserve">or </w:t>
      </w:r>
      <w:r w:rsidRPr="00CA0211">
        <w:rPr>
          <w:rFonts w:ascii="Calibri" w:hAnsi="Calibri" w:cs="Calibri"/>
          <w:lang w:val="en-US"/>
        </w:rPr>
        <w:t xml:space="preserve">Agilent Bioanalyzer), libraries for RNA-Seq were prepared using Illumina </w:t>
      </w:r>
      <w:proofErr w:type="spellStart"/>
      <w:r w:rsidRPr="00CA0211">
        <w:rPr>
          <w:rFonts w:ascii="Calibri" w:hAnsi="Calibri" w:cs="Calibri"/>
          <w:lang w:val="en-US"/>
        </w:rPr>
        <w:t>TruSeq</w:t>
      </w:r>
      <w:proofErr w:type="spellEnd"/>
      <w:r w:rsidRPr="00CA0211">
        <w:rPr>
          <w:rFonts w:ascii="Calibri" w:hAnsi="Calibri" w:cs="Calibri"/>
          <w:lang w:val="en-US"/>
        </w:rPr>
        <w:t>® Stranded mRNA Sample Preparation</w:t>
      </w:r>
      <w:r>
        <w:rPr>
          <w:rFonts w:ascii="Calibri" w:hAnsi="Calibri" w:cs="Calibri"/>
          <w:lang w:val="en-US"/>
        </w:rPr>
        <w:t xml:space="preserve"> </w:t>
      </w:r>
      <w:r w:rsidRPr="00CA0211">
        <w:rPr>
          <w:rFonts w:ascii="Calibri" w:hAnsi="Calibri" w:cs="Calibri"/>
          <w:lang w:val="en-US"/>
        </w:rPr>
        <w:t>Guide (part #15031047).</w:t>
      </w:r>
      <w:r>
        <w:rPr>
          <w:rFonts w:ascii="Calibri" w:hAnsi="Calibri" w:cs="Calibri"/>
          <w:lang w:val="en-US"/>
        </w:rPr>
        <w:t xml:space="preserve"> </w:t>
      </w:r>
      <w:r w:rsidRPr="004D4912">
        <w:rPr>
          <w:rFonts w:cstheme="minorHAnsi"/>
          <w:lang w:val="en-US"/>
        </w:rPr>
        <w:t xml:space="preserve">The </w:t>
      </w:r>
      <w:r>
        <w:rPr>
          <w:rFonts w:cstheme="minorHAnsi"/>
          <w:lang w:val="en-US"/>
        </w:rPr>
        <w:t xml:space="preserve">quality of the </w:t>
      </w:r>
      <w:r w:rsidRPr="004D4912">
        <w:rPr>
          <w:rFonts w:cstheme="minorHAnsi"/>
          <w:lang w:val="en-US"/>
        </w:rPr>
        <w:t>libraries was confirmed with Advanced Analytical Fragment Analyzer, and the concentrations of the libraries were quantified with Qubit® Fluorometric Quantitation</w:t>
      </w:r>
      <w:r>
        <w:rPr>
          <w:rFonts w:cstheme="minorHAnsi"/>
          <w:lang w:val="en-US"/>
        </w:rPr>
        <w:t xml:space="preserve"> (</w:t>
      </w:r>
      <w:r w:rsidRPr="004D4912">
        <w:rPr>
          <w:rFonts w:cstheme="minorHAnsi"/>
          <w:lang w:val="en-US"/>
        </w:rPr>
        <w:t>Life Technologies</w:t>
      </w:r>
      <w:r>
        <w:rPr>
          <w:rFonts w:cstheme="minorHAnsi"/>
          <w:lang w:val="en-US"/>
        </w:rPr>
        <w:t>)</w:t>
      </w:r>
      <w:r w:rsidRPr="004D4912">
        <w:rPr>
          <w:rFonts w:cstheme="minorHAnsi"/>
          <w:lang w:val="en-US"/>
        </w:rPr>
        <w:t>.</w:t>
      </w:r>
      <w:r>
        <w:rPr>
          <w:rFonts w:cstheme="minorHAnsi"/>
          <w:color w:val="000000"/>
          <w:lang w:val="en-US"/>
        </w:rPr>
        <w:t xml:space="preserve"> </w:t>
      </w:r>
      <w:r w:rsidRPr="00CA0211">
        <w:rPr>
          <w:rFonts w:cstheme="minorHAnsi"/>
          <w:lang w:val="en-US"/>
        </w:rPr>
        <w:t>Sequencing was performed at</w:t>
      </w:r>
      <w:r>
        <w:rPr>
          <w:rFonts w:cstheme="minorHAnsi"/>
          <w:lang w:val="en-US"/>
        </w:rPr>
        <w:t xml:space="preserve"> </w:t>
      </w:r>
      <w:r w:rsidRPr="00CA0211">
        <w:rPr>
          <w:rFonts w:cstheme="minorHAnsi"/>
          <w:lang w:val="en-US"/>
        </w:rPr>
        <w:t>the Finnish Functional Genomics Centre using the HiSeq2500 Next-Generation Sequencing platform.</w:t>
      </w:r>
      <w:r>
        <w:rPr>
          <w:rFonts w:cstheme="minorHAnsi"/>
          <w:lang w:val="en-US"/>
        </w:rPr>
        <w:t xml:space="preserve"> </w:t>
      </w:r>
      <w:proofErr w:type="spellStart"/>
      <w:r w:rsidRPr="00EE690C">
        <w:rPr>
          <w:rFonts w:cstheme="minorHAnsi"/>
          <w:color w:val="000000"/>
          <w:lang w:val="en-US"/>
        </w:rPr>
        <w:t>FastQC</w:t>
      </w:r>
      <w:proofErr w:type="spellEnd"/>
      <w:r w:rsidRPr="00EE690C">
        <w:rPr>
          <w:rFonts w:cstheme="minorHAnsi"/>
          <w:color w:val="000000"/>
          <w:lang w:val="en-US"/>
        </w:rPr>
        <w:t xml:space="preserve"> was used to check the quality of the raw sequencing reads</w:t>
      </w:r>
      <w:r>
        <w:rPr>
          <w:rFonts w:cstheme="minorHAnsi"/>
          <w:color w:val="000000"/>
          <w:lang w:val="en-US"/>
        </w:rPr>
        <w:t xml:space="preserve"> </w:t>
      </w:r>
      <w:r>
        <w:rPr>
          <w:rFonts w:cstheme="minorHAnsi"/>
          <w:color w:val="000000"/>
          <w:lang w:val="en-US"/>
        </w:rPr>
        <w:fldChar w:fldCharType="begin" w:fldLock="1"/>
      </w:r>
      <w:r w:rsidR="006C5FCA">
        <w:rPr>
          <w:rFonts w:cstheme="minorHAnsi"/>
          <w:color w:val="000000"/>
          <w:lang w:val="en-US"/>
        </w:rPr>
        <w:instrText>ADDIN CSL_CITATION {"citationItems":[{"id":"ITEM-1","itemData":{"author":[{"dropping-particle":"","family":"Andrews","given":"S.","non-dropping-particle":"","parse-names":false,"suffix":""}],"id":"ITEM-1","issued":{"date-parts":[["2010","6"]]},"title":"FastQC: A Quality Control Tool for High Throughput Sequence Data [Online]. Available online at: http://www.bioinformatics.babraham.ac.uk/projects/fastqc/","type":"article"},"uris":["http://www.mendeley.com/documents/?uuid=49db9040-1003-4598-83fb-21e2789b8ad4"]}],"mendeley":{"formattedCitation":"(6)","plainTextFormattedCitation":"(6)","previouslyFormattedCitation":"(6)"},"properties":{"noteIndex":0},"schema":"https://github.com/citation-style-language/schema/raw/master/csl-citation.json"}</w:instrText>
      </w:r>
      <w:r>
        <w:rPr>
          <w:rFonts w:cstheme="minorHAnsi"/>
          <w:color w:val="000000"/>
          <w:lang w:val="en-US"/>
        </w:rPr>
        <w:fldChar w:fldCharType="separate"/>
      </w:r>
      <w:r w:rsidR="00C33D56" w:rsidRPr="00C33D56">
        <w:rPr>
          <w:rFonts w:cstheme="minorHAnsi"/>
          <w:noProof/>
          <w:color w:val="000000"/>
          <w:lang w:val="en-US"/>
        </w:rPr>
        <w:t>(6)</w:t>
      </w:r>
      <w:r>
        <w:rPr>
          <w:rFonts w:cstheme="minorHAnsi"/>
          <w:color w:val="000000"/>
          <w:lang w:val="en-US"/>
        </w:rPr>
        <w:fldChar w:fldCharType="end"/>
      </w:r>
      <w:r w:rsidRPr="00EE690C">
        <w:rPr>
          <w:rFonts w:cstheme="minorHAnsi"/>
          <w:color w:val="000000"/>
          <w:lang w:val="en-US"/>
        </w:rPr>
        <w:t xml:space="preserve">, and </w:t>
      </w:r>
      <w:proofErr w:type="spellStart"/>
      <w:r w:rsidRPr="00EE690C">
        <w:rPr>
          <w:rFonts w:cstheme="minorHAnsi"/>
          <w:color w:val="000000"/>
          <w:lang w:val="en-US"/>
        </w:rPr>
        <w:t>Trimmomatic</w:t>
      </w:r>
      <w:proofErr w:type="spellEnd"/>
      <w:r w:rsidRPr="00EE690C">
        <w:rPr>
          <w:rFonts w:cstheme="minorHAnsi"/>
          <w:color w:val="000000"/>
          <w:lang w:val="en-US"/>
        </w:rPr>
        <w:t xml:space="preserve"> </w:t>
      </w:r>
      <w:r>
        <w:rPr>
          <w:rFonts w:cstheme="minorHAnsi"/>
          <w:color w:val="000000"/>
          <w:lang w:val="en-US"/>
        </w:rPr>
        <w:fldChar w:fldCharType="begin" w:fldLock="1"/>
      </w:r>
      <w:r w:rsidR="006C5FCA">
        <w:rPr>
          <w:rFonts w:cstheme="minorHAnsi"/>
          <w:color w:val="000000"/>
          <w:lang w:val="en-US"/>
        </w:rPr>
        <w:instrText>ADDIN CSL_CITATION {"citationItems":[{"id":"ITEM-1","itemData":{"DOI":"10.1093/bioinformatics/btu170","ISSN":"14602059","PMID":"24695404","abstract":"Motivation: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 Results: The value of NGS read preprocessing is demonstrated for both reference-based and reference-free tasks. Trimmomatic is shown to produce output that is at least competitive with, and in many cases superior to, that produced by other tools, in all scenarios tested. Availability and implementation: Trimmomatic is licensed under GPL V3. It is cross-platform (Java 1.5+ required) and available at http://www.usadellab.org/cms/index.php?page= trimmomatic. © The Author 2014.","author":[{"dropping-particle":"","family":"Bolger","given":"Anthony M.","non-dropping-particle":"","parse-names":false,"suffix":""},{"dropping-particle":"","family":"Lohse","given":"Marc","non-dropping-particle":"","parse-names":false,"suffix":""},{"dropping-particle":"","family":"Usadel","given":"Bjoern","non-dropping-particle":"","parse-names":false,"suffix":""}],"container-title":"Bioinformatics","id":"ITEM-1","issue":"15","issued":{"date-parts":[["2014"]]},"page":"2114-2120","title":"Trimmomatic: A flexible trimmer for Illumina sequence data","type":"article-journal","volume":"30"},"uris":["http://www.mendeley.com/documents/?uuid=8fbd8492-ff60-4514-891c-74e82289cb8c"]}],"mendeley":{"formattedCitation":"(7)","plainTextFormattedCitation":"(7)","previouslyFormattedCitation":"(7)"},"properties":{"noteIndex":0},"schema":"https://github.com/citation-style-language/schema/raw/master/csl-citation.json"}</w:instrText>
      </w:r>
      <w:r>
        <w:rPr>
          <w:rFonts w:cstheme="minorHAnsi"/>
          <w:color w:val="000000"/>
          <w:lang w:val="en-US"/>
        </w:rPr>
        <w:fldChar w:fldCharType="separate"/>
      </w:r>
      <w:r w:rsidR="00C33D56" w:rsidRPr="00C33D56">
        <w:rPr>
          <w:rFonts w:cstheme="minorHAnsi"/>
          <w:noProof/>
          <w:color w:val="000000"/>
          <w:lang w:val="en-US"/>
        </w:rPr>
        <w:t>(7)</w:t>
      </w:r>
      <w:r>
        <w:rPr>
          <w:rFonts w:cstheme="minorHAnsi"/>
          <w:color w:val="000000"/>
          <w:lang w:val="en-US"/>
        </w:rPr>
        <w:fldChar w:fldCharType="end"/>
      </w:r>
      <w:r w:rsidRPr="00EE690C">
        <w:rPr>
          <w:rFonts w:cstheme="minorHAnsi"/>
          <w:color w:val="000000"/>
          <w:lang w:val="en-US"/>
        </w:rPr>
        <w:t xml:space="preserve"> was used to trim the adapters and low-quality bases. Tophat2</w:t>
      </w:r>
      <w:r>
        <w:rPr>
          <w:rFonts w:cstheme="minorHAnsi"/>
          <w:color w:val="000000"/>
          <w:lang w:val="en-US"/>
        </w:rPr>
        <w:t xml:space="preserve"> </w:t>
      </w:r>
      <w:r>
        <w:rPr>
          <w:rFonts w:cstheme="minorHAnsi"/>
          <w:color w:val="000000"/>
          <w:lang w:val="en-US"/>
        </w:rPr>
        <w:fldChar w:fldCharType="begin" w:fldLock="1"/>
      </w:r>
      <w:r w:rsidR="006C5FCA">
        <w:rPr>
          <w:rFonts w:cstheme="minorHAnsi"/>
          <w:color w:val="000000"/>
          <w:lang w:val="en-US"/>
        </w:rPr>
        <w:instrText>ADDIN CSL_CITATION {"citationItems":[{"id":"ITEM-1","itemData":{"DOI":"10.1186/gb-2013-14-4-r36 [doi]","ISBN":"1474-760X; 1474-7596","PMID":"23618408","abstract":"TopHat is a popular spliced aligner for RNA-sequence (RNA-seq) experiments. In this paper, we describe TopHat2, which incorporates many significant enhancements to TopHat. TopHat2 can align reads of various lengths produced by the latest sequencing technologies, while allowing for variable-length indels with respect to the reference genome. In addition to de novo spliced alignment, TopHat2 can align reads across fusion breaks, which can occur after genomic translocations. TopHat2 combines the ability to identify novel splice sites with direct mapping to known transcripts, producing sensitive and accurate alignments, even for highly repetitive genomes or in the presence of pseudogenes. TopHat2 is available at http://ccb.jhu.edu/software/tophat. ","author":[{"dropping-particle":"","family":"Kim","given":"D","non-dropping-particle":"","parse-names":false,"suffix":""},{"dropping-particle":"","family":"Pertea","given":"G","non-dropping-particle":"","parse-names":false,"suffix":""},{"dropping-particle":"","family":"Trapnell","given":"C","non-dropping-particle":"","parse-names":false,"suffix":""},{"dropping-particle":"","family":"Pimentel","given":"H","non-dropping-particle":"","parse-names":false,"suffix":""},{"dropping-particle":"","family":"Kelley","given":"R","non-dropping-particle":"","parse-names":false,"suffix":""},{"dropping-particle":"","family":"Salzberg","given":"S L","non-dropping-particle":"","parse-names":false,"suffix":""}],"container-title":"Genome biology","id":"ITEM-1","issue":"4","issued":{"date-parts":[["2013","4"]]},"note":"id: 1; LR: 20161019; GR: R01 HG006102/HG/NHGRI NIH HHS/United States; GR: R01 HG006677/HG/NHGRI NIH HHS/United States; GR: R01-HG006677/HG/NHGRI NIH HHS/United States; JID: 100960660; 2012/11/15 00:00 [received]; 2013/04/25 00:00 [accepted]; 2013/04/27 06:00 [entrez]; 2013/04/27 06:00 [pubmed]; 2015/04/08 06:00 [medline]; epublish","page":"R36-2013-14-4-r36","title":"TopHat2: accurate alignment of transcriptomes in the presence of insertions, deletions and gene fusions","type":"article-journal","volume":"14"},"uris":["http://www.mendeley.com/documents/?uuid=55f14523-bd90-492b-a710-dfc9a97dc0bd"]}],"mendeley":{"formattedCitation":"(8)","plainTextFormattedCitation":"(8)","previouslyFormattedCitation":"(8)"},"properties":{"noteIndex":0},"schema":"https://github.com/citation-style-language/schema/raw/master/csl-citation.json"}</w:instrText>
      </w:r>
      <w:r>
        <w:rPr>
          <w:rFonts w:cstheme="minorHAnsi"/>
          <w:color w:val="000000"/>
          <w:lang w:val="en-US"/>
        </w:rPr>
        <w:fldChar w:fldCharType="separate"/>
      </w:r>
      <w:r w:rsidR="00C33D56" w:rsidRPr="00C33D56">
        <w:rPr>
          <w:rFonts w:cstheme="minorHAnsi"/>
          <w:noProof/>
          <w:color w:val="000000"/>
          <w:lang w:val="en-US"/>
        </w:rPr>
        <w:t>(8)</w:t>
      </w:r>
      <w:r>
        <w:rPr>
          <w:rFonts w:cstheme="minorHAnsi"/>
          <w:color w:val="000000"/>
          <w:lang w:val="en-US"/>
        </w:rPr>
        <w:fldChar w:fldCharType="end"/>
      </w:r>
      <w:r>
        <w:rPr>
          <w:rFonts w:cstheme="minorHAnsi"/>
          <w:color w:val="000000"/>
          <w:lang w:val="en-US"/>
        </w:rPr>
        <w:t xml:space="preserve"> </w:t>
      </w:r>
      <w:r w:rsidRPr="00EE690C">
        <w:rPr>
          <w:rFonts w:cstheme="minorHAnsi"/>
          <w:color w:val="000000"/>
          <w:lang w:val="en-US"/>
        </w:rPr>
        <w:t xml:space="preserve">was used to align the trimmed reads to the human reference genome GRCh37.75 (Ensembl release 75). </w:t>
      </w:r>
      <w:proofErr w:type="spellStart"/>
      <w:r w:rsidRPr="00EE690C">
        <w:rPr>
          <w:rFonts w:cstheme="minorHAnsi"/>
          <w:color w:val="000000"/>
          <w:lang w:val="en-US"/>
        </w:rPr>
        <w:t>HTseq</w:t>
      </w:r>
      <w:proofErr w:type="spellEnd"/>
      <w:r w:rsidRPr="00EE690C">
        <w:rPr>
          <w:rFonts w:cstheme="minorHAnsi"/>
          <w:color w:val="000000"/>
          <w:lang w:val="en-US"/>
        </w:rPr>
        <w:t>-count</w:t>
      </w:r>
      <w:r w:rsidR="006C5FCA">
        <w:rPr>
          <w:rFonts w:cstheme="minorHAnsi"/>
          <w:color w:val="000000"/>
          <w:lang w:val="en-US"/>
        </w:rPr>
        <w:t xml:space="preserve"> </w:t>
      </w:r>
      <w:r w:rsidR="006C5FCA">
        <w:rPr>
          <w:rFonts w:cstheme="minorHAnsi"/>
          <w:color w:val="000000"/>
          <w:lang w:val="en-US"/>
        </w:rPr>
        <w:fldChar w:fldCharType="begin" w:fldLock="1"/>
      </w:r>
      <w:r w:rsidR="006C5FCA">
        <w:rPr>
          <w:rFonts w:cstheme="minorHAnsi"/>
          <w:color w:val="000000"/>
          <w:lang w:val="en-US"/>
        </w:rPr>
        <w:instrText>ADDIN CSL_CITATION {"citationItems":[{"id":"ITEM-1","itemData":{"DOI":"10.1093/bioinformatics/btu638","ISBN":"1367-4811 (Electronic) 1367-4803 (Linking)","ISSN":"14602059","PMID":"25260700","abstract":"MOTIVATION: A large choice of tools exists for many standard tasks in the analysis of high-throughput sequencing (HTS) data. However, once a project deviates from standard work flows, custom scripts are needed.\\n\\nRESULTS: We present HTSeq, a Python library to facilitate the rapid development of such scripts. HTSeq offers parsers for many common data formats in HTS projects, as well as classes to represent data such as genomic coordinates, sequences, sequencing reads, alignments, gene model information, variant calls, and provides data structures that allow for querying via genomic coordinates. We also present htseq-count, a tool developed with HTSeq that preprocesses RNA-Seq data for differential expression analysis by counting the overlap of reads with genes. Availability: HTSeq is released as open-source software under the GNU General Public Licence and available from http://www-huber.embl.de/HTSeq or from the Python Package Index https://pypi.python.org/pypi/HTSeq.\\n\\nCONTACT: sanders@fs.tum.de.","author":[{"dropping-particle":"","family":"Anders","given":"Simon","non-dropping-particle":"","parse-names":false,"suffix":""},{"dropping-particle":"","family":"Pyl","given":"Paul Theodor","non-dropping-particle":"","parse-names":false,"suffix":""},{"dropping-particle":"","family":"Huber","given":"Wolfgang","non-dropping-particle":"","parse-names":false,"suffix":""}],"container-title":"Bioinformatics","id":"ITEM-1","issue":"2","issued":{"date-parts":[["2015"]]},"page":"166-169","title":"HTSeq-A Python framework to work with high-throughput sequencing data","type":"article-journal","volume":"31"},"uris":["http://www.mendeley.com/documents/?uuid=a964a7ed-c170-4f96-aefd-a18dd6252864"]}],"mendeley":{"formattedCitation":"(9)","plainTextFormattedCitation":"(9)"},"properties":{"noteIndex":0},"schema":"https://github.com/citation-style-language/schema/raw/master/csl-citation.json"}</w:instrText>
      </w:r>
      <w:r w:rsidR="006C5FCA">
        <w:rPr>
          <w:rFonts w:cstheme="minorHAnsi"/>
          <w:color w:val="000000"/>
          <w:lang w:val="en-US"/>
        </w:rPr>
        <w:fldChar w:fldCharType="separate"/>
      </w:r>
      <w:r w:rsidR="006C5FCA" w:rsidRPr="006C5FCA">
        <w:rPr>
          <w:rFonts w:cstheme="minorHAnsi"/>
          <w:noProof/>
          <w:color w:val="000000"/>
          <w:lang w:val="en-US"/>
        </w:rPr>
        <w:t>(9)</w:t>
      </w:r>
      <w:r w:rsidR="006C5FCA">
        <w:rPr>
          <w:rFonts w:cstheme="minorHAnsi"/>
          <w:color w:val="000000"/>
          <w:lang w:val="en-US"/>
        </w:rPr>
        <w:fldChar w:fldCharType="end"/>
      </w:r>
      <w:r w:rsidRPr="00EE690C">
        <w:rPr>
          <w:rFonts w:cstheme="minorHAnsi"/>
          <w:color w:val="000000"/>
          <w:lang w:val="en-US"/>
        </w:rPr>
        <w:t xml:space="preserve"> was used to calculate the summarized read counts for each gene</w:t>
      </w:r>
      <w:r>
        <w:rPr>
          <w:rFonts w:cstheme="minorHAnsi"/>
          <w:color w:val="000000"/>
          <w:lang w:val="en-US"/>
        </w:rPr>
        <w:t xml:space="preserve">. </w:t>
      </w:r>
      <w:r w:rsidRPr="00EE690C">
        <w:rPr>
          <w:rFonts w:cstheme="minorHAnsi"/>
          <w:color w:val="000000"/>
          <w:lang w:val="en-US"/>
        </w:rPr>
        <w:t xml:space="preserve">The differentially expressed genes were identified using the R/Bioconductor package </w:t>
      </w:r>
      <w:proofErr w:type="spellStart"/>
      <w:r>
        <w:rPr>
          <w:rFonts w:cstheme="minorHAnsi"/>
          <w:color w:val="000000"/>
          <w:lang w:val="en-US"/>
        </w:rPr>
        <w:t>DEseq</w:t>
      </w:r>
      <w:proofErr w:type="spellEnd"/>
      <w:r>
        <w:rPr>
          <w:rFonts w:cstheme="minorHAnsi"/>
          <w:color w:val="000000"/>
          <w:lang w:val="en-US"/>
        </w:rPr>
        <w:t xml:space="preserve"> </w:t>
      </w:r>
      <w:r>
        <w:rPr>
          <w:rFonts w:cstheme="minorHAnsi"/>
          <w:color w:val="000000"/>
          <w:lang w:val="en-US"/>
        </w:rPr>
        <w:fldChar w:fldCharType="begin" w:fldLock="1"/>
      </w:r>
      <w:r w:rsidR="006C5FCA">
        <w:rPr>
          <w:rFonts w:cstheme="minorHAnsi"/>
          <w:color w:val="000000"/>
          <w:lang w:val="en-US"/>
        </w:rPr>
        <w:instrText>ADDIN CSL_CITATION {"citationItems":[{"id":"ITEM-1","itemData":{"DOI":"10.1038/nprot.2013.099 [doi]","ISBN":"1750-2799; 1750-2799","PMID":"23975260","abstract":"RNA sequencing (RNA-seq) has been rapidly adopted for the profiling of transcriptomes in many areas of biology, including studies into gene regulation, development and disease. Of particular interest is the discovery of differentially expressed genes across different conditions (e.g., tissues, perturbations) while optionally adjusting for other systematic factors that affect the data-collection process. There are a number of subtle yet crucial aspects of these analyses, such as read counting, appropriate treatment of biological variability, quality control checks and appropriate setup of statistical modeling. Several variations have been presented in the literature, and there is a need for guidance on current best practices. This protocol presents a state-of-the-art computational and statistical RNA-seq differential expression analysis workflow largely based on the free open-source R language and Bioconductor software and, in particular, on two widely used tools, DESeq and edgeR. Hands-on time for typical small experiments (e.g., 4-10 samples) can be ","author":[{"dropping-particle":"","family":"Anders","given":"S","non-dropping-particle":"","parse-names":false,"suffix":""},{"dropping-particle":"","family":"McCarthy","given":"D J","non-dropping-particle":"","parse-names":false,"suffix":""},{"dropping-particle":"","family":"Chen","given":"Y","non-dropping-particle":"","parse-names":false,"suffix":""},{"dropping-particle":"","family":"Okoniewski","given":"M","non-dropping-particle":"","parse-names":false,"suffix":""},{"dropping-particle":"","family":"Smyth","given":"G K","non-dropping-particle":"","parse-names":false,"suffix":""},{"dropping-particle":"","family":"Huber","given":"W","non-dropping-particle":"","parse-names":false,"suffix":""},{"dropping-particle":"","family":"Robinson","given":"M D","non-dropping-particle":"","parse-names":false,"suffix":""}],"container-title":"Nature protocols","id":"ITEM-1","issue":"9","issued":{"date-parts":[["2013","9"]]},"note":"id: 1; LR: 20170220; JID: 101284307; 2013/08/27 06:00 [entrez]; 2013/08/27 06:00 [pubmed]; 2014/03/29 06:00 [medline]; ppublish","page":"1765-1786","title":"Count-based differential expression analysis of RNA sequencing data using R and Bioconductor","type":"article-journal","volume":"8"},"uris":["http://www.mendeley.com/documents/?uuid=2c561210-b3c6-45b4-84f6-1775ae06109a"]}],"mendeley":{"formattedCitation":"(10)","plainTextFormattedCitation":"(10)","previouslyFormattedCitation":"(9)"},"properties":{"noteIndex":0},"schema":"https://github.com/citation-style-language/schema/raw/master/csl-citation.json"}</w:instrText>
      </w:r>
      <w:r>
        <w:rPr>
          <w:rFonts w:cstheme="minorHAnsi"/>
          <w:color w:val="000000"/>
          <w:lang w:val="en-US"/>
        </w:rPr>
        <w:fldChar w:fldCharType="separate"/>
      </w:r>
      <w:r w:rsidR="006C5FCA" w:rsidRPr="006C5FCA">
        <w:rPr>
          <w:rFonts w:cstheme="minorHAnsi"/>
          <w:noProof/>
          <w:color w:val="000000"/>
          <w:lang w:val="en-US"/>
        </w:rPr>
        <w:t>(10)</w:t>
      </w:r>
      <w:r>
        <w:rPr>
          <w:rFonts w:cstheme="minorHAnsi"/>
          <w:color w:val="000000"/>
          <w:lang w:val="en-US"/>
        </w:rPr>
        <w:fldChar w:fldCharType="end"/>
      </w:r>
      <w:r>
        <w:rPr>
          <w:rFonts w:cstheme="minorHAnsi"/>
          <w:color w:val="000000"/>
          <w:lang w:val="en-US"/>
        </w:rPr>
        <w:t xml:space="preserve">. </w:t>
      </w:r>
      <w:r w:rsidR="00E035F1" w:rsidRPr="00EE690C">
        <w:rPr>
          <w:rFonts w:cstheme="minorHAnsi"/>
          <w:color w:val="000000"/>
          <w:lang w:val="en-US"/>
        </w:rPr>
        <w:t xml:space="preserve">To select top genes, we exploited the differential knockdown efficiency of the two LNAs. DE genes were ranked </w:t>
      </w:r>
      <w:r w:rsidR="00E035F1">
        <w:rPr>
          <w:rFonts w:cstheme="minorHAnsi"/>
          <w:color w:val="000000"/>
        </w:rPr>
        <w:t>according to their</w:t>
      </w:r>
      <w:r w:rsidR="00E035F1" w:rsidRPr="00EE690C">
        <w:rPr>
          <w:rFonts w:cstheme="minorHAnsi"/>
          <w:color w:val="000000"/>
        </w:rPr>
        <w:t xml:space="preserve"> similarity with MIAT expression upon knockdown with two different LNAs. Genes that were more efficiently downregulated or upregulated with more efficient knockdown were ranked higher.</w:t>
      </w:r>
    </w:p>
    <w:p w14:paraId="701475AC" w14:textId="054C2F86" w:rsidR="002D4615" w:rsidRPr="00ED0AF0" w:rsidRDefault="002D4615" w:rsidP="00E624A4">
      <w:pPr>
        <w:spacing w:line="480" w:lineRule="auto"/>
        <w:jc w:val="both"/>
        <w:rPr>
          <w:rFonts w:cstheme="minorHAnsi"/>
          <w:color w:val="000000" w:themeColor="text1"/>
          <w:shd w:val="clear" w:color="auto" w:fill="FFFFFF"/>
          <w:lang w:val="en-US"/>
        </w:rPr>
      </w:pPr>
      <w:r w:rsidRPr="00ED0AF0">
        <w:rPr>
          <w:rFonts w:cstheme="minorHAnsi"/>
          <w:b/>
          <w:color w:val="000000" w:themeColor="text1"/>
          <w:shd w:val="clear" w:color="auto" w:fill="FFFFFF"/>
          <w:lang w:val="en-US"/>
        </w:rPr>
        <w:t>RNA</w:t>
      </w:r>
      <w:r w:rsidR="00B07005">
        <w:rPr>
          <w:rFonts w:cstheme="minorHAnsi"/>
          <w:b/>
          <w:color w:val="000000" w:themeColor="text1"/>
          <w:shd w:val="clear" w:color="auto" w:fill="FFFFFF"/>
          <w:lang w:val="en-US"/>
        </w:rPr>
        <w:t>S</w:t>
      </w:r>
      <w:r w:rsidRPr="00ED0AF0">
        <w:rPr>
          <w:rFonts w:cstheme="minorHAnsi"/>
          <w:b/>
          <w:color w:val="000000" w:themeColor="text1"/>
          <w:shd w:val="clear" w:color="auto" w:fill="FFFFFF"/>
          <w:lang w:val="en-US"/>
        </w:rPr>
        <w:t xml:space="preserve">cope </w:t>
      </w:r>
      <w:r w:rsidRPr="00767AD7">
        <w:rPr>
          <w:rFonts w:cstheme="minorHAnsi"/>
          <w:b/>
          <w:i/>
          <w:iCs/>
          <w:color w:val="000000" w:themeColor="text1"/>
          <w:shd w:val="clear" w:color="auto" w:fill="FFFFFF"/>
          <w:lang w:val="en-US"/>
        </w:rPr>
        <w:t>In Situ</w:t>
      </w:r>
      <w:r w:rsidRPr="00ED0AF0">
        <w:rPr>
          <w:rFonts w:cstheme="minorHAnsi"/>
          <w:b/>
          <w:color w:val="000000" w:themeColor="text1"/>
          <w:shd w:val="clear" w:color="auto" w:fill="FFFFFF"/>
          <w:lang w:val="en-US"/>
        </w:rPr>
        <w:t xml:space="preserve"> </w:t>
      </w:r>
      <w:r>
        <w:rPr>
          <w:rFonts w:cstheme="minorHAnsi"/>
          <w:b/>
          <w:color w:val="000000" w:themeColor="text1"/>
          <w:shd w:val="clear" w:color="auto" w:fill="FFFFFF"/>
          <w:lang w:val="en-US"/>
        </w:rPr>
        <w:t>H</w:t>
      </w:r>
      <w:r w:rsidRPr="00ED0AF0">
        <w:rPr>
          <w:rFonts w:cstheme="minorHAnsi"/>
          <w:b/>
          <w:color w:val="000000" w:themeColor="text1"/>
          <w:shd w:val="clear" w:color="auto" w:fill="FFFFFF"/>
          <w:lang w:val="en-US"/>
        </w:rPr>
        <w:t>ybridization (ISH)</w:t>
      </w:r>
    </w:p>
    <w:p w14:paraId="5BF346C9" w14:textId="77777777" w:rsidR="002D4615" w:rsidRPr="00EE690C" w:rsidRDefault="002D4615" w:rsidP="00E624A4">
      <w:pPr>
        <w:spacing w:line="480" w:lineRule="auto"/>
        <w:jc w:val="both"/>
        <w:rPr>
          <w:rFonts w:cstheme="minorHAnsi"/>
          <w:lang w:val="en-US"/>
        </w:rPr>
      </w:pPr>
      <w:r>
        <w:rPr>
          <w:rFonts w:cstheme="minorHAnsi"/>
          <w:lang w:val="en-US"/>
        </w:rPr>
        <w:lastRenderedPageBreak/>
        <w:t xml:space="preserve">RNAScope experiments were performed using RNAScope multiplex fluorescent reagent kit v2 ACD a </w:t>
      </w:r>
      <w:proofErr w:type="spellStart"/>
      <w:r>
        <w:rPr>
          <w:rFonts w:cstheme="minorHAnsi"/>
          <w:lang w:val="en-US"/>
        </w:rPr>
        <w:t>biotechne</w:t>
      </w:r>
      <w:proofErr w:type="spellEnd"/>
      <w:r>
        <w:rPr>
          <w:rFonts w:cstheme="minorHAnsi"/>
          <w:lang w:val="en-US"/>
        </w:rPr>
        <w:t xml:space="preserve"> brand (cat# 323100), following manufacturer’s recommendations. Briefly, </w:t>
      </w:r>
      <w:r w:rsidRPr="00EE690C">
        <w:rPr>
          <w:rFonts w:cstheme="minorHAnsi"/>
          <w:lang w:val="en-US"/>
        </w:rPr>
        <w:t>cells were cultured on the sterilized glass coverslips. The medi</w:t>
      </w:r>
      <w:r>
        <w:rPr>
          <w:rFonts w:cstheme="minorHAnsi"/>
          <w:lang w:val="en-US"/>
        </w:rPr>
        <w:t>um</w:t>
      </w:r>
      <w:r w:rsidRPr="00EE690C">
        <w:rPr>
          <w:rFonts w:cstheme="minorHAnsi"/>
          <w:lang w:val="en-US"/>
        </w:rPr>
        <w:t xml:space="preserve"> was removed, and the cells were washed once with PBS</w:t>
      </w:r>
      <w:r>
        <w:rPr>
          <w:rFonts w:cstheme="minorHAnsi"/>
          <w:lang w:val="en-US"/>
        </w:rPr>
        <w:t>.</w:t>
      </w:r>
      <w:r w:rsidRPr="00EE690C">
        <w:rPr>
          <w:rFonts w:cstheme="minorHAnsi"/>
          <w:lang w:val="en-US"/>
        </w:rPr>
        <w:t xml:space="preserve"> </w:t>
      </w:r>
      <w:r>
        <w:rPr>
          <w:rFonts w:cstheme="minorHAnsi"/>
          <w:lang w:val="en-US"/>
        </w:rPr>
        <w:t>N</w:t>
      </w:r>
      <w:r w:rsidRPr="00EE690C">
        <w:rPr>
          <w:rFonts w:cstheme="minorHAnsi"/>
          <w:lang w:val="en-US"/>
        </w:rPr>
        <w:t xml:space="preserve">ext, 10% </w:t>
      </w:r>
      <w:r>
        <w:rPr>
          <w:rFonts w:cstheme="minorHAnsi"/>
          <w:lang w:val="en-US"/>
        </w:rPr>
        <w:t>n</w:t>
      </w:r>
      <w:r w:rsidRPr="00EE690C">
        <w:rPr>
          <w:rFonts w:cstheme="minorHAnsi"/>
          <w:lang w:val="en-US"/>
        </w:rPr>
        <w:t>eutral buffered formalin was added in each well and incubated for 30 min at room temperature</w:t>
      </w:r>
      <w:r>
        <w:rPr>
          <w:rFonts w:cstheme="minorHAnsi"/>
          <w:lang w:val="en-US"/>
        </w:rPr>
        <w:t xml:space="preserve"> (RT), followed by two</w:t>
      </w:r>
      <w:r w:rsidRPr="00EE690C">
        <w:rPr>
          <w:rFonts w:cstheme="minorHAnsi"/>
          <w:lang w:val="en-US"/>
        </w:rPr>
        <w:t xml:space="preserve"> washe</w:t>
      </w:r>
      <w:r>
        <w:rPr>
          <w:rFonts w:cstheme="minorHAnsi"/>
          <w:lang w:val="en-US"/>
        </w:rPr>
        <w:t xml:space="preserve">s </w:t>
      </w:r>
      <w:r w:rsidRPr="00EE690C">
        <w:rPr>
          <w:rFonts w:cstheme="minorHAnsi"/>
          <w:lang w:val="en-US"/>
        </w:rPr>
        <w:t xml:space="preserve">with PBS. </w:t>
      </w:r>
      <w:r>
        <w:rPr>
          <w:rFonts w:cstheme="minorHAnsi"/>
          <w:lang w:val="en-US"/>
        </w:rPr>
        <w:t>The PBS was removed, and t</w:t>
      </w:r>
      <w:r w:rsidRPr="00EE690C">
        <w:rPr>
          <w:rFonts w:cstheme="minorHAnsi"/>
          <w:lang w:val="en-US"/>
        </w:rPr>
        <w:t>he cells were then dehydrated with 50</w:t>
      </w:r>
      <w:r>
        <w:rPr>
          <w:rFonts w:cstheme="minorHAnsi"/>
          <w:lang w:val="en-US"/>
        </w:rPr>
        <w:t xml:space="preserve">, 70, and 100% </w:t>
      </w:r>
      <w:r w:rsidRPr="00EE690C">
        <w:rPr>
          <w:rFonts w:cstheme="minorHAnsi"/>
          <w:lang w:val="en-US"/>
        </w:rPr>
        <w:t xml:space="preserve">ethanol </w:t>
      </w:r>
      <w:r>
        <w:rPr>
          <w:rFonts w:cstheme="minorHAnsi"/>
          <w:lang w:val="en-US"/>
        </w:rPr>
        <w:t>at</w:t>
      </w:r>
      <w:r w:rsidRPr="00EE690C">
        <w:rPr>
          <w:rFonts w:cstheme="minorHAnsi"/>
          <w:lang w:val="en-US"/>
        </w:rPr>
        <w:t xml:space="preserve"> RT for 5</w:t>
      </w:r>
      <w:r>
        <w:rPr>
          <w:rFonts w:cstheme="minorHAnsi"/>
          <w:lang w:val="en-US"/>
        </w:rPr>
        <w:t>, 5, and 10</w:t>
      </w:r>
      <w:r w:rsidRPr="00EE690C">
        <w:rPr>
          <w:rFonts w:cstheme="minorHAnsi"/>
          <w:lang w:val="en-US"/>
        </w:rPr>
        <w:t xml:space="preserve"> min</w:t>
      </w:r>
      <w:r>
        <w:rPr>
          <w:rFonts w:cstheme="minorHAnsi"/>
          <w:lang w:val="en-US"/>
        </w:rPr>
        <w:t xml:space="preserve">, respectively. </w:t>
      </w:r>
      <w:r w:rsidRPr="00EE690C">
        <w:rPr>
          <w:rFonts w:cstheme="minorHAnsi"/>
          <w:lang w:val="en-US"/>
        </w:rPr>
        <w:t xml:space="preserve">A hydrophobic barrier </w:t>
      </w:r>
      <w:r w:rsidRPr="00120C90">
        <w:rPr>
          <w:rFonts w:cstheme="minorHAnsi"/>
          <w:color w:val="000000" w:themeColor="text1"/>
          <w:lang w:val="en-US"/>
        </w:rPr>
        <w:t xml:space="preserve">(from the </w:t>
      </w:r>
      <w:r>
        <w:rPr>
          <w:rFonts w:cstheme="minorHAnsi"/>
          <w:color w:val="000000" w:themeColor="text1"/>
          <w:lang w:val="en-US"/>
        </w:rPr>
        <w:t xml:space="preserve">RNAScope </w:t>
      </w:r>
      <w:r w:rsidRPr="00120C90">
        <w:rPr>
          <w:rFonts w:cstheme="minorHAnsi"/>
          <w:color w:val="000000" w:themeColor="text1"/>
          <w:lang w:val="en-US"/>
        </w:rPr>
        <w:t>kit)</w:t>
      </w:r>
      <w:r>
        <w:rPr>
          <w:rFonts w:cstheme="minorHAnsi"/>
          <w:color w:val="FF0000"/>
          <w:lang w:val="en-US"/>
        </w:rPr>
        <w:t xml:space="preserve"> </w:t>
      </w:r>
      <w:r w:rsidRPr="00EE690C">
        <w:rPr>
          <w:rFonts w:cstheme="minorHAnsi"/>
          <w:lang w:val="en-US"/>
        </w:rPr>
        <w:t>was drawn two to four times around each coverslip using the manufacturer</w:t>
      </w:r>
      <w:r>
        <w:rPr>
          <w:rFonts w:cstheme="minorHAnsi"/>
          <w:lang w:val="en-US"/>
        </w:rPr>
        <w:t>’</w:t>
      </w:r>
      <w:r w:rsidRPr="00EE690C">
        <w:rPr>
          <w:rFonts w:cstheme="minorHAnsi"/>
          <w:lang w:val="en-US"/>
        </w:rPr>
        <w:t xml:space="preserve">s hydrophobic barrier pen. The coverslips were then left to dry at RT. The coverslips were then washed once with PBS and incubated with protease III plus </w:t>
      </w:r>
      <w:r>
        <w:rPr>
          <w:rFonts w:cstheme="minorHAnsi"/>
          <w:lang w:val="en-US"/>
        </w:rPr>
        <w:t xml:space="preserve">(RNAScope Kit) </w:t>
      </w:r>
      <w:r w:rsidRPr="00EE690C">
        <w:rPr>
          <w:rFonts w:cstheme="minorHAnsi"/>
          <w:lang w:val="en-US"/>
        </w:rPr>
        <w:t>for 10 min</w:t>
      </w:r>
      <w:r>
        <w:rPr>
          <w:rFonts w:cstheme="minorHAnsi"/>
          <w:lang w:val="en-US"/>
        </w:rPr>
        <w:t xml:space="preserve"> </w:t>
      </w:r>
      <w:r w:rsidRPr="00EE690C">
        <w:rPr>
          <w:rFonts w:cstheme="minorHAnsi"/>
          <w:lang w:val="en-US"/>
        </w:rPr>
        <w:t>at RT</w:t>
      </w:r>
      <w:r>
        <w:rPr>
          <w:rFonts w:cstheme="minorHAnsi"/>
          <w:lang w:val="en-US"/>
        </w:rPr>
        <w:t>, followed by two</w:t>
      </w:r>
      <w:r w:rsidRPr="00EE690C">
        <w:rPr>
          <w:rFonts w:cstheme="minorHAnsi"/>
          <w:lang w:val="en-US"/>
        </w:rPr>
        <w:t xml:space="preserve"> washe</w:t>
      </w:r>
      <w:r>
        <w:rPr>
          <w:rFonts w:cstheme="minorHAnsi"/>
          <w:lang w:val="en-US"/>
        </w:rPr>
        <w:t xml:space="preserve">s </w:t>
      </w:r>
      <w:r w:rsidRPr="00EE690C">
        <w:rPr>
          <w:rFonts w:cstheme="minorHAnsi"/>
          <w:lang w:val="en-US"/>
        </w:rPr>
        <w:t xml:space="preserve">with PBS. </w:t>
      </w:r>
    </w:p>
    <w:p w14:paraId="1EEF7E3D" w14:textId="77777777" w:rsidR="002D4615" w:rsidRPr="00EE690C" w:rsidRDefault="002D4615" w:rsidP="00E624A4">
      <w:pPr>
        <w:spacing w:line="480" w:lineRule="auto"/>
        <w:ind w:firstLine="720"/>
        <w:jc w:val="both"/>
        <w:rPr>
          <w:rFonts w:cstheme="minorHAnsi"/>
          <w:lang w:val="en-US"/>
        </w:rPr>
      </w:pPr>
      <w:r>
        <w:rPr>
          <w:rFonts w:cstheme="minorHAnsi"/>
          <w:lang w:val="en-US"/>
        </w:rPr>
        <w:t>T</w:t>
      </w:r>
      <w:r w:rsidRPr="00EE690C">
        <w:rPr>
          <w:rFonts w:cstheme="minorHAnsi"/>
          <w:lang w:val="en-US"/>
        </w:rPr>
        <w:t xml:space="preserve">he cells </w:t>
      </w:r>
      <w:r>
        <w:rPr>
          <w:rFonts w:cstheme="minorHAnsi"/>
          <w:lang w:val="en-US"/>
        </w:rPr>
        <w:t xml:space="preserve">were incubated </w:t>
      </w:r>
      <w:r w:rsidRPr="00EE690C">
        <w:rPr>
          <w:rFonts w:cstheme="minorHAnsi"/>
          <w:lang w:val="en-US"/>
        </w:rPr>
        <w:t xml:space="preserve">with the </w:t>
      </w:r>
      <w:r>
        <w:rPr>
          <w:rFonts w:cstheme="minorHAnsi"/>
          <w:lang w:val="en-US"/>
        </w:rPr>
        <w:t xml:space="preserve">MIAT RNAScope </w:t>
      </w:r>
      <w:r w:rsidRPr="00EE690C">
        <w:rPr>
          <w:rFonts w:cstheme="minorHAnsi"/>
          <w:lang w:val="en-US"/>
        </w:rPr>
        <w:t xml:space="preserve">probes </w:t>
      </w:r>
      <w:r>
        <w:rPr>
          <w:rFonts w:cstheme="minorHAnsi"/>
          <w:lang w:val="en-US"/>
        </w:rPr>
        <w:t>(</w:t>
      </w:r>
      <w:r w:rsidRPr="00EE690C">
        <w:rPr>
          <w:rFonts w:cstheme="minorHAnsi"/>
          <w:color w:val="000000"/>
          <w:lang w:val="en-US"/>
        </w:rPr>
        <w:t xml:space="preserve">cat# </w:t>
      </w:r>
      <w:r w:rsidRPr="00B5603F">
        <w:rPr>
          <w:rFonts w:cstheme="minorHAnsi"/>
          <w:color w:val="000000"/>
          <w:lang w:val="en-US"/>
        </w:rPr>
        <w:t>458501</w:t>
      </w:r>
      <w:r>
        <w:rPr>
          <w:rFonts w:cstheme="minorHAnsi"/>
          <w:color w:val="000000"/>
          <w:lang w:val="en-US"/>
        </w:rPr>
        <w:t xml:space="preserve"> </w:t>
      </w:r>
      <w:r>
        <w:rPr>
          <w:rFonts w:cstheme="minorHAnsi"/>
          <w:lang w:val="en-US"/>
        </w:rPr>
        <w:t xml:space="preserve">) </w:t>
      </w:r>
      <w:r w:rsidRPr="00EE690C">
        <w:rPr>
          <w:rFonts w:cstheme="minorHAnsi"/>
          <w:lang w:val="en-US"/>
        </w:rPr>
        <w:t>at 40</w:t>
      </w:r>
      <w:r w:rsidRPr="00096248">
        <w:rPr>
          <w:rFonts w:cstheme="minorHAnsi"/>
          <w:lang w:val="en-US"/>
        </w:rPr>
        <w:t>°</w:t>
      </w:r>
      <w:r w:rsidRPr="00EE690C">
        <w:rPr>
          <w:rFonts w:cstheme="minorHAnsi"/>
          <w:lang w:val="en-US"/>
        </w:rPr>
        <w:t xml:space="preserve"> C for</w:t>
      </w:r>
      <w:r>
        <w:rPr>
          <w:rFonts w:cstheme="minorHAnsi"/>
          <w:lang w:val="en-US"/>
        </w:rPr>
        <w:t xml:space="preserve"> 2 h. </w:t>
      </w:r>
      <w:r w:rsidRPr="00EE690C">
        <w:rPr>
          <w:rFonts w:cstheme="minorHAnsi"/>
          <w:lang w:val="en-US"/>
        </w:rPr>
        <w:t xml:space="preserve">2-4 drops of the probes </w:t>
      </w:r>
      <w:r>
        <w:rPr>
          <w:rFonts w:cstheme="minorHAnsi"/>
          <w:lang w:val="en-US"/>
        </w:rPr>
        <w:t xml:space="preserve">were added </w:t>
      </w:r>
      <w:r w:rsidRPr="00EE690C">
        <w:rPr>
          <w:rFonts w:cstheme="minorHAnsi"/>
          <w:lang w:val="en-US"/>
        </w:rPr>
        <w:t xml:space="preserve">so that </w:t>
      </w:r>
      <w:r>
        <w:rPr>
          <w:rFonts w:cstheme="minorHAnsi"/>
          <w:lang w:val="en-US"/>
        </w:rPr>
        <w:t>they</w:t>
      </w:r>
      <w:r w:rsidRPr="00EE690C">
        <w:rPr>
          <w:rFonts w:cstheme="minorHAnsi"/>
          <w:lang w:val="en-US"/>
        </w:rPr>
        <w:t xml:space="preserve"> completely cover</w:t>
      </w:r>
      <w:r>
        <w:rPr>
          <w:rFonts w:cstheme="minorHAnsi"/>
          <w:lang w:val="en-US"/>
        </w:rPr>
        <w:t>ed</w:t>
      </w:r>
      <w:r w:rsidRPr="00EE690C">
        <w:rPr>
          <w:rFonts w:cstheme="minorHAnsi"/>
          <w:lang w:val="en-US"/>
        </w:rPr>
        <w:t xml:space="preserve"> the coverslip. </w:t>
      </w:r>
      <w:r>
        <w:rPr>
          <w:rFonts w:cstheme="minorHAnsi"/>
          <w:lang w:val="en-US"/>
        </w:rPr>
        <w:t>The cells were w</w:t>
      </w:r>
      <w:r w:rsidRPr="00EE690C">
        <w:rPr>
          <w:rFonts w:cstheme="minorHAnsi"/>
          <w:lang w:val="en-US"/>
        </w:rPr>
        <w:t>ash</w:t>
      </w:r>
      <w:r>
        <w:rPr>
          <w:rFonts w:cstheme="minorHAnsi"/>
          <w:lang w:val="en-US"/>
        </w:rPr>
        <w:t>ed</w:t>
      </w:r>
      <w:r w:rsidRPr="00EE690C">
        <w:rPr>
          <w:rFonts w:cstheme="minorHAnsi"/>
          <w:lang w:val="en-US"/>
        </w:rPr>
        <w:t xml:space="preserve"> with wash buffer provided in the ki</w:t>
      </w:r>
      <w:r>
        <w:rPr>
          <w:rFonts w:cstheme="minorHAnsi"/>
          <w:lang w:val="en-US"/>
        </w:rPr>
        <w:t>t</w:t>
      </w:r>
      <w:r w:rsidRPr="00EE690C">
        <w:rPr>
          <w:rFonts w:cstheme="minorHAnsi"/>
          <w:lang w:val="en-US"/>
        </w:rPr>
        <w:t>.</w:t>
      </w:r>
      <w:r>
        <w:rPr>
          <w:rFonts w:cstheme="minorHAnsi"/>
          <w:lang w:val="en-US"/>
        </w:rPr>
        <w:t xml:space="preserve"> Probes were h</w:t>
      </w:r>
      <w:r w:rsidRPr="00EE690C">
        <w:rPr>
          <w:rFonts w:cstheme="minorHAnsi"/>
          <w:lang w:val="en-US"/>
        </w:rPr>
        <w:t>ybridize</w:t>
      </w:r>
      <w:r>
        <w:rPr>
          <w:rFonts w:cstheme="minorHAnsi"/>
          <w:lang w:val="en-US"/>
        </w:rPr>
        <w:t>d</w:t>
      </w:r>
      <w:r w:rsidRPr="00EE690C">
        <w:rPr>
          <w:rFonts w:cstheme="minorHAnsi"/>
          <w:lang w:val="en-US"/>
        </w:rPr>
        <w:t xml:space="preserve"> </w:t>
      </w:r>
      <w:r>
        <w:rPr>
          <w:rFonts w:cstheme="minorHAnsi"/>
          <w:lang w:val="en-US"/>
        </w:rPr>
        <w:t xml:space="preserve">in </w:t>
      </w:r>
      <w:r w:rsidRPr="00EE690C">
        <w:rPr>
          <w:rFonts w:cstheme="minorHAnsi"/>
          <w:lang w:val="en-US"/>
        </w:rPr>
        <w:t xml:space="preserve">AMP1 </w:t>
      </w:r>
      <w:r>
        <w:rPr>
          <w:rFonts w:cstheme="minorHAnsi"/>
          <w:lang w:val="en-US"/>
        </w:rPr>
        <w:t xml:space="preserve">(RNAScope Kit) </w:t>
      </w:r>
      <w:r w:rsidRPr="00EE690C">
        <w:rPr>
          <w:rFonts w:cstheme="minorHAnsi"/>
          <w:lang w:val="en-US"/>
        </w:rPr>
        <w:t>for 30 min at 40</w:t>
      </w:r>
      <w:r w:rsidRPr="00096248">
        <w:rPr>
          <w:rFonts w:cstheme="minorHAnsi"/>
          <w:lang w:val="en-US"/>
        </w:rPr>
        <w:t>°</w:t>
      </w:r>
      <w:r w:rsidRPr="00EE690C">
        <w:rPr>
          <w:rFonts w:cstheme="minorHAnsi"/>
          <w:lang w:val="en-US"/>
        </w:rPr>
        <w:t xml:space="preserve"> C, and then </w:t>
      </w:r>
      <w:r>
        <w:rPr>
          <w:rFonts w:cstheme="minorHAnsi"/>
          <w:lang w:val="en-US"/>
        </w:rPr>
        <w:t xml:space="preserve">the cells were </w:t>
      </w:r>
      <w:r w:rsidRPr="00EE690C">
        <w:rPr>
          <w:rFonts w:cstheme="minorHAnsi"/>
          <w:lang w:val="en-US"/>
        </w:rPr>
        <w:t>wash</w:t>
      </w:r>
      <w:r>
        <w:rPr>
          <w:rFonts w:cstheme="minorHAnsi"/>
          <w:lang w:val="en-US"/>
        </w:rPr>
        <w:t>ed</w:t>
      </w:r>
      <w:r w:rsidRPr="00EE690C">
        <w:rPr>
          <w:rFonts w:cstheme="minorHAnsi"/>
          <w:lang w:val="en-US"/>
        </w:rPr>
        <w:t xml:space="preserve"> with </w:t>
      </w:r>
      <w:r>
        <w:rPr>
          <w:rFonts w:cstheme="minorHAnsi"/>
          <w:lang w:val="en-US"/>
        </w:rPr>
        <w:t xml:space="preserve">the </w:t>
      </w:r>
      <w:r w:rsidRPr="00EE690C">
        <w:rPr>
          <w:rFonts w:cstheme="minorHAnsi"/>
          <w:lang w:val="en-US"/>
        </w:rPr>
        <w:t>wash buffer</w:t>
      </w:r>
      <w:r>
        <w:rPr>
          <w:rFonts w:cstheme="minorHAnsi"/>
          <w:lang w:val="en-US"/>
        </w:rPr>
        <w:t>. The procedure was repeated</w:t>
      </w:r>
      <w:r w:rsidRPr="00EE690C">
        <w:rPr>
          <w:rFonts w:cstheme="minorHAnsi"/>
          <w:lang w:val="en-US"/>
        </w:rPr>
        <w:t xml:space="preserve"> with AMP2 and AMP3, </w:t>
      </w:r>
      <w:r>
        <w:rPr>
          <w:rFonts w:cstheme="minorHAnsi"/>
          <w:lang w:val="en-US"/>
        </w:rPr>
        <w:t xml:space="preserve">where </w:t>
      </w:r>
      <w:r w:rsidRPr="00EE690C">
        <w:rPr>
          <w:rFonts w:cstheme="minorHAnsi"/>
          <w:lang w:val="en-US"/>
        </w:rPr>
        <w:t xml:space="preserve">the incubation time </w:t>
      </w:r>
      <w:r>
        <w:rPr>
          <w:rFonts w:cstheme="minorHAnsi"/>
          <w:lang w:val="en-US"/>
        </w:rPr>
        <w:t>with AMP3 wa</w:t>
      </w:r>
      <w:r w:rsidRPr="00EE690C">
        <w:rPr>
          <w:rFonts w:cstheme="minorHAnsi"/>
          <w:lang w:val="en-US"/>
        </w:rPr>
        <w:t xml:space="preserve">s 15 min, followed by washing with wash buffer for 2 min. </w:t>
      </w:r>
      <w:r>
        <w:rPr>
          <w:rFonts w:cstheme="minorHAnsi"/>
          <w:lang w:val="en-US"/>
        </w:rPr>
        <w:t xml:space="preserve">For </w:t>
      </w:r>
      <w:r w:rsidRPr="00EE690C">
        <w:rPr>
          <w:rFonts w:cstheme="minorHAnsi"/>
          <w:lang w:val="en-US"/>
        </w:rPr>
        <w:t xml:space="preserve">development of the HRP-C1 signal, the wash buffer </w:t>
      </w:r>
      <w:r>
        <w:rPr>
          <w:rFonts w:cstheme="minorHAnsi"/>
          <w:lang w:val="en-US"/>
        </w:rPr>
        <w:t xml:space="preserve">was removed. The cells were </w:t>
      </w:r>
      <w:r w:rsidRPr="00EE690C">
        <w:rPr>
          <w:rFonts w:cstheme="minorHAnsi"/>
          <w:lang w:val="en-US"/>
        </w:rPr>
        <w:t>incubate</w:t>
      </w:r>
      <w:r>
        <w:rPr>
          <w:rFonts w:cstheme="minorHAnsi"/>
          <w:lang w:val="en-US"/>
        </w:rPr>
        <w:t>d</w:t>
      </w:r>
      <w:r w:rsidRPr="00EE690C">
        <w:rPr>
          <w:rFonts w:cstheme="minorHAnsi"/>
          <w:lang w:val="en-US"/>
        </w:rPr>
        <w:t xml:space="preserve"> with RNA</w:t>
      </w:r>
      <w:r>
        <w:rPr>
          <w:rFonts w:cstheme="minorHAnsi"/>
          <w:lang w:val="en-US"/>
        </w:rPr>
        <w:t>S</w:t>
      </w:r>
      <w:r w:rsidRPr="00EE690C">
        <w:rPr>
          <w:rFonts w:cstheme="minorHAnsi"/>
          <w:lang w:val="en-US"/>
        </w:rPr>
        <w:t>cope</w:t>
      </w:r>
      <w:r w:rsidRPr="00EE690C">
        <w:rPr>
          <w:rFonts w:cstheme="minorHAnsi"/>
          <w:position w:val="8"/>
          <w:lang w:val="en-US"/>
        </w:rPr>
        <w:t xml:space="preserve">® </w:t>
      </w:r>
      <w:r w:rsidRPr="00EE690C">
        <w:rPr>
          <w:rFonts w:cstheme="minorHAnsi"/>
          <w:lang w:val="en-US"/>
        </w:rPr>
        <w:t>Multiplex FL v2 HRP-C1 for 15 min at 40</w:t>
      </w:r>
      <w:r w:rsidRPr="00096248">
        <w:rPr>
          <w:rFonts w:cstheme="minorHAnsi"/>
          <w:lang w:val="en-US"/>
        </w:rPr>
        <w:t>°</w:t>
      </w:r>
      <w:r w:rsidRPr="00EE690C">
        <w:rPr>
          <w:rFonts w:cstheme="minorHAnsi"/>
          <w:lang w:val="en-US"/>
        </w:rPr>
        <w:t xml:space="preserve"> C. </w:t>
      </w:r>
      <w:r>
        <w:rPr>
          <w:rFonts w:cstheme="minorHAnsi"/>
          <w:lang w:val="en-US"/>
        </w:rPr>
        <w:t xml:space="preserve">After 2x washing the </w:t>
      </w:r>
      <w:r w:rsidRPr="00EE690C">
        <w:rPr>
          <w:rFonts w:cstheme="minorHAnsi"/>
          <w:lang w:val="en-US"/>
        </w:rPr>
        <w:t>cells at RT for 2 min</w:t>
      </w:r>
      <w:r>
        <w:rPr>
          <w:rFonts w:cstheme="minorHAnsi"/>
          <w:lang w:val="en-US"/>
        </w:rPr>
        <w:t>, the cells were</w:t>
      </w:r>
      <w:r w:rsidRPr="00EE690C">
        <w:rPr>
          <w:rFonts w:cstheme="minorHAnsi"/>
          <w:lang w:val="en-US"/>
        </w:rPr>
        <w:t xml:space="preserve"> incubate</w:t>
      </w:r>
      <w:r>
        <w:rPr>
          <w:rFonts w:cstheme="minorHAnsi"/>
          <w:lang w:val="en-US"/>
        </w:rPr>
        <w:t>d</w:t>
      </w:r>
      <w:r w:rsidRPr="00EE690C">
        <w:rPr>
          <w:rFonts w:cstheme="minorHAnsi"/>
          <w:lang w:val="en-US"/>
        </w:rPr>
        <w:t xml:space="preserve"> with diluted TSA plus fluorescein (Perkin Elmer) for 30 min at 40</w:t>
      </w:r>
      <w:r w:rsidRPr="00096248">
        <w:rPr>
          <w:rFonts w:cstheme="minorHAnsi"/>
          <w:lang w:val="en-US"/>
        </w:rPr>
        <w:t>°</w:t>
      </w:r>
      <w:r w:rsidRPr="00EE690C">
        <w:rPr>
          <w:rFonts w:cstheme="minorHAnsi"/>
          <w:vertAlign w:val="superscript"/>
          <w:lang w:val="en-US"/>
        </w:rPr>
        <w:t xml:space="preserve"> </w:t>
      </w:r>
      <w:r w:rsidRPr="00EE690C">
        <w:rPr>
          <w:rFonts w:cstheme="minorHAnsi"/>
          <w:lang w:val="en-US"/>
        </w:rPr>
        <w:t xml:space="preserve">C. </w:t>
      </w:r>
    </w:p>
    <w:p w14:paraId="64CAAF3E" w14:textId="279161AC" w:rsidR="002D4615" w:rsidRDefault="002D4615" w:rsidP="00031A08">
      <w:pPr>
        <w:pStyle w:val="NormalWeb"/>
        <w:spacing w:before="240" w:after="240" w:line="480" w:lineRule="auto"/>
        <w:textAlignment w:val="baseline"/>
        <w:rPr>
          <w:rFonts w:asciiTheme="minorHAnsi" w:hAnsiTheme="minorHAnsi" w:cstheme="minorHAnsi"/>
          <w:lang w:val="en-US"/>
        </w:rPr>
      </w:pPr>
      <w:r>
        <w:rPr>
          <w:rFonts w:asciiTheme="minorHAnsi" w:hAnsiTheme="minorHAnsi" w:cstheme="minorHAnsi"/>
          <w:lang w:val="en-US"/>
        </w:rPr>
        <w:t xml:space="preserve">After washing the </w:t>
      </w:r>
      <w:r w:rsidRPr="00EE690C">
        <w:rPr>
          <w:rFonts w:asciiTheme="minorHAnsi" w:hAnsiTheme="minorHAnsi" w:cstheme="minorHAnsi"/>
          <w:lang w:val="en-US"/>
        </w:rPr>
        <w:t xml:space="preserve">cells </w:t>
      </w:r>
      <w:r>
        <w:rPr>
          <w:rFonts w:asciiTheme="minorHAnsi" w:hAnsiTheme="minorHAnsi" w:cstheme="minorHAnsi"/>
          <w:lang w:val="en-US"/>
        </w:rPr>
        <w:t xml:space="preserve">twice </w:t>
      </w:r>
      <w:r w:rsidRPr="00EE690C">
        <w:rPr>
          <w:rFonts w:asciiTheme="minorHAnsi" w:hAnsiTheme="minorHAnsi" w:cstheme="minorHAnsi"/>
          <w:lang w:val="en-US"/>
        </w:rPr>
        <w:t>with wash buffer at RT for 2 min</w:t>
      </w:r>
      <w:r>
        <w:rPr>
          <w:rFonts w:asciiTheme="minorHAnsi" w:hAnsiTheme="minorHAnsi" w:cstheme="minorHAnsi"/>
          <w:lang w:val="en-US"/>
        </w:rPr>
        <w:t xml:space="preserve">, the cells were </w:t>
      </w:r>
      <w:r w:rsidRPr="00EE690C">
        <w:rPr>
          <w:rFonts w:asciiTheme="minorHAnsi" w:hAnsiTheme="minorHAnsi" w:cstheme="minorHAnsi"/>
          <w:lang w:val="en-US"/>
        </w:rPr>
        <w:t>incubate</w:t>
      </w:r>
      <w:r>
        <w:rPr>
          <w:rFonts w:asciiTheme="minorHAnsi" w:hAnsiTheme="minorHAnsi" w:cstheme="minorHAnsi"/>
          <w:lang w:val="en-US"/>
        </w:rPr>
        <w:t>d</w:t>
      </w:r>
      <w:r w:rsidRPr="00EE690C">
        <w:rPr>
          <w:rFonts w:asciiTheme="minorHAnsi" w:hAnsiTheme="minorHAnsi" w:cstheme="minorHAnsi"/>
          <w:lang w:val="en-US"/>
        </w:rPr>
        <w:t xml:space="preserve"> with RNA</w:t>
      </w:r>
      <w:r w:rsidR="00B07005">
        <w:rPr>
          <w:rFonts w:asciiTheme="minorHAnsi" w:hAnsiTheme="minorHAnsi" w:cstheme="minorHAnsi"/>
          <w:lang w:val="en-US"/>
        </w:rPr>
        <w:t>S</w:t>
      </w:r>
      <w:r w:rsidRPr="00EE690C">
        <w:rPr>
          <w:rFonts w:asciiTheme="minorHAnsi" w:hAnsiTheme="minorHAnsi" w:cstheme="minorHAnsi"/>
          <w:lang w:val="en-US"/>
        </w:rPr>
        <w:t>cope</w:t>
      </w:r>
      <w:r w:rsidRPr="00EE690C">
        <w:rPr>
          <w:rFonts w:asciiTheme="minorHAnsi" w:hAnsiTheme="minorHAnsi" w:cstheme="minorHAnsi"/>
          <w:position w:val="8"/>
          <w:lang w:val="en-US"/>
        </w:rPr>
        <w:t xml:space="preserve">® </w:t>
      </w:r>
      <w:r w:rsidRPr="00EE690C">
        <w:rPr>
          <w:rFonts w:asciiTheme="minorHAnsi" w:hAnsiTheme="minorHAnsi" w:cstheme="minorHAnsi"/>
          <w:lang w:val="en-US"/>
        </w:rPr>
        <w:t>Multiplex FL v2 HRP blocker for 15 min at 40</w:t>
      </w:r>
      <w:r w:rsidRPr="00096248">
        <w:rPr>
          <w:rFonts w:asciiTheme="minorHAnsi" w:eastAsiaTheme="minorHAnsi" w:hAnsiTheme="minorHAnsi" w:cstheme="minorHAnsi"/>
          <w:lang w:val="en-US"/>
        </w:rPr>
        <w:t>°</w:t>
      </w:r>
      <w:r w:rsidRPr="00EE690C">
        <w:rPr>
          <w:rFonts w:asciiTheme="minorHAnsi" w:hAnsiTheme="minorHAnsi" w:cstheme="minorHAnsi"/>
          <w:lang w:val="en-US"/>
        </w:rPr>
        <w:t xml:space="preserve">C </w:t>
      </w:r>
      <w:r>
        <w:rPr>
          <w:rFonts w:asciiTheme="minorHAnsi" w:hAnsiTheme="minorHAnsi" w:cstheme="minorHAnsi"/>
          <w:lang w:val="en-US"/>
        </w:rPr>
        <w:t>followed by two washes with wash buffer</w:t>
      </w:r>
      <w:r w:rsidRPr="00EE690C">
        <w:rPr>
          <w:rFonts w:asciiTheme="minorHAnsi" w:hAnsiTheme="minorHAnsi" w:cstheme="minorHAnsi"/>
          <w:lang w:val="en-US"/>
        </w:rPr>
        <w:t xml:space="preserve">. The cells were then mounted using a </w:t>
      </w:r>
      <w:proofErr w:type="spellStart"/>
      <w:r w:rsidRPr="00EE690C">
        <w:rPr>
          <w:rFonts w:asciiTheme="minorHAnsi" w:hAnsiTheme="minorHAnsi" w:cstheme="minorHAnsi"/>
          <w:lang w:val="en-US"/>
        </w:rPr>
        <w:t>Vecta</w:t>
      </w:r>
      <w:proofErr w:type="spellEnd"/>
      <w:r w:rsidRPr="00EE690C">
        <w:rPr>
          <w:rFonts w:asciiTheme="minorHAnsi" w:hAnsiTheme="minorHAnsi" w:cstheme="minorHAnsi"/>
          <w:lang w:val="en-US"/>
        </w:rPr>
        <w:t xml:space="preserve"> shield DAPI hard-set mounting </w:t>
      </w:r>
      <w:r w:rsidRPr="00EE690C">
        <w:rPr>
          <w:rFonts w:asciiTheme="minorHAnsi" w:hAnsiTheme="minorHAnsi" w:cstheme="minorHAnsi"/>
          <w:lang w:val="en-US"/>
        </w:rPr>
        <w:lastRenderedPageBreak/>
        <w:t>media</w:t>
      </w:r>
      <w:r w:rsidR="000A5083">
        <w:rPr>
          <w:rFonts w:asciiTheme="minorHAnsi" w:hAnsiTheme="minorHAnsi" w:cstheme="minorHAnsi"/>
          <w:lang w:val="en-US"/>
        </w:rPr>
        <w:t xml:space="preserve"> </w:t>
      </w:r>
      <w:r w:rsidR="000A5083" w:rsidRPr="000A5083">
        <w:rPr>
          <w:rFonts w:asciiTheme="minorHAnsi" w:hAnsiTheme="minorHAnsi" w:cstheme="minorHAnsi"/>
          <w:lang w:val="en-US"/>
        </w:rPr>
        <w:t>(cat# H-1500)</w:t>
      </w:r>
      <w:r w:rsidRPr="00EE690C">
        <w:rPr>
          <w:rFonts w:asciiTheme="minorHAnsi" w:hAnsiTheme="minorHAnsi" w:cstheme="minorHAnsi"/>
          <w:lang w:val="en-US"/>
        </w:rPr>
        <w:t xml:space="preserve">. </w:t>
      </w:r>
      <w:r w:rsidRPr="00382063">
        <w:rPr>
          <w:rFonts w:asciiTheme="minorHAnsi" w:eastAsia="Times New Roman" w:hAnsiTheme="minorHAnsi" w:cstheme="minorHAnsi"/>
          <w:color w:val="000000"/>
          <w:szCs w:val="18"/>
          <w:lang w:val="en-US" w:eastAsia="en-US"/>
        </w:rPr>
        <w:t>RNA</w:t>
      </w:r>
      <w:r w:rsidR="00B07005">
        <w:rPr>
          <w:rFonts w:asciiTheme="minorHAnsi" w:eastAsia="Times New Roman" w:hAnsiTheme="minorHAnsi" w:cstheme="minorHAnsi"/>
          <w:color w:val="000000"/>
          <w:szCs w:val="18"/>
          <w:lang w:val="en-US" w:eastAsia="en-US"/>
        </w:rPr>
        <w:t>S</w:t>
      </w:r>
      <w:r w:rsidRPr="00382063">
        <w:rPr>
          <w:rFonts w:asciiTheme="minorHAnsi" w:eastAsia="Times New Roman" w:hAnsiTheme="minorHAnsi" w:cstheme="minorHAnsi"/>
          <w:color w:val="000000"/>
          <w:szCs w:val="18"/>
          <w:lang w:val="en-US" w:eastAsia="en-US"/>
        </w:rPr>
        <w:t xml:space="preserve">cope images were acquired with a 3i Marianas Spinning disk confocal microscope, fitted with Yokogawa CSU-W1 scanner on an inverted Zeiss </w:t>
      </w:r>
      <w:proofErr w:type="spellStart"/>
      <w:r w:rsidRPr="00382063">
        <w:rPr>
          <w:rFonts w:asciiTheme="minorHAnsi" w:eastAsia="Times New Roman" w:hAnsiTheme="minorHAnsi" w:cstheme="minorHAnsi"/>
          <w:color w:val="000000"/>
          <w:szCs w:val="18"/>
          <w:lang w:val="en-US" w:eastAsia="en-US"/>
        </w:rPr>
        <w:t>Axio</w:t>
      </w:r>
      <w:proofErr w:type="spellEnd"/>
      <w:r w:rsidRPr="00382063">
        <w:rPr>
          <w:rFonts w:asciiTheme="minorHAnsi" w:eastAsia="Times New Roman" w:hAnsiTheme="minorHAnsi" w:cstheme="minorHAnsi"/>
          <w:color w:val="000000"/>
          <w:szCs w:val="18"/>
          <w:lang w:val="en-US" w:eastAsia="en-US"/>
        </w:rPr>
        <w:t xml:space="preserve"> Observer Z1 microscope controlled by </w:t>
      </w:r>
      <w:proofErr w:type="spellStart"/>
      <w:r w:rsidRPr="00382063">
        <w:rPr>
          <w:rFonts w:asciiTheme="minorHAnsi" w:eastAsia="Times New Roman" w:hAnsiTheme="minorHAnsi" w:cstheme="minorHAnsi"/>
          <w:color w:val="000000"/>
          <w:szCs w:val="18"/>
          <w:lang w:val="en-US" w:eastAsia="en-US"/>
        </w:rPr>
        <w:t>SlideBook</w:t>
      </w:r>
      <w:proofErr w:type="spellEnd"/>
      <w:r w:rsidRPr="00382063">
        <w:rPr>
          <w:rFonts w:asciiTheme="minorHAnsi" w:eastAsia="Times New Roman" w:hAnsiTheme="minorHAnsi" w:cstheme="minorHAnsi"/>
          <w:color w:val="000000"/>
          <w:szCs w:val="18"/>
          <w:lang w:val="en-US" w:eastAsia="en-US"/>
        </w:rPr>
        <w:t xml:space="preserve"> 6 (Intelligent Imaging Innovations), ORCA- Flash4.0 v2 </w:t>
      </w:r>
      <w:proofErr w:type="spellStart"/>
      <w:r w:rsidRPr="00382063">
        <w:rPr>
          <w:rFonts w:asciiTheme="minorHAnsi" w:eastAsia="Times New Roman" w:hAnsiTheme="minorHAnsi" w:cstheme="minorHAnsi"/>
          <w:color w:val="000000"/>
          <w:szCs w:val="18"/>
          <w:lang w:val="en-US" w:eastAsia="en-US"/>
        </w:rPr>
        <w:t>sCMOS</w:t>
      </w:r>
      <w:proofErr w:type="spellEnd"/>
      <w:r w:rsidRPr="00382063">
        <w:rPr>
          <w:rFonts w:asciiTheme="minorHAnsi" w:eastAsia="Times New Roman" w:hAnsiTheme="minorHAnsi" w:cstheme="minorHAnsi"/>
          <w:color w:val="000000"/>
          <w:szCs w:val="18"/>
          <w:lang w:val="en-US" w:eastAsia="en-US"/>
        </w:rPr>
        <w:t xml:space="preserve"> Camera (Hamamatsu Photonics), and a Plan Apochromat 100×1.4 NA oil objective.</w:t>
      </w:r>
      <w:r>
        <w:rPr>
          <w:rFonts w:asciiTheme="minorHAnsi" w:hAnsiTheme="minorHAnsi" w:cstheme="minorHAnsi"/>
          <w:lang w:val="en-US"/>
        </w:rPr>
        <w:t xml:space="preserve"> </w:t>
      </w:r>
      <w:r w:rsidR="00031A08" w:rsidRPr="00C1278F">
        <w:rPr>
          <w:rFonts w:asciiTheme="minorHAnsi" w:hAnsiTheme="minorHAnsi" w:cstheme="minorHAnsi"/>
        </w:rPr>
        <w:t>The number of cells in each image varied between 7 to 37 and, we have quantified 482 cells in Th0 condition and 554 cells in Th17 condition of all the three replicates</w:t>
      </w:r>
      <w:r w:rsidR="00031A08">
        <w:rPr>
          <w:rFonts w:asciiTheme="minorHAnsi" w:hAnsiTheme="minorHAnsi" w:cstheme="minorHAnsi"/>
        </w:rPr>
        <w:t>, in each replicate there were 10 images acquired</w:t>
      </w:r>
      <w:r w:rsidR="00031A08" w:rsidRPr="00C1278F">
        <w:rPr>
          <w:rFonts w:asciiTheme="minorHAnsi" w:hAnsiTheme="minorHAnsi" w:cstheme="minorHAnsi"/>
        </w:rPr>
        <w:t xml:space="preserve">.  </w:t>
      </w:r>
      <w:r w:rsidR="00DB2703" w:rsidRPr="00DB2703">
        <w:rPr>
          <w:rFonts w:asciiTheme="minorHAnsi" w:hAnsiTheme="minorHAnsi" w:cstheme="minorHAnsi"/>
          <w:lang w:val="en-US"/>
        </w:rPr>
        <w:t xml:space="preserve">The imaging was performed after 24 hours of culturing in Th0 and Th17 polarizing conditions. </w:t>
      </w:r>
      <w:proofErr w:type="spellStart"/>
      <w:r w:rsidR="00DB2703" w:rsidRPr="00DB2703">
        <w:rPr>
          <w:rFonts w:asciiTheme="minorHAnsi" w:hAnsiTheme="minorHAnsi" w:cstheme="minorHAnsi"/>
          <w:lang w:val="en-US"/>
        </w:rPr>
        <w:t>RNA</w:t>
      </w:r>
      <w:r w:rsidR="009A4C3A">
        <w:rPr>
          <w:rFonts w:asciiTheme="minorHAnsi" w:hAnsiTheme="minorHAnsi" w:cstheme="minorHAnsi"/>
          <w:lang w:val="en-US"/>
        </w:rPr>
        <w:t>S</w:t>
      </w:r>
      <w:r w:rsidR="00DB2703" w:rsidRPr="00DB2703">
        <w:rPr>
          <w:rFonts w:asciiTheme="minorHAnsi" w:hAnsiTheme="minorHAnsi" w:cstheme="minorHAnsi"/>
          <w:lang w:val="en-US"/>
        </w:rPr>
        <w:t>cope</w:t>
      </w:r>
      <w:proofErr w:type="spellEnd"/>
      <w:r w:rsidR="00DB2703" w:rsidRPr="00DB2703">
        <w:rPr>
          <w:rFonts w:asciiTheme="minorHAnsi" w:hAnsiTheme="minorHAnsi" w:cstheme="minorHAnsi"/>
          <w:lang w:val="en-US"/>
        </w:rPr>
        <w:t xml:space="preserve"> data is </w:t>
      </w:r>
      <w:proofErr w:type="spellStart"/>
      <w:r w:rsidR="00DB2703" w:rsidRPr="00DB2703">
        <w:rPr>
          <w:rFonts w:asciiTheme="minorHAnsi" w:hAnsiTheme="minorHAnsi" w:cstheme="minorHAnsi"/>
          <w:lang w:val="en-US"/>
        </w:rPr>
        <w:t>analysed</w:t>
      </w:r>
      <w:proofErr w:type="spellEnd"/>
      <w:r w:rsidR="00DB2703" w:rsidRPr="00DB2703">
        <w:rPr>
          <w:rFonts w:asciiTheme="minorHAnsi" w:hAnsiTheme="minorHAnsi" w:cstheme="minorHAnsi"/>
          <w:lang w:val="en-US"/>
        </w:rPr>
        <w:t xml:space="preserve"> to plot the number of lncRNA MIAT puncta in each image in Th0 and Th17 conditions of the three replicates. The number of cells and puncta in each image were counted manually</w:t>
      </w:r>
      <w:r w:rsidR="008013D1">
        <w:rPr>
          <w:rFonts w:asciiTheme="minorHAnsi" w:hAnsiTheme="minorHAnsi" w:cstheme="minorHAnsi"/>
          <w:lang w:val="en-US"/>
        </w:rPr>
        <w:t xml:space="preserve"> using imageJ</w:t>
      </w:r>
      <w:r w:rsidR="00DB2703" w:rsidRPr="00DB2703">
        <w:rPr>
          <w:rFonts w:asciiTheme="minorHAnsi" w:hAnsiTheme="minorHAnsi" w:cstheme="minorHAnsi"/>
          <w:lang w:val="en-US"/>
        </w:rPr>
        <w:t xml:space="preserve">. </w:t>
      </w:r>
    </w:p>
    <w:p w14:paraId="759AF369" w14:textId="29565957" w:rsidR="0089566D" w:rsidRPr="0089566D" w:rsidRDefault="0089566D" w:rsidP="00E624A4">
      <w:pPr>
        <w:spacing w:line="480" w:lineRule="auto"/>
        <w:rPr>
          <w:rFonts w:cstheme="minorHAnsi"/>
          <w:b/>
          <w:bCs/>
          <w:color w:val="000000"/>
          <w:lang w:val="en-US"/>
        </w:rPr>
      </w:pPr>
      <w:r w:rsidRPr="00CB4621">
        <w:rPr>
          <w:rFonts w:cstheme="minorHAnsi"/>
          <w:b/>
          <w:bCs/>
          <w:color w:val="000000"/>
          <w:lang w:val="en-US"/>
        </w:rPr>
        <w:t xml:space="preserve">Generating PRKCA in-vitro transcribed </w:t>
      </w:r>
      <w:r w:rsidR="002871A7">
        <w:rPr>
          <w:rFonts w:cstheme="minorHAnsi"/>
          <w:b/>
          <w:bCs/>
          <w:color w:val="000000"/>
          <w:lang w:val="en-US"/>
        </w:rPr>
        <w:t xml:space="preserve">(IVT) </w:t>
      </w:r>
      <w:r w:rsidRPr="00CB4621">
        <w:rPr>
          <w:rFonts w:cstheme="minorHAnsi"/>
          <w:b/>
          <w:bCs/>
          <w:color w:val="000000"/>
          <w:lang w:val="en-US"/>
        </w:rPr>
        <w:t>RNA and its overexpression</w:t>
      </w:r>
    </w:p>
    <w:p w14:paraId="1121DECC" w14:textId="0FEB6D23" w:rsidR="0089566D" w:rsidRPr="00B3708F" w:rsidRDefault="00BC69B8" w:rsidP="00E624A4">
      <w:pPr>
        <w:spacing w:line="480" w:lineRule="auto"/>
        <w:rPr>
          <w:rFonts w:cstheme="minorHAnsi"/>
          <w:color w:val="000000"/>
          <w:lang w:val="en-US"/>
        </w:rPr>
      </w:pPr>
      <w:r>
        <w:rPr>
          <w:rFonts w:cstheme="minorHAnsi"/>
          <w:color w:val="000000"/>
          <w:lang w:val="en-US"/>
        </w:rPr>
        <w:t>T7 promoter containing</w:t>
      </w:r>
      <w:r w:rsidR="00BE4F72">
        <w:rPr>
          <w:rFonts w:cstheme="minorHAnsi"/>
          <w:color w:val="000000"/>
          <w:lang w:val="en-US"/>
        </w:rPr>
        <w:t xml:space="preserve"> </w:t>
      </w:r>
      <w:r w:rsidR="0089566D">
        <w:rPr>
          <w:rFonts w:cstheme="minorHAnsi"/>
          <w:color w:val="000000"/>
          <w:lang w:val="en-US"/>
        </w:rPr>
        <w:t>plasmid</w:t>
      </w:r>
      <w:r>
        <w:rPr>
          <w:rFonts w:cstheme="minorHAnsi"/>
          <w:color w:val="000000"/>
          <w:lang w:val="en-US"/>
        </w:rPr>
        <w:t>s</w:t>
      </w:r>
      <w:r w:rsidR="0089566D">
        <w:rPr>
          <w:rFonts w:cstheme="minorHAnsi"/>
          <w:color w:val="000000"/>
          <w:lang w:val="en-US"/>
        </w:rPr>
        <w:t xml:space="preserve"> containing </w:t>
      </w:r>
      <w:r>
        <w:rPr>
          <w:rFonts w:cstheme="minorHAnsi"/>
          <w:color w:val="000000"/>
          <w:lang w:val="en-US"/>
        </w:rPr>
        <w:t xml:space="preserve">either </w:t>
      </w:r>
      <w:r w:rsidR="0089566D" w:rsidRPr="00B3708F">
        <w:rPr>
          <w:rFonts w:cstheme="minorHAnsi"/>
          <w:color w:val="000000"/>
          <w:lang w:val="en-US"/>
        </w:rPr>
        <w:t>PRKCA ORF</w:t>
      </w:r>
      <w:r>
        <w:rPr>
          <w:rFonts w:cstheme="minorHAnsi"/>
          <w:color w:val="000000"/>
          <w:lang w:val="en-US"/>
        </w:rPr>
        <w:t xml:space="preserve"> (</w:t>
      </w:r>
      <w:r w:rsidR="0089566D">
        <w:rPr>
          <w:rFonts w:cstheme="minorHAnsi"/>
          <w:color w:val="000000"/>
          <w:lang w:val="en-US"/>
        </w:rPr>
        <w:t xml:space="preserve">which was </w:t>
      </w:r>
      <w:r w:rsidR="0089566D" w:rsidRPr="00B3708F">
        <w:rPr>
          <w:rFonts w:cstheme="minorHAnsi"/>
          <w:color w:val="000000"/>
          <w:lang w:val="en-US"/>
        </w:rPr>
        <w:t xml:space="preserve">commercially synthesized by </w:t>
      </w:r>
      <w:proofErr w:type="spellStart"/>
      <w:r w:rsidR="0089566D" w:rsidRPr="00B3708F">
        <w:rPr>
          <w:rFonts w:cstheme="minorHAnsi"/>
          <w:color w:val="000000"/>
          <w:lang w:val="en-US"/>
        </w:rPr>
        <w:t>GeneScript</w:t>
      </w:r>
      <w:proofErr w:type="spellEnd"/>
      <w:r w:rsidR="0089566D" w:rsidRPr="00B3708F">
        <w:rPr>
          <w:rFonts w:cstheme="minorHAnsi"/>
          <w:color w:val="000000"/>
          <w:lang w:val="en-US"/>
        </w:rPr>
        <w:t xml:space="preserve"> where the PRKCA </w:t>
      </w:r>
      <w:r>
        <w:rPr>
          <w:rFonts w:cstheme="minorHAnsi"/>
          <w:color w:val="000000"/>
          <w:lang w:val="en-US"/>
        </w:rPr>
        <w:t xml:space="preserve">ORF sequence </w:t>
      </w:r>
      <w:r w:rsidR="0089566D" w:rsidRPr="00B3708F">
        <w:rPr>
          <w:rFonts w:cstheme="minorHAnsi"/>
          <w:color w:val="000000"/>
          <w:lang w:val="en-US"/>
        </w:rPr>
        <w:t xml:space="preserve">was cloned into </w:t>
      </w:r>
      <w:proofErr w:type="spellStart"/>
      <w:r w:rsidR="0089566D" w:rsidRPr="00B3708F">
        <w:rPr>
          <w:rFonts w:cstheme="minorHAnsi"/>
          <w:color w:val="000000"/>
          <w:lang w:val="en-US"/>
        </w:rPr>
        <w:t>NheI-KpnI</w:t>
      </w:r>
      <w:proofErr w:type="spellEnd"/>
      <w:r w:rsidR="0089566D" w:rsidRPr="00B3708F">
        <w:rPr>
          <w:rFonts w:cstheme="minorHAnsi"/>
          <w:color w:val="000000"/>
          <w:lang w:val="en-US"/>
        </w:rPr>
        <w:t xml:space="preserve"> cloning site of pcDNA3.1(+)</w:t>
      </w:r>
      <w:r>
        <w:rPr>
          <w:rFonts w:cstheme="minorHAnsi"/>
          <w:color w:val="000000"/>
          <w:lang w:val="en-US"/>
        </w:rPr>
        <w:t>), or GFP sequence (e</w:t>
      </w:r>
      <w:r w:rsidRPr="00B3708F">
        <w:rPr>
          <w:rFonts w:cstheme="minorHAnsi"/>
          <w:color w:val="000000"/>
          <w:lang w:val="en-US"/>
        </w:rPr>
        <w:t xml:space="preserve">mpty pGEM-GFP64A </w:t>
      </w:r>
      <w:r>
        <w:rPr>
          <w:rFonts w:cstheme="minorHAnsi"/>
          <w:color w:val="000000"/>
          <w:lang w:val="en-US"/>
        </w:rPr>
        <w:t xml:space="preserve">plasmid) </w:t>
      </w:r>
      <w:r w:rsidR="0089566D" w:rsidRPr="00B3708F">
        <w:rPr>
          <w:rFonts w:cstheme="minorHAnsi"/>
          <w:color w:val="000000"/>
          <w:lang w:val="en-US"/>
        </w:rPr>
        <w:t xml:space="preserve">were used </w:t>
      </w:r>
      <w:r>
        <w:rPr>
          <w:rFonts w:cstheme="minorHAnsi"/>
          <w:color w:val="000000"/>
          <w:lang w:val="en-US"/>
        </w:rPr>
        <w:t xml:space="preserve">as template </w:t>
      </w:r>
      <w:r w:rsidR="002871A7">
        <w:rPr>
          <w:rFonts w:cstheme="minorHAnsi"/>
          <w:color w:val="000000"/>
          <w:lang w:val="en-US"/>
        </w:rPr>
        <w:t xml:space="preserve">in the IVT reaction for generating PRKCA or GFP mRNAs, respectively. </w:t>
      </w:r>
      <w:r w:rsidR="0089566D" w:rsidRPr="00B3708F">
        <w:rPr>
          <w:rFonts w:cstheme="minorHAnsi"/>
          <w:color w:val="000000"/>
          <w:lang w:val="en-US"/>
        </w:rPr>
        <w:t>Plasmids were first linearized using restriction digestion enzymes</w:t>
      </w:r>
      <w:r w:rsidR="0089566D">
        <w:rPr>
          <w:rFonts w:cstheme="minorHAnsi"/>
          <w:color w:val="000000"/>
          <w:lang w:val="en-US"/>
        </w:rPr>
        <w:t>:</w:t>
      </w:r>
      <w:r w:rsidR="0089566D" w:rsidRPr="00B3708F">
        <w:rPr>
          <w:rFonts w:cstheme="minorHAnsi"/>
          <w:color w:val="000000"/>
          <w:lang w:val="en-US"/>
        </w:rPr>
        <w:t xml:space="preserve"> spe1 (NEB, Cat. no. R0133) was used for GFP and E</w:t>
      </w:r>
      <w:r w:rsidR="0089566D">
        <w:rPr>
          <w:rFonts w:cstheme="minorHAnsi"/>
          <w:color w:val="000000"/>
          <w:lang w:val="en-US"/>
        </w:rPr>
        <w:t>co</w:t>
      </w:r>
      <w:r w:rsidR="0089566D" w:rsidRPr="00B3708F">
        <w:rPr>
          <w:rFonts w:cstheme="minorHAnsi"/>
          <w:color w:val="000000"/>
          <w:lang w:val="en-US"/>
        </w:rPr>
        <w:t xml:space="preserve">R1 </w:t>
      </w:r>
      <w:r w:rsidR="0089566D">
        <w:rPr>
          <w:rFonts w:cstheme="minorHAnsi"/>
          <w:color w:val="000000"/>
          <w:lang w:val="en-US"/>
        </w:rPr>
        <w:t>(</w:t>
      </w:r>
      <w:r w:rsidR="002C08B2">
        <w:rPr>
          <w:rFonts w:cstheme="minorHAnsi"/>
          <w:color w:val="000000"/>
          <w:lang w:val="en-US"/>
        </w:rPr>
        <w:t>NEB Cat.</w:t>
      </w:r>
      <w:r w:rsidR="00A1004C">
        <w:rPr>
          <w:rFonts w:cstheme="minorHAnsi"/>
          <w:color w:val="000000"/>
          <w:lang w:val="en-US"/>
        </w:rPr>
        <w:t xml:space="preserve"> no.</w:t>
      </w:r>
      <w:r w:rsidR="002C08B2">
        <w:rPr>
          <w:rFonts w:cstheme="minorHAnsi"/>
          <w:color w:val="000000"/>
          <w:lang w:val="en-US"/>
        </w:rPr>
        <w:t xml:space="preserve"> R0101</w:t>
      </w:r>
      <w:r w:rsidR="0089566D">
        <w:rPr>
          <w:rFonts w:cstheme="minorHAnsi"/>
          <w:color w:val="000000"/>
          <w:lang w:val="en-US"/>
        </w:rPr>
        <w:t xml:space="preserve"> )</w:t>
      </w:r>
      <w:r w:rsidR="001802CD">
        <w:rPr>
          <w:rFonts w:cstheme="minorHAnsi"/>
          <w:color w:val="000000"/>
          <w:lang w:val="en-US"/>
        </w:rPr>
        <w:t xml:space="preserve"> </w:t>
      </w:r>
      <w:r w:rsidR="0089566D" w:rsidRPr="00B3708F">
        <w:rPr>
          <w:rFonts w:cstheme="minorHAnsi"/>
          <w:color w:val="000000"/>
          <w:lang w:val="en-US"/>
        </w:rPr>
        <w:t xml:space="preserve">for the PRKCA plasmid. In the following step, IVT RNA was generated using </w:t>
      </w:r>
      <w:r w:rsidR="0051796C">
        <w:rPr>
          <w:rFonts w:cstheme="minorHAnsi"/>
          <w:color w:val="000000"/>
          <w:lang w:val="en-US"/>
        </w:rPr>
        <w:t xml:space="preserve">T7 </w:t>
      </w:r>
      <w:proofErr w:type="spellStart"/>
      <w:r w:rsidR="0051796C">
        <w:rPr>
          <w:rFonts w:cstheme="minorHAnsi"/>
          <w:color w:val="000000"/>
          <w:lang w:val="en-US"/>
        </w:rPr>
        <w:t>mScript</w:t>
      </w:r>
      <w:proofErr w:type="spellEnd"/>
      <w:r w:rsidR="0051796C">
        <w:rPr>
          <w:rFonts w:cstheme="minorHAnsi"/>
          <w:color w:val="000000"/>
          <w:lang w:val="en-US"/>
        </w:rPr>
        <w:t xml:space="preserve"> Standard mRNA Production System </w:t>
      </w:r>
      <w:r w:rsidR="0051796C" w:rsidRPr="00B3708F">
        <w:rPr>
          <w:rFonts w:cstheme="minorHAnsi"/>
          <w:color w:val="000000"/>
          <w:lang w:val="en-US"/>
        </w:rPr>
        <w:t xml:space="preserve">(CELLSCRIPT, </w:t>
      </w:r>
      <w:r w:rsidR="0051796C">
        <w:rPr>
          <w:rFonts w:cstheme="minorHAnsi"/>
          <w:color w:val="000000"/>
          <w:lang w:val="en-US"/>
        </w:rPr>
        <w:t>c</w:t>
      </w:r>
      <w:r w:rsidR="0051796C" w:rsidRPr="00B3708F">
        <w:rPr>
          <w:rFonts w:cstheme="minorHAnsi"/>
          <w:color w:val="000000"/>
          <w:lang w:val="en-US"/>
        </w:rPr>
        <w:t>at</w:t>
      </w:r>
      <w:r w:rsidR="0051796C">
        <w:rPr>
          <w:rFonts w:cstheme="minorHAnsi"/>
          <w:color w:val="000000"/>
          <w:lang w:val="en-US"/>
        </w:rPr>
        <w:t>#</w:t>
      </w:r>
      <w:r w:rsidR="0051796C" w:rsidRPr="00B3708F">
        <w:rPr>
          <w:rFonts w:cstheme="minorHAnsi"/>
          <w:color w:val="000000"/>
          <w:lang w:val="en-US"/>
        </w:rPr>
        <w:t xml:space="preserve">C-MSC100265) </w:t>
      </w:r>
      <w:r w:rsidR="0089566D" w:rsidRPr="00B3708F">
        <w:rPr>
          <w:rFonts w:cstheme="minorHAnsi"/>
          <w:color w:val="000000"/>
          <w:lang w:val="en-US"/>
        </w:rPr>
        <w:t xml:space="preserve"> following the manufacturer’s instructions. In the last step, the IVT RNA was incubated overnight at -80◦</w:t>
      </w:r>
      <w:r w:rsidR="001802CD">
        <w:rPr>
          <w:rFonts w:cstheme="minorHAnsi"/>
          <w:color w:val="000000"/>
          <w:lang w:val="en-US"/>
        </w:rPr>
        <w:t xml:space="preserve"> </w:t>
      </w:r>
      <w:r w:rsidR="0089566D" w:rsidRPr="00B3708F">
        <w:rPr>
          <w:rFonts w:cstheme="minorHAnsi"/>
          <w:color w:val="000000"/>
          <w:lang w:val="en-US"/>
        </w:rPr>
        <w:t>C with 2.5M Lithium chloride (LiCl). The next day, IVT RNA in LiCl was centrifuge</w:t>
      </w:r>
      <w:r w:rsidR="0089566D">
        <w:rPr>
          <w:rFonts w:cstheme="minorHAnsi"/>
          <w:color w:val="000000"/>
          <w:lang w:val="en-US"/>
        </w:rPr>
        <w:t>d</w:t>
      </w:r>
      <w:r w:rsidR="0089566D" w:rsidRPr="00B3708F">
        <w:rPr>
          <w:rFonts w:cstheme="minorHAnsi"/>
          <w:color w:val="000000"/>
          <w:lang w:val="en-US"/>
        </w:rPr>
        <w:t xml:space="preserve"> and the pellet was washed two times with 70% ethanol</w:t>
      </w:r>
      <w:r w:rsidR="0089566D">
        <w:rPr>
          <w:rFonts w:cstheme="minorHAnsi"/>
          <w:color w:val="000000"/>
          <w:lang w:val="en-US"/>
        </w:rPr>
        <w:t>.</w:t>
      </w:r>
      <w:r w:rsidR="0089566D" w:rsidRPr="00B3708F">
        <w:rPr>
          <w:rFonts w:cstheme="minorHAnsi"/>
          <w:color w:val="000000"/>
          <w:lang w:val="en-US"/>
        </w:rPr>
        <w:t xml:space="preserve"> </w:t>
      </w:r>
      <w:r w:rsidR="0089566D">
        <w:rPr>
          <w:rFonts w:cstheme="minorHAnsi"/>
          <w:color w:val="000000"/>
          <w:lang w:val="en-US"/>
        </w:rPr>
        <w:t>T</w:t>
      </w:r>
      <w:r w:rsidR="0089566D" w:rsidRPr="00B3708F">
        <w:rPr>
          <w:rFonts w:cstheme="minorHAnsi"/>
          <w:color w:val="000000"/>
          <w:lang w:val="en-US"/>
        </w:rPr>
        <w:t xml:space="preserve">he RNA pellet was then resuspended in nuclease-free water. An Agilent Bioanalyzer or </w:t>
      </w:r>
      <w:proofErr w:type="spellStart"/>
      <w:r w:rsidR="0089566D" w:rsidRPr="00B3708F">
        <w:rPr>
          <w:rFonts w:cstheme="minorHAnsi"/>
          <w:color w:val="000000"/>
          <w:lang w:val="en-US"/>
        </w:rPr>
        <w:t>BioRad</w:t>
      </w:r>
      <w:proofErr w:type="spellEnd"/>
      <w:r w:rsidR="0089566D" w:rsidRPr="00B3708F">
        <w:rPr>
          <w:rFonts w:cstheme="minorHAnsi"/>
          <w:color w:val="000000"/>
          <w:lang w:val="en-US"/>
        </w:rPr>
        <w:t xml:space="preserve"> </w:t>
      </w:r>
      <w:r w:rsidR="0089566D" w:rsidRPr="00B3708F">
        <w:rPr>
          <w:rFonts w:cstheme="minorHAnsi"/>
          <w:color w:val="000000"/>
          <w:lang w:val="en-US"/>
        </w:rPr>
        <w:lastRenderedPageBreak/>
        <w:t xml:space="preserve">Experion was used to confirm the size of the RNA at this stage. The RNA was then Capped and polyadenylated </w:t>
      </w:r>
      <w:r w:rsidR="00233F98">
        <w:rPr>
          <w:rFonts w:cstheme="minorHAnsi"/>
          <w:color w:val="000000"/>
          <w:lang w:val="en-US"/>
        </w:rPr>
        <w:t xml:space="preserve">according to the instructions from the T7 </w:t>
      </w:r>
      <w:proofErr w:type="spellStart"/>
      <w:r w:rsidR="00233F98">
        <w:rPr>
          <w:rFonts w:cstheme="minorHAnsi"/>
          <w:color w:val="000000"/>
          <w:lang w:val="en-US"/>
        </w:rPr>
        <w:t>mScript</w:t>
      </w:r>
      <w:proofErr w:type="spellEnd"/>
      <w:r w:rsidR="00233F98">
        <w:rPr>
          <w:rFonts w:cstheme="minorHAnsi"/>
          <w:color w:val="000000"/>
          <w:lang w:val="en-US"/>
        </w:rPr>
        <w:t xml:space="preserve"> kit. </w:t>
      </w:r>
      <w:r w:rsidR="0089566D" w:rsidRPr="00B3708F">
        <w:rPr>
          <w:rFonts w:cstheme="minorHAnsi"/>
          <w:color w:val="000000"/>
          <w:lang w:val="en-US"/>
        </w:rPr>
        <w:t xml:space="preserve">In the final step, LiCl precipitation was repeated as described above, and the pellet was resuspended in nuclease-free water. The final IVT-generated RNA concentration was measured using Nanodrop™ </w:t>
      </w:r>
      <w:r w:rsidR="001802CD">
        <w:rPr>
          <w:rFonts w:cstheme="minorHAnsi"/>
          <w:color w:val="000000"/>
          <w:lang w:val="en-US"/>
        </w:rPr>
        <w:t xml:space="preserve">2000 </w:t>
      </w:r>
      <w:r w:rsidR="0089566D" w:rsidRPr="00B3708F">
        <w:rPr>
          <w:rFonts w:cstheme="minorHAnsi"/>
          <w:color w:val="000000"/>
          <w:lang w:val="en-US"/>
        </w:rPr>
        <w:t>(</w:t>
      </w:r>
      <w:proofErr w:type="spellStart"/>
      <w:r w:rsidR="0089566D" w:rsidRPr="00B3708F">
        <w:rPr>
          <w:rFonts w:cstheme="minorHAnsi"/>
          <w:color w:val="000000"/>
          <w:lang w:val="en-US"/>
        </w:rPr>
        <w:t>Thermo</w:t>
      </w:r>
      <w:proofErr w:type="spellEnd"/>
      <w:r w:rsidR="0089566D" w:rsidRPr="00B3708F">
        <w:rPr>
          <w:rFonts w:cstheme="minorHAnsi"/>
          <w:color w:val="000000"/>
          <w:lang w:val="en-US"/>
        </w:rPr>
        <w:t xml:space="preserve"> Scientific) and stored at -80◦C.</w:t>
      </w:r>
    </w:p>
    <w:p w14:paraId="3F8FF7CA" w14:textId="0DF68EAB" w:rsidR="0089566D" w:rsidRPr="00A0066F" w:rsidRDefault="0089566D" w:rsidP="00E624A4">
      <w:pPr>
        <w:spacing w:line="480" w:lineRule="auto"/>
        <w:jc w:val="both"/>
        <w:rPr>
          <w:rFonts w:cstheme="minorHAnsi"/>
          <w:color w:val="000000"/>
          <w:lang w:val="en-US"/>
        </w:rPr>
      </w:pPr>
      <w:r w:rsidRPr="00B3708F">
        <w:rPr>
          <w:rFonts w:cstheme="minorHAnsi"/>
          <w:color w:val="000000"/>
          <w:lang w:val="en-US"/>
        </w:rPr>
        <w:t xml:space="preserve">The CD4+ cells were isolated and nucleofected </w:t>
      </w:r>
      <w:r>
        <w:rPr>
          <w:rFonts w:cstheme="minorHAnsi"/>
          <w:color w:val="000000"/>
          <w:lang w:val="en-US"/>
        </w:rPr>
        <w:t xml:space="preserve">with NT </w:t>
      </w:r>
      <w:r w:rsidR="001802CD">
        <w:rPr>
          <w:rFonts w:cstheme="minorHAnsi"/>
          <w:color w:val="000000"/>
          <w:lang w:val="en-US"/>
        </w:rPr>
        <w:t xml:space="preserve">LNA </w:t>
      </w:r>
      <w:r>
        <w:rPr>
          <w:rFonts w:cstheme="minorHAnsi"/>
          <w:color w:val="000000"/>
          <w:lang w:val="en-US"/>
        </w:rPr>
        <w:t xml:space="preserve">or MIAT LNA1 and were rested for </w:t>
      </w:r>
      <w:r w:rsidR="001802CD">
        <w:rPr>
          <w:rFonts w:cstheme="minorHAnsi"/>
          <w:color w:val="000000"/>
          <w:lang w:val="en-US"/>
        </w:rPr>
        <w:t>48 h</w:t>
      </w:r>
      <w:r w:rsidR="001802CD" w:rsidRPr="00B3708F">
        <w:rPr>
          <w:rFonts w:cstheme="minorHAnsi"/>
          <w:color w:val="000000"/>
          <w:lang w:val="en-US"/>
        </w:rPr>
        <w:t xml:space="preserve"> </w:t>
      </w:r>
      <w:r w:rsidRPr="00B3708F">
        <w:rPr>
          <w:rFonts w:cstheme="minorHAnsi"/>
          <w:color w:val="000000"/>
          <w:lang w:val="en-US"/>
        </w:rPr>
        <w:t xml:space="preserve">in RPMI 1640 (Sigma-Aldrich) medium supplemented with 10% FCS, 50 U/mL penicillin, 50 </w:t>
      </w:r>
      <w:proofErr w:type="spellStart"/>
      <w:r w:rsidRPr="00B3708F">
        <w:rPr>
          <w:rFonts w:cstheme="minorHAnsi"/>
          <w:color w:val="000000"/>
          <w:lang w:val="en-US"/>
        </w:rPr>
        <w:t>μg</w:t>
      </w:r>
      <w:proofErr w:type="spellEnd"/>
      <w:r w:rsidRPr="00B3708F">
        <w:rPr>
          <w:rFonts w:cstheme="minorHAnsi"/>
          <w:color w:val="000000"/>
          <w:lang w:val="en-US"/>
        </w:rPr>
        <w:t>/mL streptomycin, and 2 mM L-glutamine</w:t>
      </w:r>
      <w:r w:rsidR="00C2552F">
        <w:rPr>
          <w:rFonts w:cstheme="minorHAnsi"/>
          <w:color w:val="000000"/>
          <w:lang w:val="en-US"/>
        </w:rPr>
        <w:t xml:space="preserve">. </w:t>
      </w:r>
      <w:r w:rsidR="00233F98">
        <w:rPr>
          <w:rFonts w:cstheme="minorHAnsi"/>
          <w:color w:val="000000"/>
          <w:lang w:val="en-US"/>
        </w:rPr>
        <w:t xml:space="preserve"> </w:t>
      </w:r>
      <w:r w:rsidR="00C2552F">
        <w:rPr>
          <w:rFonts w:cstheme="minorHAnsi"/>
          <w:color w:val="000000"/>
          <w:lang w:val="en-US"/>
        </w:rPr>
        <w:t xml:space="preserve">Next, the </w:t>
      </w:r>
      <w:r w:rsidRPr="00B3708F">
        <w:rPr>
          <w:rFonts w:cstheme="minorHAnsi"/>
          <w:color w:val="000000"/>
          <w:lang w:val="en-US"/>
        </w:rPr>
        <w:t xml:space="preserve">cells were activated in Th17 polarizing conditions for </w:t>
      </w:r>
      <w:r w:rsidR="00233F98">
        <w:rPr>
          <w:rFonts w:cstheme="minorHAnsi"/>
          <w:color w:val="000000"/>
          <w:lang w:val="en-US"/>
        </w:rPr>
        <w:t>72 h</w:t>
      </w:r>
      <w:r w:rsidR="00C2552F">
        <w:rPr>
          <w:rFonts w:cstheme="minorHAnsi"/>
          <w:color w:val="000000"/>
          <w:lang w:val="en-US"/>
        </w:rPr>
        <w:t>, after</w:t>
      </w:r>
      <w:r w:rsidR="00BE4F72">
        <w:rPr>
          <w:rFonts w:cstheme="minorHAnsi"/>
          <w:color w:val="000000"/>
          <w:lang w:val="en-US"/>
        </w:rPr>
        <w:t xml:space="preserve"> </w:t>
      </w:r>
      <w:r w:rsidR="00C2552F">
        <w:rPr>
          <w:rFonts w:cstheme="minorHAnsi"/>
          <w:color w:val="000000"/>
          <w:lang w:val="en-US"/>
        </w:rPr>
        <w:t>which they were re-nucleofected with</w:t>
      </w:r>
      <w:r w:rsidR="002610A5">
        <w:rPr>
          <w:rFonts w:cstheme="minorHAnsi"/>
          <w:color w:val="000000"/>
          <w:lang w:val="en-US"/>
        </w:rPr>
        <w:t xml:space="preserve"> </w:t>
      </w:r>
      <w:r w:rsidR="002610A5" w:rsidRPr="00B3708F">
        <w:rPr>
          <w:rFonts w:cstheme="minorHAnsi"/>
          <w:color w:val="000000"/>
          <w:lang w:val="en-US"/>
        </w:rPr>
        <w:t>28 picomoles</w:t>
      </w:r>
      <w:r w:rsidR="002610A5">
        <w:rPr>
          <w:rFonts w:cstheme="minorHAnsi"/>
          <w:color w:val="000000"/>
          <w:lang w:val="en-US"/>
        </w:rPr>
        <w:t xml:space="preserve"> of </w:t>
      </w:r>
      <w:r w:rsidR="002610A5" w:rsidRPr="00B3708F">
        <w:rPr>
          <w:rFonts w:cstheme="minorHAnsi"/>
          <w:color w:val="000000"/>
          <w:lang w:val="en-US"/>
        </w:rPr>
        <w:t xml:space="preserve">GFP </w:t>
      </w:r>
      <w:r w:rsidR="002610A5">
        <w:rPr>
          <w:rFonts w:cstheme="minorHAnsi"/>
          <w:color w:val="000000"/>
          <w:lang w:val="en-US"/>
        </w:rPr>
        <w:t>or</w:t>
      </w:r>
      <w:r w:rsidR="002610A5" w:rsidRPr="00B3708F">
        <w:rPr>
          <w:rFonts w:cstheme="minorHAnsi"/>
          <w:color w:val="000000"/>
          <w:lang w:val="en-US"/>
        </w:rPr>
        <w:t xml:space="preserve"> PRKC</w:t>
      </w:r>
      <w:r w:rsidR="002610A5">
        <w:rPr>
          <w:rFonts w:cstheme="minorHAnsi"/>
          <w:color w:val="000000"/>
          <w:lang w:val="en-US"/>
        </w:rPr>
        <w:t>A IVT-mRNA or mock nucleofected.</w:t>
      </w:r>
      <w:r w:rsidRPr="00B3708F">
        <w:rPr>
          <w:rFonts w:cstheme="minorHAnsi"/>
          <w:color w:val="000000"/>
          <w:lang w:val="en-US"/>
        </w:rPr>
        <w:t xml:space="preserve">. The cells were allowed to rest in RPMI 1640 (Sigma-Aldrich) medium supplemented with 10% FCS, 50 U/mL penicillin, 50 </w:t>
      </w:r>
      <w:proofErr w:type="spellStart"/>
      <w:r w:rsidRPr="00B3708F">
        <w:rPr>
          <w:rFonts w:cstheme="minorHAnsi"/>
          <w:color w:val="000000"/>
          <w:lang w:val="en-US"/>
        </w:rPr>
        <w:t>μg</w:t>
      </w:r>
      <w:proofErr w:type="spellEnd"/>
      <w:r w:rsidRPr="00B3708F">
        <w:rPr>
          <w:rFonts w:cstheme="minorHAnsi"/>
          <w:color w:val="000000"/>
          <w:lang w:val="en-US"/>
        </w:rPr>
        <w:t>/mL streptomycin, 2 mM L-glutamine, and 17ng/ml IL2 (Cat</w:t>
      </w:r>
      <w:r w:rsidR="002610A5">
        <w:rPr>
          <w:rFonts w:cstheme="minorHAnsi"/>
          <w:color w:val="000000"/>
          <w:lang w:val="en-US"/>
        </w:rPr>
        <w:t xml:space="preserve"># </w:t>
      </w:r>
      <w:r w:rsidRPr="00B3708F">
        <w:rPr>
          <w:rFonts w:cstheme="minorHAnsi"/>
          <w:color w:val="000000"/>
          <w:lang w:val="en-US"/>
        </w:rPr>
        <w:t>101-IL; R&amp;D systems) for 24 hours followed by activation in Th17 polarizing media. After six hours of re-nucleofection of IVT RNA, the overexpression was checked by FACS. The IL17 ELISA samples were collected after 72 hours.</w:t>
      </w:r>
    </w:p>
    <w:p w14:paraId="5CE719F6" w14:textId="77777777" w:rsidR="002D4615" w:rsidRDefault="002D4615" w:rsidP="00E624A4">
      <w:pPr>
        <w:spacing w:line="480" w:lineRule="auto"/>
        <w:jc w:val="both"/>
        <w:rPr>
          <w:rFonts w:cstheme="minorHAnsi"/>
          <w:b/>
          <w:bCs/>
          <w:color w:val="000000"/>
          <w:lang w:val="en-US"/>
        </w:rPr>
      </w:pPr>
      <w:r>
        <w:rPr>
          <w:rFonts w:cstheme="minorHAnsi"/>
          <w:b/>
          <w:bCs/>
          <w:color w:val="000000"/>
          <w:lang w:val="en-US"/>
        </w:rPr>
        <w:t>Reanalysis of Published Single-Cell RNA-seq Data</w:t>
      </w:r>
    </w:p>
    <w:p w14:paraId="7AA03B6B" w14:textId="059666AF" w:rsidR="002D4615" w:rsidRPr="00E624A4" w:rsidRDefault="002D4615" w:rsidP="00E624A4">
      <w:pPr>
        <w:spacing w:line="480" w:lineRule="auto"/>
        <w:jc w:val="both"/>
        <w:rPr>
          <w:rFonts w:cstheme="minorHAnsi"/>
          <w:lang w:val="en-US"/>
        </w:rPr>
      </w:pPr>
      <w:r w:rsidRPr="0018355F">
        <w:rPr>
          <w:rFonts w:cstheme="minorHAnsi"/>
          <w:color w:val="000000"/>
          <w:lang w:val="en-US"/>
        </w:rPr>
        <w:t xml:space="preserve">We examined the </w:t>
      </w:r>
      <w:r>
        <w:rPr>
          <w:rFonts w:cstheme="minorHAnsi"/>
          <w:color w:val="000000"/>
          <w:lang w:val="en-US"/>
        </w:rPr>
        <w:t xml:space="preserve">expression of </w:t>
      </w:r>
      <w:r w:rsidRPr="0018355F">
        <w:rPr>
          <w:rFonts w:cstheme="minorHAnsi"/>
          <w:color w:val="000000"/>
          <w:lang w:val="en-US"/>
        </w:rPr>
        <w:t>l</w:t>
      </w:r>
      <w:r>
        <w:rPr>
          <w:rFonts w:cstheme="minorHAnsi"/>
          <w:color w:val="000000"/>
          <w:lang w:val="en-US"/>
        </w:rPr>
        <w:t>i</w:t>
      </w:r>
      <w:r w:rsidRPr="0018355F">
        <w:rPr>
          <w:rFonts w:cstheme="minorHAnsi"/>
          <w:color w:val="000000"/>
          <w:lang w:val="en-US"/>
        </w:rPr>
        <w:t xml:space="preserve">ncRNA MIAT in immune cells </w:t>
      </w:r>
      <w:r>
        <w:rPr>
          <w:rFonts w:cstheme="minorHAnsi"/>
          <w:color w:val="000000"/>
          <w:lang w:val="en-US"/>
        </w:rPr>
        <w:t>from</w:t>
      </w:r>
      <w:r w:rsidRPr="0018355F">
        <w:rPr>
          <w:rFonts w:cstheme="minorHAnsi"/>
          <w:color w:val="000000"/>
          <w:lang w:val="en-US"/>
        </w:rPr>
        <w:t xml:space="preserve"> synovial tissue samples </w:t>
      </w:r>
      <w:r>
        <w:rPr>
          <w:rFonts w:cstheme="minorHAnsi"/>
          <w:color w:val="000000"/>
          <w:lang w:val="en-US"/>
        </w:rPr>
        <w:t>of RA</w:t>
      </w:r>
      <w:r w:rsidRPr="0018355F">
        <w:rPr>
          <w:rFonts w:cstheme="minorHAnsi"/>
          <w:color w:val="000000"/>
          <w:lang w:val="en-US"/>
        </w:rPr>
        <w:t xml:space="preserve"> patient</w:t>
      </w:r>
      <w:r>
        <w:rPr>
          <w:rFonts w:cstheme="minorHAnsi"/>
          <w:color w:val="000000"/>
          <w:lang w:val="en-US"/>
        </w:rPr>
        <w:t>,</w:t>
      </w:r>
      <w:r w:rsidRPr="0018355F">
        <w:rPr>
          <w:rFonts w:cstheme="minorHAnsi"/>
          <w:color w:val="000000"/>
          <w:lang w:val="en-US"/>
        </w:rPr>
        <w:t xml:space="preserve"> utilizing published single-cell RNA-seq (scRNA-seq) data (Stephenson et al., 2018; Zhang et al., 2019). The scRNA-seq data from Stephenson et al. was accessed through </w:t>
      </w:r>
      <w:proofErr w:type="spellStart"/>
      <w:r w:rsidRPr="0018355F">
        <w:rPr>
          <w:rFonts w:cstheme="minorHAnsi"/>
          <w:color w:val="000000"/>
          <w:lang w:val="en-US"/>
        </w:rPr>
        <w:t>dbGaP</w:t>
      </w:r>
      <w:proofErr w:type="spellEnd"/>
      <w:r w:rsidRPr="0018355F">
        <w:rPr>
          <w:rFonts w:cstheme="minorHAnsi"/>
          <w:color w:val="000000"/>
          <w:lang w:val="en-US"/>
        </w:rPr>
        <w:t xml:space="preserve"> (phs001529.v1.p1), </w:t>
      </w:r>
      <w:r>
        <w:rPr>
          <w:rFonts w:cstheme="minorHAnsi"/>
          <w:color w:val="000000"/>
          <w:lang w:val="en-US"/>
        </w:rPr>
        <w:t>and</w:t>
      </w:r>
      <w:r w:rsidRPr="0018355F">
        <w:rPr>
          <w:rFonts w:cstheme="minorHAnsi"/>
          <w:color w:val="000000"/>
          <w:lang w:val="en-US"/>
        </w:rPr>
        <w:t xml:space="preserve"> </w:t>
      </w:r>
      <w:proofErr w:type="spellStart"/>
      <w:r w:rsidRPr="0018355F">
        <w:rPr>
          <w:rFonts w:cstheme="minorHAnsi"/>
          <w:color w:val="000000"/>
          <w:lang w:val="en-US"/>
        </w:rPr>
        <w:t>scRNA</w:t>
      </w:r>
      <w:proofErr w:type="spellEnd"/>
      <w:r w:rsidRPr="0018355F">
        <w:rPr>
          <w:rFonts w:cstheme="minorHAnsi"/>
          <w:color w:val="000000"/>
          <w:lang w:val="en-US"/>
        </w:rPr>
        <w:t xml:space="preserve">-seq data from Zhang et al. </w:t>
      </w:r>
      <w:r>
        <w:rPr>
          <w:rFonts w:cstheme="minorHAnsi"/>
          <w:color w:val="000000"/>
          <w:lang w:val="en-US"/>
        </w:rPr>
        <w:t>was</w:t>
      </w:r>
      <w:r w:rsidRPr="0018355F">
        <w:rPr>
          <w:rFonts w:cstheme="minorHAnsi"/>
          <w:color w:val="000000"/>
          <w:lang w:val="en-US"/>
        </w:rPr>
        <w:t xml:space="preserve"> retrieved from </w:t>
      </w:r>
      <w:proofErr w:type="spellStart"/>
      <w:r w:rsidRPr="0018355F">
        <w:rPr>
          <w:rFonts w:cstheme="minorHAnsi"/>
          <w:color w:val="000000"/>
          <w:lang w:val="en-US"/>
        </w:rPr>
        <w:t>ImmPort</w:t>
      </w:r>
      <w:proofErr w:type="spellEnd"/>
      <w:r w:rsidRPr="0018355F">
        <w:rPr>
          <w:rFonts w:cstheme="minorHAnsi"/>
          <w:color w:val="000000"/>
          <w:lang w:val="en-US"/>
        </w:rPr>
        <w:t xml:space="preserve"> (SDY998). Both datasets were preprocessed similarly</w:t>
      </w:r>
      <w:r>
        <w:rPr>
          <w:rFonts w:cstheme="minorHAnsi"/>
          <w:color w:val="000000"/>
          <w:lang w:val="en-US"/>
        </w:rPr>
        <w:t>. C</w:t>
      </w:r>
      <w:r w:rsidRPr="0018355F">
        <w:rPr>
          <w:rFonts w:cstheme="minorHAnsi"/>
          <w:color w:val="000000"/>
          <w:lang w:val="en-US"/>
        </w:rPr>
        <w:t xml:space="preserve">ells with &lt;500 genes detected with at least one fragment </w:t>
      </w:r>
      <w:r>
        <w:rPr>
          <w:rFonts w:cstheme="minorHAnsi"/>
          <w:color w:val="000000"/>
          <w:lang w:val="en-US"/>
        </w:rPr>
        <w:t>or</w:t>
      </w:r>
      <w:r w:rsidRPr="0018355F">
        <w:rPr>
          <w:rFonts w:cstheme="minorHAnsi"/>
          <w:color w:val="000000"/>
          <w:lang w:val="en-US"/>
        </w:rPr>
        <w:t xml:space="preserve"> &gt;25% of molecules coming from mitochondrial genes were discarded. Genes with only zero values were filtered out. </w:t>
      </w:r>
      <w:r w:rsidRPr="004D31C0">
        <w:rPr>
          <w:rFonts w:cstheme="minorHAnsi"/>
          <w:color w:val="000000"/>
          <w:lang w:val="en-US"/>
        </w:rPr>
        <w:t xml:space="preserve">The preprocessed expression matrices were used as input for our in-house developed clustering tool </w:t>
      </w:r>
      <w:proofErr w:type="spellStart"/>
      <w:r w:rsidRPr="004D31C0">
        <w:rPr>
          <w:rFonts w:cstheme="minorHAnsi"/>
          <w:color w:val="000000"/>
          <w:lang w:val="en-US"/>
        </w:rPr>
        <w:t>ILoReg</w:t>
      </w:r>
      <w:proofErr w:type="spellEnd"/>
      <w:r w:rsidRPr="004D31C0">
        <w:rPr>
          <w:rFonts w:cstheme="minorHAnsi"/>
          <w:color w:val="000000"/>
          <w:lang w:val="en-US"/>
        </w:rPr>
        <w:t xml:space="preserve"> with default settings </w:t>
      </w:r>
      <w:r w:rsidRPr="004D31C0">
        <w:rPr>
          <w:rFonts w:cstheme="minorHAnsi"/>
          <w:color w:val="000000"/>
          <w:lang w:val="en-US"/>
        </w:rPr>
        <w:lastRenderedPageBreak/>
        <w:t>(</w:t>
      </w:r>
      <w:proofErr w:type="spellStart"/>
      <w:r w:rsidRPr="004D31C0">
        <w:rPr>
          <w:rFonts w:cstheme="minorHAnsi"/>
          <w:color w:val="000000"/>
          <w:lang w:val="en-US"/>
        </w:rPr>
        <w:t>Smolander</w:t>
      </w:r>
      <w:proofErr w:type="spellEnd"/>
      <w:r w:rsidRPr="004D31C0">
        <w:rPr>
          <w:rFonts w:cstheme="minorHAnsi"/>
          <w:color w:val="000000"/>
          <w:lang w:val="en-US"/>
        </w:rPr>
        <w:t xml:space="preserve"> et al., 2020). The identified clusters were visualized using uniform manifold approximation and projection (UMAP). To annotate the clusters, the marker genes for each cell type were obtained from the original publications. For identifying genes co-expressed with MIAT in a cell type-specific manner, we utilized the </w:t>
      </w:r>
      <w:proofErr w:type="spellStart"/>
      <w:r w:rsidRPr="004D31C0">
        <w:rPr>
          <w:rFonts w:cstheme="minorHAnsi"/>
          <w:color w:val="000000"/>
          <w:lang w:val="en-US"/>
        </w:rPr>
        <w:t>FindAllGeneMarkers</w:t>
      </w:r>
      <w:proofErr w:type="spellEnd"/>
      <w:r w:rsidRPr="004D31C0">
        <w:rPr>
          <w:rFonts w:cstheme="minorHAnsi"/>
          <w:color w:val="000000"/>
          <w:lang w:val="en-US"/>
        </w:rPr>
        <w:t xml:space="preserve"> function in the </w:t>
      </w:r>
      <w:proofErr w:type="spellStart"/>
      <w:r w:rsidRPr="004D31C0">
        <w:rPr>
          <w:rFonts w:cstheme="minorHAnsi"/>
          <w:color w:val="000000"/>
          <w:lang w:val="en-US"/>
        </w:rPr>
        <w:t>ILoReg</w:t>
      </w:r>
      <w:proofErr w:type="spellEnd"/>
      <w:r w:rsidRPr="004D31C0">
        <w:rPr>
          <w:rFonts w:cstheme="minorHAnsi"/>
          <w:color w:val="000000"/>
          <w:lang w:val="en-US"/>
        </w:rPr>
        <w:t xml:space="preserve"> tool to simultaneously identify all genes showing cell type-specific expression patterns. Genes that co-expressed with MIAT, i.e. had a similar expression profile in different cell types (log2 fold change ≥ 0.5, Bonferroni adjusted p-value &lt; 0.01), were examined in the datasets. The fold change was calculated as gene’s expression in a given cell type compared to all other cell types and the significance of the differences was determined using Wilcoxon rank-sum test.</w:t>
      </w:r>
    </w:p>
    <w:p w14:paraId="42E7628B" w14:textId="46EA20E2" w:rsidR="002D4615" w:rsidRDefault="001E2ACE" w:rsidP="00E624A4">
      <w:pPr>
        <w:spacing w:line="480" w:lineRule="auto"/>
        <w:rPr>
          <w:b/>
          <w:bCs/>
        </w:rPr>
      </w:pPr>
      <w:r>
        <w:rPr>
          <w:b/>
          <w:bCs/>
        </w:rPr>
        <w:t>References</w:t>
      </w:r>
    </w:p>
    <w:p w14:paraId="3207D0DA" w14:textId="362CAE3D" w:rsidR="006C5FCA" w:rsidRPr="006C5FCA" w:rsidRDefault="001E2ACE" w:rsidP="006C5FCA">
      <w:pPr>
        <w:widowControl w:val="0"/>
        <w:autoSpaceDE w:val="0"/>
        <w:autoSpaceDN w:val="0"/>
        <w:adjustRightInd w:val="0"/>
        <w:spacing w:line="480" w:lineRule="auto"/>
        <w:ind w:left="640" w:hanging="640"/>
        <w:rPr>
          <w:rFonts w:ascii="Calibri" w:hAnsi="Calibri" w:cs="Calibri"/>
          <w:noProof/>
        </w:rPr>
      </w:pPr>
      <w:r>
        <w:rPr>
          <w:b/>
          <w:bCs/>
        </w:rPr>
        <w:fldChar w:fldCharType="begin" w:fldLock="1"/>
      </w:r>
      <w:r>
        <w:rPr>
          <w:b/>
          <w:bCs/>
        </w:rPr>
        <w:instrText xml:space="preserve">ADDIN Mendeley Bibliography CSL_BIBLIOGRAPHY </w:instrText>
      </w:r>
      <w:r>
        <w:rPr>
          <w:b/>
          <w:bCs/>
        </w:rPr>
        <w:fldChar w:fldCharType="separate"/>
      </w:r>
      <w:r w:rsidR="006C5FCA" w:rsidRPr="006C5FCA">
        <w:rPr>
          <w:rFonts w:ascii="Calibri" w:hAnsi="Calibri" w:cs="Calibri"/>
          <w:noProof/>
        </w:rPr>
        <w:t xml:space="preserve">1. </w:t>
      </w:r>
      <w:r w:rsidR="006C5FCA" w:rsidRPr="006C5FCA">
        <w:rPr>
          <w:rFonts w:ascii="Calibri" w:hAnsi="Calibri" w:cs="Calibri"/>
          <w:noProof/>
        </w:rPr>
        <w:tab/>
        <w:t xml:space="preserve">Elo LL, Jarvenpaa H, Tuomela S, Raghav S, Ahlfors H, Laurila K, et al. Genome-wide profiling of interleukin-4 and STAT6 transcription factor regulation of human Th2 cell programming. Immunity. 2010 Jun;32(6):852–62. </w:t>
      </w:r>
    </w:p>
    <w:p w14:paraId="70E3FA22"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2. </w:t>
      </w:r>
      <w:r w:rsidRPr="006C5FCA">
        <w:rPr>
          <w:rFonts w:ascii="Calibri" w:hAnsi="Calibri" w:cs="Calibri"/>
          <w:noProof/>
        </w:rPr>
        <w:tab/>
        <w:t xml:space="preserve">Khan MM, Ullah U, Khan MH, Kong L, Moulder R, Välikangas T, et al. CIP2A Constrains Th17 Differentiation by Modulating STAT3 Signaling. iScience. 2020;23(3). </w:t>
      </w:r>
    </w:p>
    <w:p w14:paraId="74FFDA5E"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3. </w:t>
      </w:r>
      <w:r w:rsidRPr="006C5FCA">
        <w:rPr>
          <w:rFonts w:ascii="Calibri" w:hAnsi="Calibri" w:cs="Calibri"/>
          <w:noProof/>
        </w:rPr>
        <w:tab/>
        <w:t xml:space="preserve">Tripathi SK, Chen Z, Larjo A, Kanduri K, Nousiainen K, Äijo T, et al. Genome-wide Analysis of STAT3-Mediated Transcription during Early Human Th17 Cell Differentiation. Cell Rep. 2017;19(9):1888–901. </w:t>
      </w:r>
    </w:p>
    <w:p w14:paraId="16693745"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4. </w:t>
      </w:r>
      <w:r w:rsidRPr="006C5FCA">
        <w:rPr>
          <w:rFonts w:ascii="Calibri" w:hAnsi="Calibri" w:cs="Calibri"/>
          <w:noProof/>
        </w:rPr>
        <w:tab/>
        <w:t xml:space="preserve">Ubaid Ullah, Andrabi SBA, Tripathi SK, Dirasantha O, Kanduri K, Rautio S, et al. Transcriptional Repressor HIC1 Contributes to Suppressive Function of Human Induced Regulatory T Cells. Cell Rep. 2018;22(8). </w:t>
      </w:r>
    </w:p>
    <w:p w14:paraId="5D7A13ED"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5. </w:t>
      </w:r>
      <w:r w:rsidRPr="006C5FCA">
        <w:rPr>
          <w:rFonts w:ascii="Calibri" w:hAnsi="Calibri" w:cs="Calibri"/>
          <w:noProof/>
        </w:rPr>
        <w:tab/>
        <w:t xml:space="preserve">Hawkins RD, Larjo A, Tripathi SK, Wagner U, Luu Y, Lönnberg T, et al. Global chromatin state analysis reveals lineage-specific enhancers during the initiation of </w:t>
      </w:r>
      <w:r w:rsidRPr="006C5FCA">
        <w:rPr>
          <w:rFonts w:ascii="Calibri" w:hAnsi="Calibri" w:cs="Calibri"/>
          <w:noProof/>
        </w:rPr>
        <w:lastRenderedPageBreak/>
        <w:t>human T helper 1 and T helper 2 cell polarization. Immunity [Internet]. 2013;38(6):1271–84. Available from: http://www.ncbi.nlm.nih.gov/entrez/query.fcgi?db=pubmed&amp;cmd=Retrieve&amp;dopt=AbstractPlus&amp;list_uids=23791644%5Cnhttp://www.sciencedirect.com/science/article/pii/S1074761313002379</w:t>
      </w:r>
    </w:p>
    <w:p w14:paraId="2F5B5E57"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6. </w:t>
      </w:r>
      <w:r w:rsidRPr="006C5FCA">
        <w:rPr>
          <w:rFonts w:ascii="Calibri" w:hAnsi="Calibri" w:cs="Calibri"/>
          <w:noProof/>
        </w:rPr>
        <w:tab/>
        <w:t>Andrews S. FastQC: A Quality Control Tool for High Throughput Sequence Data [Online]. Available online at: http://www.bioinformatics.babraham.ac.uk/projects/fastqc/ [Internet]. 2010. Available from: https://qubeshub.org/resources/fastqc</w:t>
      </w:r>
    </w:p>
    <w:p w14:paraId="5F3EF104"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7. </w:t>
      </w:r>
      <w:r w:rsidRPr="006C5FCA">
        <w:rPr>
          <w:rFonts w:ascii="Calibri" w:hAnsi="Calibri" w:cs="Calibri"/>
          <w:noProof/>
        </w:rPr>
        <w:tab/>
        <w:t xml:space="preserve">Bolger AM, Lohse M, Usadel B. Trimmomatic: A flexible trimmer for Illumina sequence data. Bioinformatics. 2014;30(15):2114–20. </w:t>
      </w:r>
    </w:p>
    <w:p w14:paraId="0CB11640"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8. </w:t>
      </w:r>
      <w:r w:rsidRPr="006C5FCA">
        <w:rPr>
          <w:rFonts w:ascii="Calibri" w:hAnsi="Calibri" w:cs="Calibri"/>
          <w:noProof/>
        </w:rPr>
        <w:tab/>
        <w:t xml:space="preserve">Kim D, Pertea G, Trapnell C, Pimentel H, Kelley R, Salzberg SL. TopHat2: accurate alignment of transcriptomes in the presence of insertions, deletions and gene fusions. Genome Biol. 2013 Apr;14(4):R36-2013-14-4-r36. </w:t>
      </w:r>
    </w:p>
    <w:p w14:paraId="00AF4908"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9. </w:t>
      </w:r>
      <w:r w:rsidRPr="006C5FCA">
        <w:rPr>
          <w:rFonts w:ascii="Calibri" w:hAnsi="Calibri" w:cs="Calibri"/>
          <w:noProof/>
        </w:rPr>
        <w:tab/>
        <w:t xml:space="preserve">Anders S, Pyl PT, Huber W. HTSeq-A Python framework to work with high-throughput sequencing data. Bioinformatics. 2015;31(2):166–9. </w:t>
      </w:r>
    </w:p>
    <w:p w14:paraId="5F9158B9" w14:textId="77777777" w:rsidR="006C5FCA" w:rsidRPr="006C5FCA" w:rsidRDefault="006C5FCA" w:rsidP="006C5FCA">
      <w:pPr>
        <w:widowControl w:val="0"/>
        <w:autoSpaceDE w:val="0"/>
        <w:autoSpaceDN w:val="0"/>
        <w:adjustRightInd w:val="0"/>
        <w:spacing w:line="480" w:lineRule="auto"/>
        <w:ind w:left="640" w:hanging="640"/>
        <w:rPr>
          <w:rFonts w:ascii="Calibri" w:hAnsi="Calibri" w:cs="Calibri"/>
          <w:noProof/>
        </w:rPr>
      </w:pPr>
      <w:r w:rsidRPr="006C5FCA">
        <w:rPr>
          <w:rFonts w:ascii="Calibri" w:hAnsi="Calibri" w:cs="Calibri"/>
          <w:noProof/>
        </w:rPr>
        <w:t xml:space="preserve">10. </w:t>
      </w:r>
      <w:r w:rsidRPr="006C5FCA">
        <w:rPr>
          <w:rFonts w:ascii="Calibri" w:hAnsi="Calibri" w:cs="Calibri"/>
          <w:noProof/>
        </w:rPr>
        <w:tab/>
        <w:t xml:space="preserve">Anders S, McCarthy DJ, Chen Y, Okoniewski M, Smyth GK, Huber W, et al. Count-based differential expression analysis of RNA sequencing data using R and Bioconductor. Nat Protoc. 2013 Sep;8(9):1765–86. </w:t>
      </w:r>
    </w:p>
    <w:p w14:paraId="1EFC59F7" w14:textId="6605A07A" w:rsidR="001E2ACE" w:rsidRPr="00D263AD" w:rsidRDefault="001E2ACE" w:rsidP="006C5FCA">
      <w:pPr>
        <w:widowControl w:val="0"/>
        <w:autoSpaceDE w:val="0"/>
        <w:autoSpaceDN w:val="0"/>
        <w:adjustRightInd w:val="0"/>
        <w:spacing w:line="480" w:lineRule="auto"/>
        <w:ind w:left="640" w:hanging="640"/>
        <w:rPr>
          <w:b/>
          <w:bCs/>
        </w:rPr>
      </w:pPr>
      <w:r>
        <w:rPr>
          <w:b/>
          <w:bCs/>
        </w:rPr>
        <w:fldChar w:fldCharType="end"/>
      </w:r>
    </w:p>
    <w:sectPr w:rsidR="001E2ACE" w:rsidRPr="00D263AD" w:rsidSect="001E73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87B7D"/>
    <w:multiLevelType w:val="hybridMultilevel"/>
    <w:tmpl w:val="F2A2D6F2"/>
    <w:lvl w:ilvl="0" w:tplc="D4D46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21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C0"/>
    <w:rsid w:val="00031A08"/>
    <w:rsid w:val="00057399"/>
    <w:rsid w:val="00066BBB"/>
    <w:rsid w:val="000A5083"/>
    <w:rsid w:val="000E1EED"/>
    <w:rsid w:val="001518BC"/>
    <w:rsid w:val="001711CF"/>
    <w:rsid w:val="001802CD"/>
    <w:rsid w:val="001847AE"/>
    <w:rsid w:val="00197AFD"/>
    <w:rsid w:val="001E2ACE"/>
    <w:rsid w:val="001E73B0"/>
    <w:rsid w:val="00233F98"/>
    <w:rsid w:val="00253236"/>
    <w:rsid w:val="002610A5"/>
    <w:rsid w:val="002871A7"/>
    <w:rsid w:val="002A2F7F"/>
    <w:rsid w:val="002C08B2"/>
    <w:rsid w:val="002D4615"/>
    <w:rsid w:val="003D175C"/>
    <w:rsid w:val="00404CAD"/>
    <w:rsid w:val="00437461"/>
    <w:rsid w:val="00451C74"/>
    <w:rsid w:val="00515B9F"/>
    <w:rsid w:val="0051796C"/>
    <w:rsid w:val="00576AD3"/>
    <w:rsid w:val="005B4A26"/>
    <w:rsid w:val="006A5530"/>
    <w:rsid w:val="006A7171"/>
    <w:rsid w:val="006C5FCA"/>
    <w:rsid w:val="00714EEB"/>
    <w:rsid w:val="00743CB4"/>
    <w:rsid w:val="007F6F59"/>
    <w:rsid w:val="008013D1"/>
    <w:rsid w:val="008565E5"/>
    <w:rsid w:val="0089566D"/>
    <w:rsid w:val="008B73B9"/>
    <w:rsid w:val="009139BC"/>
    <w:rsid w:val="009142B1"/>
    <w:rsid w:val="00933CC0"/>
    <w:rsid w:val="00973750"/>
    <w:rsid w:val="00997C43"/>
    <w:rsid w:val="009A4C3A"/>
    <w:rsid w:val="00A0066F"/>
    <w:rsid w:val="00A1004C"/>
    <w:rsid w:val="00AD7649"/>
    <w:rsid w:val="00B07005"/>
    <w:rsid w:val="00B64C94"/>
    <w:rsid w:val="00BC69B8"/>
    <w:rsid w:val="00BE4D69"/>
    <w:rsid w:val="00BE4F72"/>
    <w:rsid w:val="00C2552F"/>
    <w:rsid w:val="00C33D56"/>
    <w:rsid w:val="00C34579"/>
    <w:rsid w:val="00C86474"/>
    <w:rsid w:val="00D21739"/>
    <w:rsid w:val="00D263AD"/>
    <w:rsid w:val="00D564ED"/>
    <w:rsid w:val="00D76727"/>
    <w:rsid w:val="00DB2703"/>
    <w:rsid w:val="00DC6CDC"/>
    <w:rsid w:val="00DD5415"/>
    <w:rsid w:val="00E035F1"/>
    <w:rsid w:val="00E303E1"/>
    <w:rsid w:val="00E609F4"/>
    <w:rsid w:val="00E624A4"/>
    <w:rsid w:val="00E928AD"/>
    <w:rsid w:val="00EB020A"/>
    <w:rsid w:val="00FB5307"/>
    <w:rsid w:val="00FF6F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3DC"/>
  <w15:chartTrackingRefBased/>
  <w15:docId w15:val="{F96E25C8-B923-5B40-9B15-ECA98FBA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615"/>
    <w:pPr>
      <w:spacing w:before="100" w:beforeAutospacing="1" w:after="100" w:afterAutospacing="1"/>
    </w:pPr>
    <w:rPr>
      <w:rFonts w:ascii="Times New Roman" w:eastAsiaTheme="minorEastAsia" w:hAnsi="Times New Roman" w:cs="Times New Roman"/>
      <w:lang w:eastAsia="en-GB"/>
    </w:rPr>
  </w:style>
  <w:style w:type="paragraph" w:styleId="Revision">
    <w:name w:val="Revision"/>
    <w:hidden/>
    <w:uiPriority w:val="99"/>
    <w:semiHidden/>
    <w:rsid w:val="00E609F4"/>
  </w:style>
  <w:style w:type="paragraph" w:styleId="ListParagraph">
    <w:name w:val="List Paragraph"/>
    <w:basedOn w:val="Normal"/>
    <w:uiPriority w:val="34"/>
    <w:qFormat/>
    <w:rsid w:val="000E1EED"/>
    <w:pPr>
      <w:ind w:left="720"/>
      <w:contextualSpacing/>
    </w:pPr>
  </w:style>
  <w:style w:type="character" w:styleId="CommentReference">
    <w:name w:val="annotation reference"/>
    <w:basedOn w:val="DefaultParagraphFont"/>
    <w:uiPriority w:val="99"/>
    <w:semiHidden/>
    <w:unhideWhenUsed/>
    <w:rsid w:val="00997C43"/>
    <w:rPr>
      <w:sz w:val="16"/>
      <w:szCs w:val="16"/>
    </w:rPr>
  </w:style>
  <w:style w:type="paragraph" w:styleId="CommentText">
    <w:name w:val="annotation text"/>
    <w:basedOn w:val="Normal"/>
    <w:link w:val="CommentTextChar"/>
    <w:uiPriority w:val="99"/>
    <w:semiHidden/>
    <w:unhideWhenUsed/>
    <w:rsid w:val="00997C43"/>
    <w:rPr>
      <w:sz w:val="20"/>
      <w:szCs w:val="20"/>
    </w:rPr>
  </w:style>
  <w:style w:type="character" w:customStyle="1" w:styleId="CommentTextChar">
    <w:name w:val="Comment Text Char"/>
    <w:basedOn w:val="DefaultParagraphFont"/>
    <w:link w:val="CommentText"/>
    <w:uiPriority w:val="99"/>
    <w:semiHidden/>
    <w:rsid w:val="00997C43"/>
    <w:rPr>
      <w:sz w:val="20"/>
      <w:szCs w:val="20"/>
    </w:rPr>
  </w:style>
  <w:style w:type="paragraph" w:styleId="CommentSubject">
    <w:name w:val="annotation subject"/>
    <w:basedOn w:val="CommentText"/>
    <w:next w:val="CommentText"/>
    <w:link w:val="CommentSubjectChar"/>
    <w:uiPriority w:val="99"/>
    <w:semiHidden/>
    <w:unhideWhenUsed/>
    <w:rsid w:val="00997C43"/>
    <w:rPr>
      <w:b/>
      <w:bCs/>
    </w:rPr>
  </w:style>
  <w:style w:type="character" w:customStyle="1" w:styleId="CommentSubjectChar">
    <w:name w:val="Comment Subject Char"/>
    <w:basedOn w:val="CommentTextChar"/>
    <w:link w:val="CommentSubject"/>
    <w:uiPriority w:val="99"/>
    <w:semiHidden/>
    <w:rsid w:val="00997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563">
      <w:bodyDiv w:val="1"/>
      <w:marLeft w:val="0"/>
      <w:marRight w:val="0"/>
      <w:marTop w:val="0"/>
      <w:marBottom w:val="0"/>
      <w:divBdr>
        <w:top w:val="none" w:sz="0" w:space="0" w:color="auto"/>
        <w:left w:val="none" w:sz="0" w:space="0" w:color="auto"/>
        <w:bottom w:val="none" w:sz="0" w:space="0" w:color="auto"/>
        <w:right w:val="none" w:sz="0" w:space="0" w:color="auto"/>
      </w:divBdr>
    </w:div>
    <w:div w:id="94080204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00">
          <w:marLeft w:val="0"/>
          <w:marRight w:val="0"/>
          <w:marTop w:val="0"/>
          <w:marBottom w:val="0"/>
          <w:divBdr>
            <w:top w:val="none" w:sz="0" w:space="0" w:color="auto"/>
            <w:left w:val="none" w:sz="0" w:space="0" w:color="auto"/>
            <w:bottom w:val="none" w:sz="0" w:space="0" w:color="auto"/>
            <w:right w:val="none" w:sz="0" w:space="0" w:color="auto"/>
          </w:divBdr>
          <w:divsChild>
            <w:div w:id="169955818">
              <w:marLeft w:val="0"/>
              <w:marRight w:val="0"/>
              <w:marTop w:val="0"/>
              <w:marBottom w:val="0"/>
              <w:divBdr>
                <w:top w:val="none" w:sz="0" w:space="0" w:color="auto"/>
                <w:left w:val="none" w:sz="0" w:space="0" w:color="auto"/>
                <w:bottom w:val="none" w:sz="0" w:space="0" w:color="auto"/>
                <w:right w:val="none" w:sz="0" w:space="0" w:color="auto"/>
              </w:divBdr>
              <w:divsChild>
                <w:div w:id="836071825">
                  <w:marLeft w:val="0"/>
                  <w:marRight w:val="0"/>
                  <w:marTop w:val="0"/>
                  <w:marBottom w:val="0"/>
                  <w:divBdr>
                    <w:top w:val="none" w:sz="0" w:space="0" w:color="auto"/>
                    <w:left w:val="none" w:sz="0" w:space="0" w:color="auto"/>
                    <w:bottom w:val="none" w:sz="0" w:space="0" w:color="auto"/>
                    <w:right w:val="none" w:sz="0" w:space="0" w:color="auto"/>
                  </w:divBdr>
                </w:div>
                <w:div w:id="2130271776">
                  <w:marLeft w:val="0"/>
                  <w:marRight w:val="0"/>
                  <w:marTop w:val="0"/>
                  <w:marBottom w:val="0"/>
                  <w:divBdr>
                    <w:top w:val="none" w:sz="0" w:space="0" w:color="auto"/>
                    <w:left w:val="none" w:sz="0" w:space="0" w:color="auto"/>
                    <w:bottom w:val="none" w:sz="0" w:space="0" w:color="auto"/>
                    <w:right w:val="none" w:sz="0" w:space="0" w:color="auto"/>
                  </w:divBdr>
                </w:div>
              </w:divsChild>
            </w:div>
            <w:div w:id="1640374730">
              <w:marLeft w:val="0"/>
              <w:marRight w:val="0"/>
              <w:marTop w:val="0"/>
              <w:marBottom w:val="0"/>
              <w:divBdr>
                <w:top w:val="none" w:sz="0" w:space="0" w:color="auto"/>
                <w:left w:val="none" w:sz="0" w:space="0" w:color="auto"/>
                <w:bottom w:val="none" w:sz="0" w:space="0" w:color="auto"/>
                <w:right w:val="none" w:sz="0" w:space="0" w:color="auto"/>
              </w:divBdr>
              <w:divsChild>
                <w:div w:id="673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0307">
      <w:bodyDiv w:val="1"/>
      <w:marLeft w:val="0"/>
      <w:marRight w:val="0"/>
      <w:marTop w:val="0"/>
      <w:marBottom w:val="0"/>
      <w:divBdr>
        <w:top w:val="none" w:sz="0" w:space="0" w:color="auto"/>
        <w:left w:val="none" w:sz="0" w:space="0" w:color="auto"/>
        <w:bottom w:val="none" w:sz="0" w:space="0" w:color="auto"/>
        <w:right w:val="none" w:sz="0" w:space="0" w:color="auto"/>
      </w:divBdr>
      <w:divsChild>
        <w:div w:id="1449471578">
          <w:marLeft w:val="0"/>
          <w:marRight w:val="0"/>
          <w:marTop w:val="0"/>
          <w:marBottom w:val="0"/>
          <w:divBdr>
            <w:top w:val="none" w:sz="0" w:space="0" w:color="auto"/>
            <w:left w:val="none" w:sz="0" w:space="0" w:color="auto"/>
            <w:bottom w:val="none" w:sz="0" w:space="0" w:color="auto"/>
            <w:right w:val="none" w:sz="0" w:space="0" w:color="auto"/>
          </w:divBdr>
          <w:divsChild>
            <w:div w:id="1178081340">
              <w:marLeft w:val="0"/>
              <w:marRight w:val="0"/>
              <w:marTop w:val="0"/>
              <w:marBottom w:val="0"/>
              <w:divBdr>
                <w:top w:val="none" w:sz="0" w:space="0" w:color="auto"/>
                <w:left w:val="none" w:sz="0" w:space="0" w:color="auto"/>
                <w:bottom w:val="none" w:sz="0" w:space="0" w:color="auto"/>
                <w:right w:val="none" w:sz="0" w:space="0" w:color="auto"/>
              </w:divBdr>
              <w:divsChild>
                <w:div w:id="1993367866">
                  <w:marLeft w:val="0"/>
                  <w:marRight w:val="0"/>
                  <w:marTop w:val="0"/>
                  <w:marBottom w:val="0"/>
                  <w:divBdr>
                    <w:top w:val="none" w:sz="0" w:space="0" w:color="auto"/>
                    <w:left w:val="none" w:sz="0" w:space="0" w:color="auto"/>
                    <w:bottom w:val="none" w:sz="0" w:space="0" w:color="auto"/>
                    <w:right w:val="none" w:sz="0" w:space="0" w:color="auto"/>
                  </w:divBdr>
                </w:div>
                <w:div w:id="223296077">
                  <w:marLeft w:val="0"/>
                  <w:marRight w:val="0"/>
                  <w:marTop w:val="0"/>
                  <w:marBottom w:val="0"/>
                  <w:divBdr>
                    <w:top w:val="none" w:sz="0" w:space="0" w:color="auto"/>
                    <w:left w:val="none" w:sz="0" w:space="0" w:color="auto"/>
                    <w:bottom w:val="none" w:sz="0" w:space="0" w:color="auto"/>
                    <w:right w:val="none" w:sz="0" w:space="0" w:color="auto"/>
                  </w:divBdr>
                </w:div>
              </w:divsChild>
            </w:div>
            <w:div w:id="1480657029">
              <w:marLeft w:val="0"/>
              <w:marRight w:val="0"/>
              <w:marTop w:val="0"/>
              <w:marBottom w:val="0"/>
              <w:divBdr>
                <w:top w:val="none" w:sz="0" w:space="0" w:color="auto"/>
                <w:left w:val="none" w:sz="0" w:space="0" w:color="auto"/>
                <w:bottom w:val="none" w:sz="0" w:space="0" w:color="auto"/>
                <w:right w:val="none" w:sz="0" w:space="0" w:color="auto"/>
              </w:divBdr>
              <w:divsChild>
                <w:div w:id="13973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2293-9984-CE41-9794-F476219A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Ubaid Ullah</dc:creator>
  <cp:keywords/>
  <dc:description/>
  <cp:lastModifiedBy>Megan Bond</cp:lastModifiedBy>
  <cp:revision>2</cp:revision>
  <dcterms:created xsi:type="dcterms:W3CDTF">2022-05-10T16:10:00Z</dcterms:created>
  <dcterms:modified xsi:type="dcterms:W3CDTF">2022-05-10T16:10:00Z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http://www.zotero.org/styles/diabetes</vt:lpwstr>
  </property>
  <property fmtid="{D5CDD505-2E9C-101B-9397-08002B2CF9AE}" pid="7" name="Mendeley Recent Style Name 2_1">
    <vt:lpwstr>Diabetes</vt:lpwstr>
  </property>
  <property fmtid="{D5CDD505-2E9C-101B-9397-08002B2CF9AE}" pid="8" name="Mendeley Recent Style Id 3_1">
    <vt:lpwstr>http://www.zotero.org/styles/diabetologia</vt:lpwstr>
  </property>
  <property fmtid="{D5CDD505-2E9C-101B-9397-08002B2CF9AE}" pid="9" name="Mendeley Recent Style Name 3_1">
    <vt:lpwstr>Diabetologia</vt:lpwstr>
  </property>
  <property fmtid="{D5CDD505-2E9C-101B-9397-08002B2CF9AE}" pid="10" name="Mendeley Recent Style Id 4_1">
    <vt:lpwstr>http://www.zotero.org/styles/frontiers-in-immunology</vt:lpwstr>
  </property>
  <property fmtid="{D5CDD505-2E9C-101B-9397-08002B2CF9AE}" pid="11" name="Mendeley Recent Style Name 4_1">
    <vt:lpwstr>Frontiers in Immunology</vt:lpwstr>
  </property>
  <property fmtid="{D5CDD505-2E9C-101B-9397-08002B2CF9AE}" pid="12" name="Mendeley Recent Style Id 5_1">
    <vt:lpwstr>http://www.zotero.org/styles/immunity</vt:lpwstr>
  </property>
  <property fmtid="{D5CDD505-2E9C-101B-9397-08002B2CF9AE}" pid="13" name="Mendeley Recent Style Name 5_1">
    <vt:lpwstr>Immunity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http://www.zotero.org/styles/science-translational-medicine</vt:lpwstr>
  </property>
  <property fmtid="{D5CDD505-2E9C-101B-9397-08002B2CF9AE}" pid="21" name="Mendeley Recent Style Name 9_1">
    <vt:lpwstr>Science Translational Medicine</vt:lpwstr>
  </property>
  <property fmtid="{D5CDD505-2E9C-101B-9397-08002B2CF9AE}" pid="22" name="Mendeley Document_1">
    <vt:lpwstr>True</vt:lpwstr>
  </property>
  <property fmtid="{D5CDD505-2E9C-101B-9397-08002B2CF9AE}" pid="23" name="Mendeley Unique User Id_1">
    <vt:lpwstr>9f3cfc7e-a359-3f93-aec9-b91ecf66c19c</vt:lpwstr>
  </property>
  <property fmtid="{D5CDD505-2E9C-101B-9397-08002B2CF9AE}" pid="24" name="Mendeley Citation Style_1">
    <vt:lpwstr>http://www.zotero.org/styles/diabetes</vt:lpwstr>
  </property>
</Properties>
</file>