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7EA8D3E" w14:textId="77777777" w:rsidR="00D46D16" w:rsidRDefault="00D46D16">
      <w:pPr>
        <w:pStyle w:val="Title"/>
        <w:jc w:val="both"/>
      </w:pPr>
      <w:bookmarkStart w:id="0" w:name="_Hlk91440295"/>
    </w:p>
    <w:p w14:paraId="0779A027" w14:textId="30E12238" w:rsidR="00DB50B1" w:rsidRDefault="00262EB0">
      <w:pPr>
        <w:pStyle w:val="Title"/>
        <w:jc w:val="both"/>
      </w:pPr>
      <w:r>
        <w:rPr>
          <w:rFonts w:hint="eastAsia"/>
        </w:rPr>
        <w:t>Identification of prefrontal cortex and amygdala expres</w:t>
      </w:r>
      <w:r>
        <w:t>sed</w:t>
      </w:r>
      <w:r>
        <w:rPr>
          <w:rFonts w:hint="eastAsia"/>
        </w:rPr>
        <w:t xml:space="preserve"> genes associated with </w:t>
      </w:r>
      <w:r>
        <w:t>sevoflurane</w:t>
      </w:r>
      <w:r>
        <w:rPr>
          <w:rFonts w:hint="eastAsia"/>
        </w:rPr>
        <w:t xml:space="preserve"> anesthesia on non-human primate</w:t>
      </w:r>
    </w:p>
    <w:p w14:paraId="6001B48F" w14:textId="77777777" w:rsidR="00DB50B1" w:rsidRDefault="00262EB0">
      <w:pPr>
        <w:pStyle w:val="AuthorList"/>
        <w:jc w:val="both"/>
      </w:pPr>
      <w:r>
        <w:t>Yanyong Cheng</w:t>
      </w:r>
      <w:r>
        <w:rPr>
          <w:vertAlign w:val="superscript"/>
        </w:rPr>
        <w:t>1</w:t>
      </w:r>
      <w:r>
        <w:t xml:space="preserve">, </w:t>
      </w:r>
      <w:proofErr w:type="spellStart"/>
      <w:r>
        <w:t>Siyu</w:t>
      </w:r>
      <w:proofErr w:type="spellEnd"/>
      <w:r>
        <w:t xml:space="preserve"> Liu</w:t>
      </w:r>
      <w:r>
        <w:rPr>
          <w:vertAlign w:val="superscript"/>
        </w:rPr>
        <w:t>1</w:t>
      </w:r>
      <w:r>
        <w:t>, Lei Zhang</w:t>
      </w:r>
      <w:r>
        <w:rPr>
          <w:vertAlign w:val="superscript"/>
        </w:rPr>
        <w:t>1*</w:t>
      </w:r>
      <w:r>
        <w:t xml:space="preserve">, </w:t>
      </w:r>
      <w:r>
        <w:rPr>
          <w:rFonts w:hint="eastAsia"/>
        </w:rPr>
        <w:t>Hong Jiang</w:t>
      </w:r>
      <w:r>
        <w:rPr>
          <w:vertAlign w:val="superscript"/>
        </w:rPr>
        <w:t>1*</w:t>
      </w:r>
    </w:p>
    <w:p w14:paraId="3C78BB39" w14:textId="77777777" w:rsidR="00DB50B1" w:rsidRDefault="00262EB0">
      <w:pPr>
        <w:spacing w:before="240"/>
        <w:rPr>
          <w:rFonts w:ascii="Times New Roman Regular" w:eastAsia="SimSun" w:hAnsi="Times New Roman Regular" w:cs="Times New Roman Regular"/>
          <w:sz w:val="24"/>
          <w:szCs w:val="24"/>
        </w:rPr>
      </w:pPr>
      <w:r>
        <w:rPr>
          <w:rFonts w:ascii="Times New Roman Regular" w:eastAsia="SimSun" w:hAnsi="Times New Roman Regular" w:cs="Times New Roman Regular"/>
          <w:sz w:val="24"/>
          <w:szCs w:val="24"/>
          <w:vertAlign w:val="superscript"/>
        </w:rPr>
        <w:t>1</w:t>
      </w:r>
      <w:r>
        <w:rPr>
          <w:rFonts w:ascii="Times New Roman Regular" w:eastAsia="SimSun" w:hAnsi="Times New Roman Regular" w:cs="Times New Roman Regular"/>
          <w:sz w:val="24"/>
          <w:szCs w:val="24"/>
        </w:rPr>
        <w:t>Department of Anesthesiology, Shanghai Ninth People’s Hospital, Shanghai Jiao Tong University School of Medicine, Shanghai 200011, China</w:t>
      </w:r>
    </w:p>
    <w:p w14:paraId="7EB35B69" w14:textId="77777777" w:rsidR="00DB50B1" w:rsidRDefault="00262EB0">
      <w:pPr>
        <w:spacing w:before="240"/>
        <w:rPr>
          <w:rFonts w:ascii="Times New Roman Regular" w:eastAsia="SimSun" w:hAnsi="Times New Roman Regular" w:cs="Times New Roman Regular"/>
          <w:sz w:val="24"/>
          <w:szCs w:val="24"/>
        </w:rPr>
      </w:pPr>
      <w:r>
        <w:rPr>
          <w:rFonts w:ascii="Times New Roman Regular" w:eastAsia="SimSun" w:hAnsi="Times New Roman Regular" w:cs="Times New Roman Regular"/>
          <w:sz w:val="24"/>
          <w:szCs w:val="24"/>
        </w:rPr>
        <w:t xml:space="preserve">* Correspondence: </w:t>
      </w:r>
      <w:r>
        <w:rPr>
          <w:rFonts w:ascii="Times New Roman Regular" w:eastAsia="SimSun" w:hAnsi="Times New Roman Regular" w:cs="Times New Roman Regular"/>
          <w:sz w:val="24"/>
          <w:szCs w:val="24"/>
        </w:rPr>
        <w:br/>
        <w:t>Corresponding Author</w:t>
      </w:r>
      <w:r>
        <w:rPr>
          <w:rFonts w:ascii="Times New Roman Regular" w:eastAsia="SimSun" w:hAnsi="Times New Roman Regular" w:cs="Times New Roman Regular"/>
          <w:sz w:val="24"/>
          <w:szCs w:val="24"/>
        </w:rPr>
        <w:br/>
        <w:t xml:space="preserve">Lei Zhang, weiymzhl@126.com, Hong Jiang, </w:t>
      </w:r>
      <w:hyperlink r:id="rId8" w:history="1">
        <w:r>
          <w:rPr>
            <w:rStyle w:val="Hyperlink"/>
            <w:rFonts w:ascii="Times New Roman Regular" w:eastAsia="SimSun" w:hAnsi="Times New Roman Regular" w:cs="Times New Roman Regular"/>
            <w:color w:val="auto"/>
            <w:sz w:val="24"/>
            <w:szCs w:val="24"/>
          </w:rPr>
          <w:t>jianghongjiuyuan@163.com</w:t>
        </w:r>
      </w:hyperlink>
      <w:r>
        <w:rPr>
          <w:rFonts w:ascii="Times New Roman Regular" w:eastAsia="SimSun" w:hAnsi="Times New Roman Regular" w:cs="Times New Roman Regular"/>
          <w:sz w:val="24"/>
          <w:szCs w:val="24"/>
        </w:rPr>
        <w:t>.</w:t>
      </w:r>
      <w:bookmarkEnd w:id="0"/>
    </w:p>
    <w:p w14:paraId="41C6C5F4" w14:textId="77777777" w:rsidR="00DB50B1" w:rsidRDefault="00262EB0">
      <w:pPr>
        <w:spacing w:before="240"/>
        <w:rPr>
          <w:rFonts w:ascii="Times New Roman Regular" w:eastAsia="SimSun" w:hAnsi="Times New Roman Regular" w:cs="Times New Roman Regular"/>
          <w:sz w:val="24"/>
          <w:szCs w:val="24"/>
        </w:rPr>
      </w:pPr>
      <w:r>
        <w:rPr>
          <w:rFonts w:ascii="Times New Roman Regular" w:eastAsia="SimSun" w:hAnsi="Times New Roman Regular" w:cs="Times New Roman Regular" w:hint="eastAsia"/>
          <w:sz w:val="24"/>
          <w:szCs w:val="24"/>
        </w:rPr>
        <w:t>Y</w:t>
      </w:r>
      <w:r>
        <w:rPr>
          <w:rFonts w:ascii="Times New Roman Regular" w:eastAsia="SimSun" w:hAnsi="Times New Roman Regular" w:cs="Times New Roman Regular"/>
          <w:sz w:val="24"/>
          <w:szCs w:val="24"/>
        </w:rPr>
        <w:t xml:space="preserve">anyong Cheng and </w:t>
      </w:r>
      <w:proofErr w:type="spellStart"/>
      <w:r>
        <w:rPr>
          <w:rFonts w:ascii="Times New Roman Regular" w:eastAsia="SimSun" w:hAnsi="Times New Roman Regular" w:cs="Times New Roman Regular"/>
          <w:sz w:val="24"/>
          <w:szCs w:val="24"/>
        </w:rPr>
        <w:t>Siyu</w:t>
      </w:r>
      <w:proofErr w:type="spellEnd"/>
      <w:r>
        <w:rPr>
          <w:rFonts w:ascii="Times New Roman Regular" w:eastAsia="SimSun" w:hAnsi="Times New Roman Regular" w:cs="Times New Roman Regular"/>
          <w:sz w:val="24"/>
          <w:szCs w:val="24"/>
        </w:rPr>
        <w:t xml:space="preserve"> Liu contributed equally to this manuscript.</w:t>
      </w:r>
    </w:p>
    <w:p w14:paraId="01A4F065" w14:textId="77777777" w:rsidR="00DB50B1" w:rsidRDefault="00262EB0">
      <w:pPr>
        <w:pStyle w:val="AuthorList"/>
        <w:jc w:val="both"/>
      </w:pPr>
      <w:r>
        <w:t xml:space="preserve">Keywords: sevoflurane, </w:t>
      </w:r>
      <w:r>
        <w:rPr>
          <w:rFonts w:hint="eastAsia"/>
          <w:lang w:eastAsia="zh-Hans"/>
        </w:rPr>
        <w:t>primate</w:t>
      </w:r>
      <w:r>
        <w:rPr>
          <w:lang w:eastAsia="zh-Hans"/>
        </w:rPr>
        <w:t xml:space="preserve">, </w:t>
      </w:r>
      <w:r>
        <w:t xml:space="preserve">prefrontal cortex, amygdala, RNA sequencing. </w:t>
      </w:r>
    </w:p>
    <w:p w14:paraId="2FA7027F" w14:textId="77777777" w:rsidR="00DB50B1" w:rsidRDefault="00262EB0">
      <w:pPr>
        <w:widowControl/>
        <w:jc w:val="left"/>
        <w:rPr>
          <w:rFonts w:ascii="Times New Roman" w:eastAsiaTheme="minorHAnsi" w:hAnsi="Times New Roman" w:cs="Times New Roman"/>
          <w:b/>
          <w:kern w:val="0"/>
          <w:sz w:val="24"/>
          <w:szCs w:val="24"/>
          <w:lang w:eastAsia="en-US"/>
        </w:rPr>
      </w:pPr>
      <w:r>
        <w:br w:type="page"/>
      </w:r>
    </w:p>
    <w:p w14:paraId="351797A2" w14:textId="5B9E1361" w:rsidR="00DB50B1" w:rsidRDefault="00262EB0">
      <w:pPr>
        <w:pStyle w:val="AuthorList"/>
        <w:jc w:val="both"/>
        <w:rPr>
          <w:rFonts w:ascii="Times New Roman Bold" w:eastAsiaTheme="minorEastAsia" w:hAnsi="Times New Roman Bold" w:cs="Times New Roman Bold"/>
          <w:bCs/>
          <w:lang w:eastAsia="zh-Hans"/>
        </w:rPr>
      </w:pPr>
      <w:r>
        <w:lastRenderedPageBreak/>
        <w:t>SUPPLEMENTARY FIGURES</w:t>
      </w:r>
    </w:p>
    <w:p w14:paraId="6520EA7E" w14:textId="77777777" w:rsidR="00DB50B1" w:rsidRDefault="00262EB0">
      <w:pPr>
        <w:rPr>
          <w:rFonts w:ascii="Times New Roman Bold" w:hAnsi="Times New Roman Bold" w:cs="Times New Roman Bold"/>
          <w:b/>
          <w:bCs/>
          <w:sz w:val="24"/>
          <w:szCs w:val="24"/>
        </w:rPr>
      </w:pPr>
      <w:r>
        <w:rPr>
          <w:rFonts w:ascii="Times New Roman Bold" w:hAnsi="Times New Roman Bold" w:cs="Times New Roman Bold"/>
          <w:b/>
          <w:bCs/>
          <w:noProof/>
          <w:sz w:val="24"/>
          <w:szCs w:val="24"/>
        </w:rPr>
        <w:drawing>
          <wp:inline distT="0" distB="0" distL="114300" distR="114300" wp14:anchorId="3DBDD2AD" wp14:editId="36481AE1">
            <wp:extent cx="5273675" cy="3477260"/>
            <wp:effectExtent l="0" t="0" r="9525" b="2540"/>
            <wp:docPr id="1" name="图片 1" descr="fig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figS1"/>
                    <pic:cNvPicPr>
                      <a:picLocks noChangeAspect="1"/>
                    </pic:cNvPicPr>
                  </pic:nvPicPr>
                  <pic:blipFill>
                    <a:blip r:embed="rId9"/>
                    <a:srcRect b="5435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47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0D4A7" w14:textId="6ADDFF3D" w:rsidR="00DB50B1" w:rsidRDefault="00262EB0">
      <w:pPr>
        <w:rPr>
          <w:rFonts w:ascii="Times New Roman Bold" w:hAnsi="Times New Roman Bold" w:cs="Times New Roman Bold"/>
          <w:b/>
          <w:bCs/>
          <w:sz w:val="24"/>
          <w:szCs w:val="24"/>
        </w:rPr>
      </w:pPr>
      <w:r>
        <w:rPr>
          <w:rFonts w:ascii="Times New Roman Bold" w:hAnsi="Times New Roman Bold" w:cs="Times New Roman Bold"/>
          <w:b/>
          <w:bCs/>
          <w:sz w:val="24"/>
          <w:szCs w:val="24"/>
        </w:rPr>
        <w:t xml:space="preserve">Fig.S1 </w:t>
      </w:r>
      <w:r w:rsidR="00F26E1E">
        <w:rPr>
          <w:rFonts w:ascii="Times New Roman Bold" w:hAnsi="Times New Roman Bold" w:cs="Times New Roman Bold"/>
          <w:b/>
          <w:bCs/>
          <w:sz w:val="24"/>
          <w:szCs w:val="24"/>
        </w:rPr>
        <w:t xml:space="preserve">Working flow of selecting </w:t>
      </w:r>
      <w:r>
        <w:rPr>
          <w:rFonts w:ascii="Times New Roman Bold" w:hAnsi="Times New Roman Bold" w:cs="Times New Roman Bold" w:hint="eastAsia"/>
          <w:b/>
          <w:bCs/>
          <w:sz w:val="24"/>
          <w:szCs w:val="24"/>
          <w:lang w:eastAsia="zh-Hans"/>
        </w:rPr>
        <w:t>d</w:t>
      </w:r>
      <w:r>
        <w:rPr>
          <w:rFonts w:ascii="Times New Roman Bold" w:hAnsi="Times New Roman Bold" w:cs="Times New Roman Bold"/>
          <w:b/>
          <w:bCs/>
          <w:sz w:val="24"/>
          <w:szCs w:val="24"/>
        </w:rPr>
        <w:t>ifferentially expressed genes (</w:t>
      </w:r>
      <w:r>
        <w:rPr>
          <w:rFonts w:ascii="Times New Roman Bold" w:hAnsi="Times New Roman Bold" w:cs="Times New Roman Bold"/>
          <w:b/>
          <w:bCs/>
          <w:sz w:val="24"/>
          <w:szCs w:val="24"/>
          <w:lang w:eastAsia="zh-Hans"/>
        </w:rPr>
        <w:t>DEGs) in the amygdala of macaques</w:t>
      </w:r>
      <w:r>
        <w:rPr>
          <w:rFonts w:ascii="Times New Roman Bold" w:hAnsi="Times New Roman Bold" w:cs="Times New Roman Bold"/>
          <w:b/>
          <w:bCs/>
          <w:sz w:val="24"/>
          <w:szCs w:val="24"/>
        </w:rPr>
        <w:t xml:space="preserve"> after sevoflurane anesthesia.</w:t>
      </w:r>
    </w:p>
    <w:p w14:paraId="787AE9F9" w14:textId="77777777" w:rsidR="00DB50B1" w:rsidRDefault="00DB50B1">
      <w:pPr>
        <w:rPr>
          <w:rFonts w:ascii="Times New Roman Bold" w:hAnsi="Times New Roman Bold" w:cs="Times New Roman Bold"/>
          <w:b/>
          <w:bCs/>
          <w:sz w:val="24"/>
          <w:szCs w:val="24"/>
        </w:rPr>
      </w:pPr>
    </w:p>
    <w:p w14:paraId="1E6EF776" w14:textId="77777777" w:rsidR="00DB50B1" w:rsidRDefault="00262EB0">
      <w:pPr>
        <w:rPr>
          <w:rFonts w:ascii="Times New Roman Bold" w:hAnsi="Times New Roman Bold" w:cs="Times New Roman Bold"/>
          <w:b/>
          <w:bCs/>
          <w:sz w:val="24"/>
          <w:szCs w:val="24"/>
        </w:rPr>
      </w:pPr>
      <w:r>
        <w:rPr>
          <w:rFonts w:ascii="Times New Roman Bold" w:hAnsi="Times New Roman Bold" w:cs="Times New Roman Bold"/>
          <w:b/>
          <w:bCs/>
          <w:noProof/>
          <w:sz w:val="24"/>
          <w:szCs w:val="24"/>
        </w:rPr>
        <w:lastRenderedPageBreak/>
        <w:drawing>
          <wp:inline distT="0" distB="0" distL="114300" distR="114300" wp14:anchorId="073BF006" wp14:editId="2173D832">
            <wp:extent cx="5273675" cy="7084060"/>
            <wp:effectExtent l="0" t="0" r="9525" b="2540"/>
            <wp:docPr id="2" name="图片 2" descr="fig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figS2"/>
                    <pic:cNvPicPr>
                      <a:picLocks noChangeAspect="1"/>
                    </pic:cNvPicPr>
                  </pic:nvPicPr>
                  <pic:blipFill>
                    <a:blip r:embed="rId10"/>
                    <a:srcRect b="700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08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18230A" w14:textId="6195C710" w:rsidR="00DB50B1" w:rsidRDefault="00262EB0">
      <w:pPr>
        <w:rPr>
          <w:rFonts w:ascii="Times New Roman Bold" w:hAnsi="Times New Roman Bold" w:cs="Times New Roman Bold"/>
          <w:b/>
          <w:bCs/>
          <w:sz w:val="24"/>
          <w:szCs w:val="24"/>
        </w:rPr>
      </w:pPr>
      <w:r>
        <w:rPr>
          <w:rFonts w:ascii="Times New Roman Bold" w:hAnsi="Times New Roman Bold" w:cs="Times New Roman Bold"/>
          <w:b/>
          <w:bCs/>
          <w:sz w:val="24"/>
          <w:szCs w:val="24"/>
        </w:rPr>
        <w:t xml:space="preserve">Fig.S2 </w:t>
      </w:r>
      <w:r w:rsidR="000042CF">
        <w:rPr>
          <w:rFonts w:ascii="Times New Roman Bold" w:hAnsi="Times New Roman Bold" w:cs="Times New Roman Bold"/>
          <w:b/>
          <w:bCs/>
          <w:sz w:val="24"/>
          <w:szCs w:val="24"/>
        </w:rPr>
        <w:t xml:space="preserve">The </w:t>
      </w:r>
      <w:r w:rsidR="000042CF" w:rsidRPr="000042CF">
        <w:rPr>
          <w:rFonts w:ascii="Times New Roman Bold" w:hAnsi="Times New Roman Bold" w:cs="Times New Roman Bold"/>
          <w:b/>
          <w:bCs/>
          <w:sz w:val="24"/>
          <w:szCs w:val="24"/>
        </w:rPr>
        <w:t>Gene Ontology (GO) analysis</w:t>
      </w:r>
      <w:r w:rsidR="000042CF">
        <w:rPr>
          <w:rFonts w:ascii="Times New Roman Bold" w:hAnsi="Times New Roman Bold" w:cs="Times New Roman Bold"/>
          <w:b/>
          <w:bCs/>
          <w:sz w:val="24"/>
          <w:szCs w:val="24"/>
        </w:rPr>
        <w:t xml:space="preserve"> and Kyoto encyclopedia of genes and genomes (KEGG) pathway terms</w:t>
      </w:r>
      <w:r w:rsidR="000042CF" w:rsidDel="000042CF">
        <w:rPr>
          <w:rFonts w:ascii="Times New Roman Bold" w:hAnsi="Times New Roman Bold" w:cs="Times New Roman Bold"/>
          <w:b/>
          <w:bCs/>
          <w:sz w:val="24"/>
          <w:szCs w:val="24"/>
        </w:rPr>
        <w:t xml:space="preserve"> </w:t>
      </w:r>
      <w:r>
        <w:rPr>
          <w:rFonts w:ascii="Times New Roman Bold" w:hAnsi="Times New Roman Bold" w:cs="Times New Roman Bold"/>
          <w:b/>
          <w:bCs/>
          <w:sz w:val="24"/>
          <w:szCs w:val="24"/>
        </w:rPr>
        <w:t>of up-regulated genes in macaques’ amygdala after multiple sevoflurane anesthesia.</w:t>
      </w:r>
    </w:p>
    <w:p w14:paraId="130500D1" w14:textId="2964B3B9" w:rsidR="00DB50B1" w:rsidRDefault="00262EB0">
      <w:pPr>
        <w:rPr>
          <w:rFonts w:ascii="Times New Roman Regular" w:hAnsi="Times New Roman Regular" w:cs="Times New Roman Regular"/>
          <w:sz w:val="24"/>
          <w:szCs w:val="24"/>
        </w:rPr>
      </w:pPr>
      <w:r>
        <w:rPr>
          <w:rFonts w:ascii="Times New Roman Regular" w:hAnsi="Times New Roman Regular" w:cs="Times New Roman Regular"/>
          <w:sz w:val="24"/>
          <w:szCs w:val="24"/>
        </w:rPr>
        <w:t>(A</w:t>
      </w:r>
      <w:r w:rsidR="000042CF">
        <w:rPr>
          <w:rFonts w:ascii="Times New Roman Regular" w:hAnsi="Times New Roman Regular" w:cs="Times New Roman Regular"/>
          <w:sz w:val="24"/>
          <w:szCs w:val="24"/>
        </w:rPr>
        <w:t>-</w:t>
      </w:r>
      <w:r w:rsidR="00F166B3">
        <w:rPr>
          <w:rFonts w:ascii="Times New Roman Regular" w:hAnsi="Times New Roman Regular" w:cs="Times New Roman Regular"/>
          <w:sz w:val="24"/>
          <w:szCs w:val="24"/>
        </w:rPr>
        <w:t>C</w:t>
      </w:r>
      <w:r>
        <w:rPr>
          <w:rFonts w:ascii="Times New Roman Regular" w:hAnsi="Times New Roman Regular" w:cs="Times New Roman Regular"/>
          <w:sz w:val="24"/>
          <w:szCs w:val="24"/>
        </w:rPr>
        <w:t xml:space="preserve">) </w:t>
      </w:r>
      <w:bookmarkStart w:id="1" w:name="_Hlk104561653"/>
      <w:r>
        <w:rPr>
          <w:rFonts w:ascii="Times New Roman Regular" w:hAnsi="Times New Roman Regular" w:cs="Times New Roman Regular"/>
          <w:sz w:val="24"/>
          <w:szCs w:val="24"/>
        </w:rPr>
        <w:t>GO analysis</w:t>
      </w:r>
      <w:bookmarkEnd w:id="1"/>
      <w:r>
        <w:rPr>
          <w:rFonts w:ascii="Times New Roman Regular" w:hAnsi="Times New Roman Regular" w:cs="Times New Roman Regular"/>
          <w:sz w:val="24"/>
          <w:szCs w:val="24"/>
        </w:rPr>
        <w:t xml:space="preserve"> covered three domains: biological process (BP), cellular component (CC) and molecular function (MF). Bar plot of GO enrichment in BP</w:t>
      </w:r>
      <w:r w:rsidR="000042CF">
        <w:rPr>
          <w:rFonts w:ascii="Times New Roman Regular" w:hAnsi="Times New Roman Regular" w:cs="Times New Roman Regular"/>
          <w:sz w:val="24"/>
          <w:szCs w:val="24"/>
        </w:rPr>
        <w:t xml:space="preserve">(A), CC(B), </w:t>
      </w:r>
      <w:r w:rsidR="00F166B3">
        <w:rPr>
          <w:rFonts w:ascii="Times New Roman Regular" w:hAnsi="Times New Roman Regular" w:cs="Times New Roman Regular"/>
          <w:sz w:val="24"/>
          <w:szCs w:val="24"/>
        </w:rPr>
        <w:t>MF(C)</w:t>
      </w:r>
      <w:r>
        <w:rPr>
          <w:rFonts w:ascii="Times New Roman Regular" w:hAnsi="Times New Roman Regular" w:cs="Times New Roman Regular"/>
          <w:sz w:val="24"/>
          <w:szCs w:val="24"/>
        </w:rPr>
        <w:t xml:space="preserve"> in macaques’ amygdala after multiple sevoflurane anesthesia. </w:t>
      </w:r>
    </w:p>
    <w:p w14:paraId="38929B96" w14:textId="752420EF" w:rsidR="00DB50B1" w:rsidRDefault="00262EB0">
      <w:pPr>
        <w:rPr>
          <w:rFonts w:ascii="Times New Roman Regular" w:hAnsi="Times New Roman Regular" w:cs="Times New Roman Regular"/>
          <w:sz w:val="24"/>
          <w:szCs w:val="24"/>
        </w:rPr>
      </w:pPr>
      <w:r>
        <w:rPr>
          <w:rFonts w:ascii="Times New Roman Regular" w:hAnsi="Times New Roman Regular" w:cs="Times New Roman Regular"/>
          <w:sz w:val="24"/>
          <w:szCs w:val="24"/>
        </w:rPr>
        <w:t xml:space="preserve">(D) Bar plot of </w:t>
      </w:r>
      <w:r w:rsidR="00F166B3">
        <w:rPr>
          <w:rFonts w:ascii="Times New Roman Regular" w:hAnsi="Times New Roman Regular" w:cs="Times New Roman Regular"/>
          <w:sz w:val="24"/>
          <w:szCs w:val="24"/>
        </w:rPr>
        <w:t xml:space="preserve">KEGG </w:t>
      </w:r>
      <w:r>
        <w:rPr>
          <w:rFonts w:ascii="Times New Roman Regular" w:hAnsi="Times New Roman Regular" w:cs="Times New Roman Regular"/>
          <w:sz w:val="24"/>
          <w:szCs w:val="24"/>
        </w:rPr>
        <w:t>pathway enrichment in macaques’ amygdala after multiple sevoflurane anesthesia.</w:t>
      </w:r>
    </w:p>
    <w:p w14:paraId="761E6A50" w14:textId="51362436" w:rsidR="00373890" w:rsidRDefault="00373890" w:rsidP="00373890">
      <w:pPr>
        <w:widowControl/>
        <w:jc w:val="left"/>
        <w:rPr>
          <w:rFonts w:ascii="Times New Roman Regular" w:hAnsi="Times New Roman Regular" w:cs="Times New Roman Regular"/>
          <w:sz w:val="24"/>
          <w:szCs w:val="24"/>
        </w:rPr>
      </w:pPr>
    </w:p>
    <w:p w14:paraId="00E67195" w14:textId="77777777" w:rsidR="00DB50B1" w:rsidRDefault="00262EB0">
      <w:pPr>
        <w:rPr>
          <w:rFonts w:ascii="Times New Roman Bold" w:hAnsi="Times New Roman Bold" w:cs="Times New Roman Bold"/>
          <w:b/>
          <w:bCs/>
          <w:sz w:val="24"/>
          <w:szCs w:val="24"/>
        </w:rPr>
      </w:pPr>
      <w:r>
        <w:rPr>
          <w:rFonts w:ascii="Times New Roman Bold" w:hAnsi="Times New Roman Bold" w:cs="Times New Roman Bold"/>
          <w:b/>
          <w:bCs/>
          <w:noProof/>
          <w:sz w:val="24"/>
          <w:szCs w:val="24"/>
        </w:rPr>
        <w:drawing>
          <wp:inline distT="0" distB="0" distL="114300" distR="114300" wp14:anchorId="7439AA9C" wp14:editId="63532891">
            <wp:extent cx="5273675" cy="6995160"/>
            <wp:effectExtent l="0" t="0" r="9525" b="15240"/>
            <wp:docPr id="3" name="图片 3" descr="figS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igS3"/>
                    <pic:cNvPicPr>
                      <a:picLocks noChangeAspect="1"/>
                    </pic:cNvPicPr>
                  </pic:nvPicPr>
                  <pic:blipFill>
                    <a:blip r:embed="rId11"/>
                    <a:srcRect b="816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99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A013DC" w14:textId="25180D67" w:rsidR="00DB50B1" w:rsidRDefault="00262EB0">
      <w:pPr>
        <w:rPr>
          <w:rFonts w:ascii="Times New Roman Bold" w:hAnsi="Times New Roman Bold" w:cs="Times New Roman Bold"/>
          <w:b/>
          <w:bCs/>
          <w:sz w:val="24"/>
          <w:szCs w:val="24"/>
        </w:rPr>
      </w:pPr>
      <w:r>
        <w:rPr>
          <w:rFonts w:ascii="Times New Roman Bold" w:hAnsi="Times New Roman Bold" w:cs="Times New Roman Bold"/>
          <w:b/>
          <w:bCs/>
          <w:sz w:val="24"/>
          <w:szCs w:val="24"/>
        </w:rPr>
        <w:t xml:space="preserve">Fig.S3 </w:t>
      </w:r>
      <w:r w:rsidR="00F166B3">
        <w:rPr>
          <w:rFonts w:ascii="Times New Roman Bold" w:hAnsi="Times New Roman Bold" w:cs="Times New Roman Bold"/>
          <w:b/>
          <w:bCs/>
          <w:sz w:val="24"/>
          <w:szCs w:val="24"/>
        </w:rPr>
        <w:t xml:space="preserve">The </w:t>
      </w:r>
      <w:r w:rsidR="00F166B3" w:rsidRPr="000042CF">
        <w:rPr>
          <w:rFonts w:ascii="Times New Roman Bold" w:hAnsi="Times New Roman Bold" w:cs="Times New Roman Bold"/>
          <w:b/>
          <w:bCs/>
          <w:sz w:val="24"/>
          <w:szCs w:val="24"/>
        </w:rPr>
        <w:t>GO analysis</w:t>
      </w:r>
      <w:r w:rsidR="00F166B3">
        <w:rPr>
          <w:rFonts w:ascii="Times New Roman Bold" w:hAnsi="Times New Roman Bold" w:cs="Times New Roman Bold"/>
          <w:b/>
          <w:bCs/>
          <w:sz w:val="24"/>
          <w:szCs w:val="24"/>
        </w:rPr>
        <w:t xml:space="preserve"> and KEGG pathway terms</w:t>
      </w:r>
      <w:r w:rsidR="00F166B3" w:rsidDel="000042CF">
        <w:rPr>
          <w:rFonts w:ascii="Times New Roman Bold" w:hAnsi="Times New Roman Bold" w:cs="Times New Roman Bold"/>
          <w:b/>
          <w:bCs/>
          <w:sz w:val="24"/>
          <w:szCs w:val="24"/>
        </w:rPr>
        <w:t xml:space="preserve"> </w:t>
      </w:r>
      <w:r>
        <w:rPr>
          <w:rFonts w:ascii="Times New Roman Bold" w:hAnsi="Times New Roman Bold" w:cs="Times New Roman Bold"/>
          <w:b/>
          <w:bCs/>
          <w:sz w:val="24"/>
          <w:szCs w:val="24"/>
        </w:rPr>
        <w:t>of down-regulated genes in macaques’ amygdala after multiple sevoflurane anesthesia.</w:t>
      </w:r>
    </w:p>
    <w:p w14:paraId="4F269146" w14:textId="362B0F26" w:rsidR="00DB50B1" w:rsidRDefault="00F166B3" w:rsidP="00086EA1">
      <w:pPr>
        <w:rPr>
          <w:rFonts w:ascii="Times New Roman Regular" w:hAnsi="Times New Roman Regular" w:cs="Times New Roman Regular"/>
          <w:sz w:val="24"/>
          <w:szCs w:val="24"/>
        </w:rPr>
      </w:pPr>
      <w:r>
        <w:rPr>
          <w:rFonts w:ascii="Times New Roman Regular" w:hAnsi="Times New Roman Regular" w:cs="Times New Roman Regular"/>
          <w:sz w:val="24"/>
          <w:szCs w:val="24"/>
        </w:rPr>
        <w:t xml:space="preserve">(A-C) </w:t>
      </w:r>
      <w:r w:rsidR="00262EB0">
        <w:rPr>
          <w:rFonts w:ascii="Times New Roman Regular" w:hAnsi="Times New Roman Regular" w:cs="Times New Roman Regular"/>
          <w:sz w:val="24"/>
          <w:szCs w:val="24"/>
        </w:rPr>
        <w:t xml:space="preserve">Bar plot of GO enrichment in </w:t>
      </w:r>
      <w:r>
        <w:rPr>
          <w:rFonts w:ascii="Times New Roman Regular" w:hAnsi="Times New Roman Regular" w:cs="Times New Roman Regular"/>
          <w:sz w:val="24"/>
          <w:szCs w:val="24"/>
        </w:rPr>
        <w:t>BP(A), CC(B), MF(C)</w:t>
      </w:r>
      <w:r w:rsidR="00262EB0">
        <w:rPr>
          <w:rFonts w:ascii="Times New Roman Regular" w:hAnsi="Times New Roman Regular" w:cs="Times New Roman Regular"/>
          <w:sz w:val="24"/>
          <w:szCs w:val="24"/>
        </w:rPr>
        <w:t xml:space="preserve"> in macaques’ amygdala after multiple sevoflurane anesthesia. </w:t>
      </w:r>
    </w:p>
    <w:p w14:paraId="642102B3" w14:textId="337B559C" w:rsidR="00DB50B1" w:rsidRDefault="00262EB0">
      <w:pPr>
        <w:rPr>
          <w:rFonts w:ascii="Times New Roman Regular" w:hAnsi="Times New Roman Regular" w:cs="Times New Roman Regular"/>
          <w:sz w:val="24"/>
          <w:szCs w:val="24"/>
        </w:rPr>
      </w:pPr>
      <w:r>
        <w:rPr>
          <w:rFonts w:ascii="Times New Roman Regular" w:hAnsi="Times New Roman Regular" w:cs="Times New Roman Regular"/>
          <w:sz w:val="24"/>
          <w:szCs w:val="24"/>
        </w:rPr>
        <w:t>(D) Bar plot of</w:t>
      </w:r>
      <w:r w:rsidR="00F166B3">
        <w:rPr>
          <w:rFonts w:ascii="Times New Roman Regular" w:hAnsi="Times New Roman Regular" w:cs="Times New Roman Regular"/>
          <w:sz w:val="24"/>
          <w:szCs w:val="24"/>
        </w:rPr>
        <w:t xml:space="preserve"> KEGG</w:t>
      </w:r>
      <w:r>
        <w:rPr>
          <w:rFonts w:ascii="Times New Roman Regular" w:hAnsi="Times New Roman Regular" w:cs="Times New Roman Regular"/>
          <w:sz w:val="24"/>
          <w:szCs w:val="24"/>
        </w:rPr>
        <w:t xml:space="preserve"> pathway enrichment in macaques’ amygdala after multiple sevoflurane anesthesia.</w:t>
      </w:r>
    </w:p>
    <w:p w14:paraId="61718B81" w14:textId="162758E1" w:rsidR="00373890" w:rsidRDefault="00373890">
      <w:pPr>
        <w:widowControl/>
        <w:jc w:val="left"/>
        <w:rPr>
          <w:rFonts w:ascii="Times New Roman Regular" w:hAnsi="Times New Roman Regular" w:cs="Times New Roman Regular"/>
          <w:sz w:val="24"/>
          <w:szCs w:val="24"/>
        </w:rPr>
      </w:pPr>
      <w:r>
        <w:rPr>
          <w:rFonts w:ascii="Times New Roman Regular" w:hAnsi="Times New Roman Regular" w:cs="Times New Roman Regular"/>
          <w:sz w:val="24"/>
          <w:szCs w:val="24"/>
        </w:rPr>
        <w:br w:type="page"/>
      </w:r>
    </w:p>
    <w:p w14:paraId="5C01C514" w14:textId="011C27E5" w:rsidR="00DB50B1" w:rsidRDefault="002162BE">
      <w:pPr>
        <w:rPr>
          <w:rFonts w:ascii="Times New Roman Bold" w:hAnsi="Times New Roman Bold" w:cs="Times New Roman Bold"/>
          <w:b/>
          <w:bCs/>
          <w:sz w:val="24"/>
          <w:szCs w:val="24"/>
        </w:rPr>
      </w:pPr>
      <w:r>
        <w:rPr>
          <w:rFonts w:ascii="Times New Roman Regular" w:hAnsi="Times New Roman Regular" w:cs="Times New Roman Regular"/>
          <w:noProof/>
          <w:sz w:val="24"/>
          <w:szCs w:val="24"/>
        </w:rPr>
        <w:lastRenderedPageBreak/>
        <w:drawing>
          <wp:inline distT="0" distB="0" distL="0" distR="0" wp14:anchorId="2DB9288C" wp14:editId="6F8A7347">
            <wp:extent cx="5274310" cy="5754718"/>
            <wp:effectExtent l="0" t="0" r="254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467"/>
                    <a:stretch/>
                  </pic:blipFill>
                  <pic:spPr bwMode="auto">
                    <a:xfrm>
                      <a:off x="0" y="0"/>
                      <a:ext cx="5274310" cy="5754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F27BB6" w14:textId="3986F627" w:rsidR="00DB50B1" w:rsidRDefault="00262EB0">
      <w:pPr>
        <w:rPr>
          <w:rFonts w:ascii="Times New Roman Bold" w:hAnsi="Times New Roman Bold" w:cs="Times New Roman Bold"/>
          <w:b/>
          <w:bCs/>
          <w:sz w:val="24"/>
          <w:szCs w:val="24"/>
        </w:rPr>
      </w:pPr>
      <w:r>
        <w:rPr>
          <w:rFonts w:ascii="Times New Roman Bold" w:hAnsi="Times New Roman Bold" w:cs="Times New Roman Bold"/>
          <w:b/>
          <w:bCs/>
          <w:sz w:val="24"/>
          <w:szCs w:val="24"/>
        </w:rPr>
        <w:t xml:space="preserve">Fig.S4 Gene set enrichment analysis (GSEA) results of DEGs enriched in </w:t>
      </w:r>
      <w:r w:rsidR="005A2B61">
        <w:rPr>
          <w:rFonts w:ascii="Times New Roman Bold" w:hAnsi="Times New Roman Bold" w:cs="Times New Roman Bold"/>
          <w:b/>
          <w:bCs/>
          <w:sz w:val="24"/>
          <w:szCs w:val="24"/>
        </w:rPr>
        <w:t>amygdala</w:t>
      </w:r>
      <w:r w:rsidR="005A2B61" w:rsidDel="005A2B61">
        <w:rPr>
          <w:rFonts w:ascii="Times New Roman Bold" w:hAnsi="Times New Roman Bold" w:cs="Times New Roman Bold"/>
          <w:b/>
          <w:bCs/>
          <w:sz w:val="24"/>
          <w:szCs w:val="24"/>
        </w:rPr>
        <w:t xml:space="preserve"> </w:t>
      </w:r>
      <w:r>
        <w:rPr>
          <w:rFonts w:ascii="Times New Roman Bold" w:hAnsi="Times New Roman Bold" w:cs="Times New Roman Bold"/>
          <w:b/>
          <w:bCs/>
          <w:sz w:val="24"/>
          <w:szCs w:val="24"/>
        </w:rPr>
        <w:t xml:space="preserve">and </w:t>
      </w:r>
      <w:r w:rsidR="005A2B61">
        <w:rPr>
          <w:rFonts w:ascii="Times New Roman Bold" w:hAnsi="Times New Roman Bold" w:cs="Times New Roman Bold"/>
          <w:b/>
          <w:bCs/>
          <w:sz w:val="24"/>
          <w:szCs w:val="24"/>
        </w:rPr>
        <w:t>prefrontal cortex (PFC)</w:t>
      </w:r>
      <w:r>
        <w:rPr>
          <w:rFonts w:ascii="Times New Roman Bold" w:hAnsi="Times New Roman Bold" w:cs="Times New Roman Bold"/>
          <w:b/>
          <w:bCs/>
          <w:sz w:val="24"/>
          <w:szCs w:val="24"/>
        </w:rPr>
        <w:t>after multiple sevoflurane anesthesia.</w:t>
      </w:r>
    </w:p>
    <w:p w14:paraId="5380E117" w14:textId="77777777" w:rsidR="00DB50B1" w:rsidRDefault="00DB50B1">
      <w:pPr>
        <w:rPr>
          <w:rFonts w:ascii="Times New Roman Bold" w:hAnsi="Times New Roman Bold" w:cs="Times New Roman Bold"/>
          <w:b/>
          <w:bCs/>
          <w:sz w:val="24"/>
          <w:szCs w:val="24"/>
        </w:rPr>
      </w:pPr>
    </w:p>
    <w:p w14:paraId="1247FF62" w14:textId="77777777" w:rsidR="00DB50B1" w:rsidRDefault="00262EB0">
      <w:pPr>
        <w:rPr>
          <w:rFonts w:ascii="Times New Roman Bold" w:hAnsi="Times New Roman Bold" w:cs="Times New Roman Bold"/>
          <w:b/>
          <w:bCs/>
          <w:sz w:val="24"/>
          <w:szCs w:val="24"/>
        </w:rPr>
      </w:pPr>
      <w:r>
        <w:rPr>
          <w:rFonts w:ascii="Times New Roman Bold" w:hAnsi="Times New Roman Bold" w:cs="Times New Roman Bold"/>
          <w:b/>
          <w:bCs/>
          <w:noProof/>
          <w:sz w:val="24"/>
          <w:szCs w:val="24"/>
        </w:rPr>
        <w:lastRenderedPageBreak/>
        <w:drawing>
          <wp:inline distT="0" distB="0" distL="114300" distR="114300" wp14:anchorId="619A2346" wp14:editId="31ECAA85">
            <wp:extent cx="5036820" cy="7275338"/>
            <wp:effectExtent l="0" t="0" r="0" b="1905"/>
            <wp:docPr id="5" name="图片 5" descr="figS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figS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038556" cy="727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D05C6" w14:textId="77777777" w:rsidR="00DB50B1" w:rsidRDefault="00262EB0">
      <w:pPr>
        <w:rPr>
          <w:rFonts w:ascii="Times New Roman Bold" w:hAnsi="Times New Roman Bold" w:cs="Times New Roman Bold"/>
          <w:b/>
          <w:bCs/>
          <w:sz w:val="24"/>
          <w:szCs w:val="24"/>
        </w:rPr>
      </w:pPr>
      <w:r>
        <w:rPr>
          <w:rFonts w:ascii="Times New Roman Bold" w:hAnsi="Times New Roman Bold" w:cs="Times New Roman Bold"/>
          <w:b/>
          <w:bCs/>
          <w:sz w:val="24"/>
          <w:szCs w:val="24"/>
        </w:rPr>
        <w:t>Fig.S5 Protein–protein interactions (PPI) analysis of DEGs in macaques’ amygdala and PFC after multiple sevoflurane anesthesia.</w:t>
      </w:r>
    </w:p>
    <w:p w14:paraId="47737F74" w14:textId="77777777" w:rsidR="00DB50B1" w:rsidRDefault="00262EB0">
      <w:pPr>
        <w:numPr>
          <w:ilvl w:val="0"/>
          <w:numId w:val="2"/>
        </w:numPr>
        <w:rPr>
          <w:rFonts w:ascii="Times New Roman Regular" w:hAnsi="Times New Roman Regular" w:cs="Times New Roman Regular"/>
          <w:sz w:val="24"/>
          <w:szCs w:val="24"/>
        </w:rPr>
      </w:pPr>
      <w:r>
        <w:rPr>
          <w:rFonts w:ascii="Times New Roman Regular" w:hAnsi="Times New Roman Regular" w:cs="Times New Roman Regular"/>
          <w:sz w:val="24"/>
          <w:szCs w:val="24"/>
        </w:rPr>
        <w:t>PPI network construction of 898 DEGs in macaques’ amygdala after multiple sevoflurane anesthesia.</w:t>
      </w:r>
    </w:p>
    <w:p w14:paraId="13CE78ED" w14:textId="7139BA46" w:rsidR="00373890" w:rsidRDefault="00262EB0" w:rsidP="00086EA1">
      <w:pPr>
        <w:rPr>
          <w:rFonts w:ascii="Times New Roman Regular" w:hAnsi="Times New Roman Regular" w:cs="Times New Roman Regular"/>
          <w:sz w:val="24"/>
          <w:szCs w:val="24"/>
        </w:rPr>
      </w:pPr>
      <w:r>
        <w:rPr>
          <w:rFonts w:ascii="Times New Roman Regular" w:hAnsi="Times New Roman Regular" w:cs="Times New Roman Regular"/>
          <w:sz w:val="24"/>
          <w:szCs w:val="24"/>
        </w:rPr>
        <w:t xml:space="preserve">(B) PPI network construction of </w:t>
      </w:r>
      <w:r w:rsidR="00D1286F">
        <w:rPr>
          <w:rFonts w:ascii="Times New Roman Regular" w:hAnsi="Times New Roman Regular" w:cs="Times New Roman Regular"/>
          <w:sz w:val="24"/>
          <w:szCs w:val="24"/>
        </w:rPr>
        <w:t xml:space="preserve">387 </w:t>
      </w:r>
      <w:r>
        <w:rPr>
          <w:rFonts w:ascii="Times New Roman Regular" w:hAnsi="Times New Roman Regular" w:cs="Times New Roman Regular"/>
          <w:sz w:val="24"/>
          <w:szCs w:val="24"/>
        </w:rPr>
        <w:t xml:space="preserve">DEGs in macaques’ PFC after multiple sevoflurane anesthesia. </w:t>
      </w:r>
      <w:r w:rsidR="000042CF" w:rsidRPr="000042CF">
        <w:rPr>
          <w:rFonts w:ascii="Times New Roman Regular" w:hAnsi="Times New Roman Regular" w:cs="Times New Roman Regular"/>
          <w:sz w:val="24"/>
          <w:szCs w:val="24"/>
        </w:rPr>
        <w:t>Hub genes selected by</w:t>
      </w:r>
      <w:r w:rsidR="000042CF">
        <w:rPr>
          <w:rFonts w:ascii="Times New Roman Regular" w:hAnsi="Times New Roman Regular" w:cs="Times New Roman Regular" w:hint="eastAsia"/>
          <w:sz w:val="24"/>
          <w:szCs w:val="24"/>
        </w:rPr>
        <w:t xml:space="preserve"> </w:t>
      </w:r>
      <w:proofErr w:type="spellStart"/>
      <w:r w:rsidR="000042CF" w:rsidRPr="000042CF">
        <w:rPr>
          <w:rFonts w:ascii="Times New Roman Regular" w:hAnsi="Times New Roman Regular" w:cs="Times New Roman Regular"/>
          <w:sz w:val="24"/>
          <w:szCs w:val="24"/>
        </w:rPr>
        <w:t>Cytoscape</w:t>
      </w:r>
      <w:proofErr w:type="spellEnd"/>
      <w:r w:rsidR="000042CF" w:rsidRPr="000042CF">
        <w:rPr>
          <w:rFonts w:ascii="Times New Roman Regular" w:hAnsi="Times New Roman Regular" w:cs="Times New Roman Regular"/>
          <w:sz w:val="24"/>
          <w:szCs w:val="24"/>
        </w:rPr>
        <w:t xml:space="preserve"> are marked in red.</w:t>
      </w:r>
    </w:p>
    <w:p w14:paraId="01CDF124" w14:textId="77777777" w:rsidR="00DB50B1" w:rsidRDefault="00DB50B1">
      <w:pPr>
        <w:rPr>
          <w:rFonts w:ascii="Times New Roman Regular" w:hAnsi="Times New Roman Regular" w:cs="Times New Roman Regular"/>
          <w:sz w:val="24"/>
          <w:szCs w:val="24"/>
        </w:rPr>
      </w:pPr>
    </w:p>
    <w:p w14:paraId="7301C754" w14:textId="77777777" w:rsidR="00DB50B1" w:rsidRDefault="00262EB0">
      <w:pPr>
        <w:rPr>
          <w:rFonts w:ascii="Times New Roman Bold" w:hAnsi="Times New Roman Bold" w:cs="Times New Roman Bold"/>
          <w:b/>
          <w:bCs/>
          <w:sz w:val="24"/>
          <w:szCs w:val="24"/>
        </w:rPr>
      </w:pPr>
      <w:r>
        <w:rPr>
          <w:rFonts w:ascii="Times New Roman Bold" w:hAnsi="Times New Roman Bold" w:cs="Times New Roman Bold"/>
          <w:b/>
          <w:bCs/>
          <w:noProof/>
          <w:sz w:val="24"/>
          <w:szCs w:val="24"/>
        </w:rPr>
        <w:lastRenderedPageBreak/>
        <w:drawing>
          <wp:inline distT="0" distB="0" distL="114300" distR="114300" wp14:anchorId="782C72A3" wp14:editId="5C36BED7">
            <wp:extent cx="5273675" cy="4023360"/>
            <wp:effectExtent l="0" t="0" r="9525" b="15240"/>
            <wp:docPr id="6" name="图片 6" descr="figS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figS6"/>
                    <pic:cNvPicPr>
                      <a:picLocks noChangeAspect="1"/>
                    </pic:cNvPicPr>
                  </pic:nvPicPr>
                  <pic:blipFill>
                    <a:blip r:embed="rId14"/>
                    <a:srcRect b="4718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48DA4D" w14:textId="4EABF9C1" w:rsidR="00DB50B1" w:rsidRDefault="00262EB0">
      <w:pPr>
        <w:rPr>
          <w:rFonts w:ascii="Times New Roman Bold" w:hAnsi="Times New Roman Bold" w:cs="Times New Roman Bold"/>
          <w:b/>
          <w:bCs/>
          <w:sz w:val="24"/>
          <w:szCs w:val="24"/>
        </w:rPr>
      </w:pPr>
      <w:r>
        <w:rPr>
          <w:rFonts w:ascii="Times New Roman Bold" w:hAnsi="Times New Roman Bold" w:cs="Times New Roman Bold"/>
          <w:b/>
          <w:bCs/>
          <w:sz w:val="24"/>
          <w:szCs w:val="24"/>
        </w:rPr>
        <w:t xml:space="preserve">Fig.S6 </w:t>
      </w:r>
      <w:r w:rsidR="00F166B3">
        <w:rPr>
          <w:rFonts w:ascii="Times New Roman Bold" w:hAnsi="Times New Roman Bold" w:cs="Times New Roman Bold"/>
          <w:b/>
          <w:bCs/>
          <w:sz w:val="24"/>
          <w:szCs w:val="24"/>
        </w:rPr>
        <w:t xml:space="preserve">The </w:t>
      </w:r>
      <w:r w:rsidR="00F166B3" w:rsidRPr="000042CF">
        <w:rPr>
          <w:rFonts w:ascii="Times New Roman Bold" w:hAnsi="Times New Roman Bold" w:cs="Times New Roman Bold"/>
          <w:b/>
          <w:bCs/>
          <w:sz w:val="24"/>
          <w:szCs w:val="24"/>
        </w:rPr>
        <w:t>GO analysis</w:t>
      </w:r>
      <w:r w:rsidR="00F166B3">
        <w:rPr>
          <w:rFonts w:ascii="Times New Roman Bold" w:hAnsi="Times New Roman Bold" w:cs="Times New Roman Bold"/>
          <w:b/>
          <w:bCs/>
          <w:sz w:val="24"/>
          <w:szCs w:val="24"/>
        </w:rPr>
        <w:t xml:space="preserve"> and KEGG pathway terms</w:t>
      </w:r>
      <w:r w:rsidR="00F166B3" w:rsidDel="000042CF">
        <w:rPr>
          <w:rFonts w:ascii="Times New Roman Bold" w:hAnsi="Times New Roman Bold" w:cs="Times New Roman Bold"/>
          <w:b/>
          <w:bCs/>
          <w:sz w:val="24"/>
          <w:szCs w:val="24"/>
        </w:rPr>
        <w:t xml:space="preserve"> </w:t>
      </w:r>
      <w:r>
        <w:rPr>
          <w:rFonts w:ascii="Times New Roman Bold" w:hAnsi="Times New Roman Bold" w:cs="Times New Roman Bold"/>
          <w:b/>
          <w:bCs/>
          <w:sz w:val="24"/>
          <w:szCs w:val="24"/>
        </w:rPr>
        <w:t xml:space="preserve">of the overlap DEGs in macaques’ amygdala and PFC after multiple sevoflurane anesthesia. </w:t>
      </w:r>
    </w:p>
    <w:p w14:paraId="53EB8E51" w14:textId="2E0784DE" w:rsidR="00DB50B1" w:rsidRDefault="00F166B3" w:rsidP="00086EA1">
      <w:pPr>
        <w:rPr>
          <w:rFonts w:ascii="Times New Roman Regular" w:hAnsi="Times New Roman Regular" w:cs="Times New Roman Regular"/>
          <w:sz w:val="24"/>
          <w:szCs w:val="24"/>
        </w:rPr>
      </w:pPr>
      <w:r>
        <w:rPr>
          <w:rFonts w:ascii="Times New Roman Regular" w:hAnsi="Times New Roman Regular" w:cs="Times New Roman Regular"/>
          <w:sz w:val="24"/>
          <w:szCs w:val="24"/>
        </w:rPr>
        <w:t>(</w:t>
      </w:r>
      <w:proofErr w:type="gramStart"/>
      <w:r>
        <w:rPr>
          <w:rFonts w:ascii="Times New Roman Regular" w:hAnsi="Times New Roman Regular" w:cs="Times New Roman Regular"/>
          <w:sz w:val="24"/>
          <w:szCs w:val="24"/>
        </w:rPr>
        <w:t>A,B</w:t>
      </w:r>
      <w:proofErr w:type="gramEnd"/>
      <w:r>
        <w:rPr>
          <w:rFonts w:ascii="Times New Roman Regular" w:hAnsi="Times New Roman Regular" w:cs="Times New Roman Regular"/>
          <w:sz w:val="24"/>
          <w:szCs w:val="24"/>
        </w:rPr>
        <w:t xml:space="preserve">) </w:t>
      </w:r>
      <w:r w:rsidR="00262EB0">
        <w:rPr>
          <w:rFonts w:ascii="Times New Roman Regular" w:hAnsi="Times New Roman Regular" w:cs="Times New Roman Regular"/>
          <w:sz w:val="24"/>
          <w:szCs w:val="24"/>
        </w:rPr>
        <w:t xml:space="preserve">Bar plot of GO enrichment in </w:t>
      </w:r>
      <w:r>
        <w:rPr>
          <w:rFonts w:ascii="Times New Roman Regular" w:hAnsi="Times New Roman Regular" w:cs="Times New Roman Regular"/>
          <w:sz w:val="24"/>
          <w:szCs w:val="24"/>
        </w:rPr>
        <w:t>BP(A), CC(B), MF(B)</w:t>
      </w:r>
      <w:r w:rsidR="00262EB0">
        <w:rPr>
          <w:rFonts w:ascii="Times New Roman Regular" w:hAnsi="Times New Roman Regular" w:cs="Times New Roman Regular"/>
          <w:sz w:val="24"/>
          <w:szCs w:val="24"/>
        </w:rPr>
        <w:t xml:space="preserve"> of the overlap DEGs in macaques’ amygdala and PFC after multiple sevoflurane anesthesia. </w:t>
      </w:r>
    </w:p>
    <w:p w14:paraId="6A16601E" w14:textId="77777777" w:rsidR="00DB50B1" w:rsidRDefault="00262EB0">
      <w:pPr>
        <w:rPr>
          <w:rFonts w:ascii="Times New Roman Regular" w:hAnsi="Times New Roman Regular" w:cs="Times New Roman Regular"/>
          <w:sz w:val="24"/>
          <w:szCs w:val="24"/>
        </w:rPr>
      </w:pPr>
      <w:r>
        <w:rPr>
          <w:rFonts w:ascii="Times New Roman Regular" w:hAnsi="Times New Roman Regular" w:cs="Times New Roman Regular"/>
          <w:sz w:val="24"/>
          <w:szCs w:val="24"/>
        </w:rPr>
        <w:t>(C) Bar plot of KEGG pathway enriched terms of the overlap DEGs in macaques’ amygdala and PFC after multiple sevoflurane anesthesia.</w:t>
      </w:r>
    </w:p>
    <w:p w14:paraId="77725462" w14:textId="77777777" w:rsidR="00DB50B1" w:rsidRDefault="00DB50B1">
      <w:pPr>
        <w:rPr>
          <w:rFonts w:ascii="Times New Roman Regular" w:hAnsi="Times New Roman Regular" w:cs="Times New Roman Regular"/>
          <w:sz w:val="24"/>
          <w:szCs w:val="24"/>
        </w:rPr>
      </w:pPr>
    </w:p>
    <w:p w14:paraId="781C2C9C" w14:textId="77777777" w:rsidR="00DB50B1" w:rsidRDefault="00262EB0">
      <w:pPr>
        <w:rPr>
          <w:rFonts w:ascii="Times New Roman Bold" w:hAnsi="Times New Roman Bold" w:cs="Times New Roman Bold"/>
          <w:b/>
          <w:bCs/>
          <w:sz w:val="24"/>
          <w:szCs w:val="24"/>
        </w:rPr>
      </w:pPr>
      <w:r>
        <w:rPr>
          <w:rFonts w:ascii="Times New Roman Bold" w:hAnsi="Times New Roman Bold" w:cs="Times New Roman Bold"/>
          <w:b/>
          <w:bCs/>
          <w:noProof/>
          <w:sz w:val="24"/>
          <w:szCs w:val="24"/>
        </w:rPr>
        <w:lastRenderedPageBreak/>
        <w:drawing>
          <wp:inline distT="0" distB="0" distL="114300" distR="114300" wp14:anchorId="3B44200A" wp14:editId="3F8DE29E">
            <wp:extent cx="5273675" cy="4226560"/>
            <wp:effectExtent l="0" t="0" r="9525" b="15240"/>
            <wp:docPr id="7" name="图片 7" descr="figS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figS7"/>
                    <pic:cNvPicPr>
                      <a:picLocks noChangeAspect="1"/>
                    </pic:cNvPicPr>
                  </pic:nvPicPr>
                  <pic:blipFill>
                    <a:blip r:embed="rId15"/>
                    <a:srcRect b="4451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226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843FF" w14:textId="6CE78F98" w:rsidR="00DB50B1" w:rsidRDefault="00262EB0">
      <w:pPr>
        <w:rPr>
          <w:rFonts w:ascii="Times New Roman Bold" w:hAnsi="Times New Roman Bold" w:cs="Times New Roman Bold"/>
          <w:b/>
          <w:bCs/>
          <w:sz w:val="24"/>
          <w:szCs w:val="24"/>
        </w:rPr>
      </w:pPr>
      <w:r>
        <w:rPr>
          <w:rFonts w:ascii="Times New Roman Bold" w:hAnsi="Times New Roman Bold" w:cs="Times New Roman Bold"/>
          <w:b/>
          <w:bCs/>
          <w:sz w:val="24"/>
          <w:szCs w:val="24"/>
        </w:rPr>
        <w:t>Fig.S7 PPI analysis of the overlap</w:t>
      </w:r>
      <w:r w:rsidR="005A2B61">
        <w:rPr>
          <w:rFonts w:ascii="Times New Roman Bold" w:hAnsi="Times New Roman Bold" w:cs="Times New Roman Bold"/>
          <w:b/>
          <w:bCs/>
          <w:sz w:val="24"/>
          <w:szCs w:val="24"/>
        </w:rPr>
        <w:t>ped</w:t>
      </w:r>
      <w:r>
        <w:rPr>
          <w:rFonts w:ascii="Times New Roman Bold" w:hAnsi="Times New Roman Bold" w:cs="Times New Roman Bold"/>
          <w:b/>
          <w:bCs/>
          <w:sz w:val="24"/>
          <w:szCs w:val="24"/>
        </w:rPr>
        <w:t xml:space="preserve"> DEGs in macaques’ amygdala and PFC after multiple sevoflurane anesthesia.</w:t>
      </w:r>
    </w:p>
    <w:p w14:paraId="43A864FF" w14:textId="6DD421F5" w:rsidR="00DB50B1" w:rsidRPr="00A351F5" w:rsidRDefault="00262EB0" w:rsidP="00086EA1">
      <w:pPr>
        <w:numPr>
          <w:ilvl w:val="0"/>
          <w:numId w:val="4"/>
        </w:numPr>
        <w:rPr>
          <w:rFonts w:ascii="Times New Roman Regular" w:hAnsi="Times New Roman Regular" w:cs="Times New Roman Regular"/>
          <w:sz w:val="24"/>
          <w:szCs w:val="24"/>
        </w:rPr>
      </w:pPr>
      <w:r w:rsidRPr="00A351F5">
        <w:rPr>
          <w:rFonts w:ascii="Times New Roman Regular" w:hAnsi="Times New Roman Regular" w:cs="Times New Roman Regular"/>
          <w:sz w:val="24"/>
          <w:szCs w:val="24"/>
        </w:rPr>
        <w:t>PPI network diagram of the overlap</w:t>
      </w:r>
      <w:r w:rsidR="005A2B61">
        <w:rPr>
          <w:rFonts w:ascii="Times New Roman Regular" w:hAnsi="Times New Roman Regular" w:cs="Times New Roman Regular"/>
          <w:sz w:val="24"/>
          <w:szCs w:val="24"/>
        </w:rPr>
        <w:t>ped</w:t>
      </w:r>
      <w:r w:rsidRPr="00A351F5">
        <w:rPr>
          <w:rFonts w:ascii="Times New Roman Regular" w:hAnsi="Times New Roman Regular" w:cs="Times New Roman Regular"/>
          <w:sz w:val="24"/>
          <w:szCs w:val="24"/>
        </w:rPr>
        <w:t xml:space="preserve"> 111 </w:t>
      </w:r>
      <w:r w:rsidR="005A2B61">
        <w:rPr>
          <w:rFonts w:ascii="Times New Roman Regular" w:hAnsi="Times New Roman Regular" w:cs="Times New Roman Regular"/>
          <w:sz w:val="24"/>
          <w:szCs w:val="24"/>
        </w:rPr>
        <w:t>DEGs</w:t>
      </w:r>
      <w:r w:rsidRPr="00A351F5">
        <w:rPr>
          <w:rFonts w:ascii="Times New Roman Regular" w:hAnsi="Times New Roman Regular" w:cs="Times New Roman Regular"/>
          <w:sz w:val="24"/>
          <w:szCs w:val="24"/>
        </w:rPr>
        <w:t xml:space="preserve"> in both PFC and amygdala of macaque after multiple sevoflurane anesthesia. (B) PPI network diagram of transcription factors (TFs) in the overlap.</w:t>
      </w:r>
    </w:p>
    <w:p w14:paraId="2E37526B" w14:textId="3C2122D5" w:rsidR="00373890" w:rsidRDefault="00373890">
      <w:pPr>
        <w:widowControl/>
        <w:jc w:val="left"/>
        <w:rPr>
          <w:rFonts w:ascii="Times New Roman Regular" w:hAnsi="Times New Roman Regular" w:cs="Times New Roman Regular"/>
          <w:sz w:val="24"/>
          <w:szCs w:val="24"/>
        </w:rPr>
      </w:pPr>
      <w:r>
        <w:rPr>
          <w:rFonts w:ascii="Times New Roman Regular" w:hAnsi="Times New Roman Regular" w:cs="Times New Roman Regular"/>
          <w:sz w:val="24"/>
          <w:szCs w:val="24"/>
        </w:rPr>
        <w:br w:type="page"/>
      </w:r>
    </w:p>
    <w:p w14:paraId="5E422583" w14:textId="77777777" w:rsidR="00DB50B1" w:rsidRDefault="00DB50B1">
      <w:pPr>
        <w:rPr>
          <w:rFonts w:ascii="Times New Roman Regular" w:hAnsi="Times New Roman Regular" w:cs="Times New Roman Regular"/>
          <w:sz w:val="24"/>
          <w:szCs w:val="24"/>
        </w:rPr>
      </w:pPr>
    </w:p>
    <w:p w14:paraId="1B61AD2A" w14:textId="77777777" w:rsidR="00DB50B1" w:rsidRDefault="00262EB0">
      <w:pPr>
        <w:rPr>
          <w:rFonts w:ascii="Times New Roman Bold" w:hAnsi="Times New Roman Bold" w:cs="Times New Roman Bold"/>
          <w:b/>
          <w:bCs/>
          <w:sz w:val="24"/>
          <w:szCs w:val="24"/>
        </w:rPr>
      </w:pPr>
      <w:r>
        <w:rPr>
          <w:rFonts w:ascii="Times New Roman Bold" w:hAnsi="Times New Roman Bold" w:cs="Times New Roman Bold"/>
          <w:b/>
          <w:bCs/>
          <w:noProof/>
          <w:sz w:val="24"/>
          <w:szCs w:val="24"/>
        </w:rPr>
        <w:drawing>
          <wp:inline distT="0" distB="0" distL="114300" distR="114300" wp14:anchorId="413BB013" wp14:editId="29DE993A">
            <wp:extent cx="5273675" cy="2740660"/>
            <wp:effectExtent l="0" t="0" r="9525" b="2540"/>
            <wp:docPr id="8" name="图片 8" descr="figS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figS8"/>
                    <pic:cNvPicPr>
                      <a:picLocks noChangeAspect="1"/>
                    </pic:cNvPicPr>
                  </pic:nvPicPr>
                  <pic:blipFill>
                    <a:blip r:embed="rId16"/>
                    <a:srcRect b="6402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74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3CD304" w14:textId="7E279854" w:rsidR="00DB50B1" w:rsidRDefault="00262EB0">
      <w:pPr>
        <w:rPr>
          <w:rFonts w:ascii="Times New Roman Bold" w:hAnsi="Times New Roman Bold" w:cs="Times New Roman Bold"/>
          <w:b/>
          <w:bCs/>
          <w:sz w:val="24"/>
          <w:szCs w:val="24"/>
        </w:rPr>
      </w:pPr>
      <w:r>
        <w:rPr>
          <w:rFonts w:ascii="Times New Roman Bold" w:hAnsi="Times New Roman Bold" w:cs="Times New Roman Bold"/>
          <w:b/>
          <w:bCs/>
          <w:sz w:val="24"/>
          <w:szCs w:val="24"/>
        </w:rPr>
        <w:t xml:space="preserve">Fig.S8 Functional annotation of TFs in macaques’ PFC after multiple sevoflurane anesthesia using </w:t>
      </w:r>
      <w:proofErr w:type="spellStart"/>
      <w:r>
        <w:rPr>
          <w:rFonts w:ascii="Times New Roman Bold" w:hAnsi="Times New Roman Bold" w:cs="Times New Roman Bold"/>
          <w:b/>
          <w:bCs/>
          <w:sz w:val="24"/>
          <w:szCs w:val="24"/>
        </w:rPr>
        <w:t>Metascape</w:t>
      </w:r>
      <w:proofErr w:type="spellEnd"/>
      <w:r>
        <w:rPr>
          <w:rFonts w:ascii="Times New Roman Bold" w:hAnsi="Times New Roman Bold" w:cs="Times New Roman Bold"/>
          <w:b/>
          <w:bCs/>
          <w:sz w:val="24"/>
          <w:szCs w:val="24"/>
        </w:rPr>
        <w:t>.</w:t>
      </w:r>
    </w:p>
    <w:p w14:paraId="7178011D" w14:textId="20E69C36" w:rsidR="00373890" w:rsidRDefault="00373890">
      <w:pPr>
        <w:widowControl/>
        <w:jc w:val="left"/>
        <w:rPr>
          <w:rFonts w:ascii="Times New Roman Regular" w:hAnsi="Times New Roman Regular" w:cs="Times New Roman Regular"/>
          <w:sz w:val="24"/>
          <w:szCs w:val="24"/>
        </w:rPr>
      </w:pPr>
      <w:r>
        <w:rPr>
          <w:rFonts w:ascii="Times New Roman Regular" w:hAnsi="Times New Roman Regular" w:cs="Times New Roman Regular"/>
          <w:sz w:val="24"/>
          <w:szCs w:val="24"/>
        </w:rPr>
        <w:br w:type="page"/>
      </w:r>
    </w:p>
    <w:p w14:paraId="4A037A64" w14:textId="77777777" w:rsidR="00DB50B1" w:rsidRDefault="00DB50B1">
      <w:pPr>
        <w:rPr>
          <w:rFonts w:ascii="Times New Roman Regular" w:hAnsi="Times New Roman Regular" w:cs="Times New Roman Regular"/>
          <w:sz w:val="24"/>
          <w:szCs w:val="24"/>
        </w:rPr>
      </w:pPr>
    </w:p>
    <w:p w14:paraId="23CFAC60" w14:textId="77777777" w:rsidR="00DB50B1" w:rsidRDefault="00262EB0">
      <w:pPr>
        <w:rPr>
          <w:rFonts w:ascii="Times New Roman Bold" w:hAnsi="Times New Roman Bold" w:cs="Times New Roman Bold"/>
          <w:b/>
          <w:bCs/>
          <w:sz w:val="24"/>
          <w:szCs w:val="24"/>
        </w:rPr>
      </w:pPr>
      <w:r>
        <w:rPr>
          <w:rFonts w:ascii="Times New Roman Bold" w:hAnsi="Times New Roman Bold" w:cs="Times New Roman Bold"/>
          <w:b/>
          <w:bCs/>
          <w:noProof/>
          <w:sz w:val="24"/>
          <w:szCs w:val="24"/>
        </w:rPr>
        <w:drawing>
          <wp:inline distT="0" distB="0" distL="114300" distR="114300" wp14:anchorId="5BA9151E" wp14:editId="009C11F2">
            <wp:extent cx="5273675" cy="2943860"/>
            <wp:effectExtent l="0" t="0" r="9525" b="2540"/>
            <wp:docPr id="9" name="图片 9" descr="figS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figS9"/>
                    <pic:cNvPicPr>
                      <a:picLocks noChangeAspect="1"/>
                    </pic:cNvPicPr>
                  </pic:nvPicPr>
                  <pic:blipFill>
                    <a:blip r:embed="rId17"/>
                    <a:srcRect b="6135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94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495A5" w14:textId="71482C1A" w:rsidR="00DB50B1" w:rsidRDefault="00262EB0">
      <w:pPr>
        <w:rPr>
          <w:rFonts w:ascii="Times New Roman Bold" w:hAnsi="Times New Roman Bold" w:cs="Times New Roman Bold"/>
          <w:b/>
          <w:bCs/>
          <w:sz w:val="24"/>
          <w:szCs w:val="24"/>
        </w:rPr>
      </w:pPr>
      <w:r>
        <w:rPr>
          <w:rFonts w:ascii="Times New Roman Bold" w:hAnsi="Times New Roman Bold" w:cs="Times New Roman Bold"/>
          <w:b/>
          <w:bCs/>
          <w:sz w:val="24"/>
          <w:szCs w:val="24"/>
        </w:rPr>
        <w:t xml:space="preserve">Fig.S9 Functional annotation of </w:t>
      </w:r>
      <w:r w:rsidR="00510EAC">
        <w:rPr>
          <w:rFonts w:ascii="Times New Roman Bold" w:hAnsi="Times New Roman Bold" w:cs="Times New Roman Bold"/>
          <w:b/>
          <w:bCs/>
          <w:sz w:val="24"/>
          <w:szCs w:val="24"/>
        </w:rPr>
        <w:t>TFs</w:t>
      </w:r>
      <w:r>
        <w:rPr>
          <w:rFonts w:ascii="Times New Roman Bold" w:hAnsi="Times New Roman Bold" w:cs="Times New Roman Bold"/>
          <w:b/>
          <w:bCs/>
          <w:sz w:val="24"/>
          <w:szCs w:val="24"/>
        </w:rPr>
        <w:t xml:space="preserve"> in macaques’ amygdala after multiple sevoflurane anesthesia using </w:t>
      </w:r>
      <w:proofErr w:type="spellStart"/>
      <w:r>
        <w:rPr>
          <w:rFonts w:ascii="Times New Roman Bold" w:hAnsi="Times New Roman Bold" w:cs="Times New Roman Bold"/>
          <w:b/>
          <w:bCs/>
          <w:sz w:val="24"/>
          <w:szCs w:val="24"/>
        </w:rPr>
        <w:t>Metascape</w:t>
      </w:r>
      <w:proofErr w:type="spellEnd"/>
      <w:r>
        <w:rPr>
          <w:rFonts w:ascii="Times New Roman Bold" w:hAnsi="Times New Roman Bold" w:cs="Times New Roman Bold"/>
          <w:b/>
          <w:bCs/>
          <w:sz w:val="24"/>
          <w:szCs w:val="24"/>
        </w:rPr>
        <w:t>.</w:t>
      </w:r>
    </w:p>
    <w:sectPr w:rsidR="00DB50B1" w:rsidSect="009D17FB">
      <w:footerReference w:type="default" r:id="rId18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6410F1C" w14:textId="77777777" w:rsidR="00E75F7D" w:rsidRDefault="00E75F7D">
      <w:r>
        <w:separator/>
      </w:r>
    </w:p>
  </w:endnote>
  <w:endnote w:type="continuationSeparator" w:id="0">
    <w:p w14:paraId="0F476D20" w14:textId="77777777" w:rsidR="00E75F7D" w:rsidRDefault="00E75F7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engXian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jaVu Sans">
    <w:charset w:val="00"/>
    <w:family w:val="swiss"/>
    <w:pitch w:val="variable"/>
    <w:sig w:usb0="E7002EFF" w:usb1="D200FDFF" w:usb2="0A046029" w:usb3="00000000" w:csb0="000001FF" w:csb1="00000000"/>
  </w:font>
  <w:font w:name="Times New Roman Regular">
    <w:altName w:val="Times New Roman"/>
    <w:charset w:val="00"/>
    <w:family w:val="auto"/>
    <w:pitch w:val="default"/>
    <w:sig w:usb0="E0002EFF" w:usb1="C0007843" w:usb2="00000009" w:usb3="00000000" w:csb0="400001FF" w:csb1="FFFF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 Bold">
    <w:altName w:val="Times New Roman"/>
    <w:panose1 w:val="02020803070505020304"/>
    <w:charset w:val="00"/>
    <w:family w:val="auto"/>
    <w:pitch w:val="default"/>
    <w:sig w:usb0="E0002EFF" w:usb1="C0007843" w:usb2="00000009" w:usb3="00000000" w:csb0="400001FF" w:csb1="FFFF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3D134D" w14:textId="77777777" w:rsidR="00DB50B1" w:rsidRDefault="00DB50B1">
    <w:pPr>
      <w:pStyle w:val="Footer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B794198" w14:textId="77777777" w:rsidR="00E75F7D" w:rsidRDefault="00E75F7D">
      <w:r>
        <w:separator/>
      </w:r>
    </w:p>
  </w:footnote>
  <w:footnote w:type="continuationSeparator" w:id="0">
    <w:p w14:paraId="3E4464A2" w14:textId="77777777" w:rsidR="00E75F7D" w:rsidRDefault="00E75F7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1C8ADF9"/>
    <w:multiLevelType w:val="singleLevel"/>
    <w:tmpl w:val="61C8ADF9"/>
    <w:lvl w:ilvl="0">
      <w:start w:val="1"/>
      <w:numFmt w:val="upperLetter"/>
      <w:suff w:val="space"/>
      <w:lvlText w:val="(%1)"/>
      <w:lvlJc w:val="left"/>
    </w:lvl>
  </w:abstractNum>
  <w:abstractNum w:abstractNumId="1" w15:restartNumberingAfterBreak="0">
    <w:nsid w:val="61C8AE10"/>
    <w:multiLevelType w:val="singleLevel"/>
    <w:tmpl w:val="61C8AE10"/>
    <w:lvl w:ilvl="0">
      <w:start w:val="1"/>
      <w:numFmt w:val="upperLetter"/>
      <w:suff w:val="space"/>
      <w:lvlText w:val="(%1)"/>
      <w:lvlJc w:val="left"/>
    </w:lvl>
  </w:abstractNum>
  <w:abstractNum w:abstractNumId="2" w15:restartNumberingAfterBreak="0">
    <w:nsid w:val="61C8AE2D"/>
    <w:multiLevelType w:val="singleLevel"/>
    <w:tmpl w:val="61C8AE2D"/>
    <w:lvl w:ilvl="0">
      <w:start w:val="1"/>
      <w:numFmt w:val="upperLetter"/>
      <w:suff w:val="space"/>
      <w:lvlText w:val="(%1)"/>
      <w:lvlJc w:val="left"/>
    </w:lvl>
  </w:abstractNum>
  <w:abstractNum w:abstractNumId="3" w15:restartNumberingAfterBreak="0">
    <w:nsid w:val="61C8AE47"/>
    <w:multiLevelType w:val="singleLevel"/>
    <w:tmpl w:val="61C8AE47"/>
    <w:lvl w:ilvl="0">
      <w:start w:val="1"/>
      <w:numFmt w:val="upperLetter"/>
      <w:suff w:val="space"/>
      <w:lvlText w:val="(%1)"/>
      <w:lvlJc w:val="left"/>
    </w:lvl>
  </w:abstractNum>
  <w:num w:numId="1" w16cid:durableId="2133983520">
    <w:abstractNumId w:val="0"/>
  </w:num>
  <w:num w:numId="2" w16cid:durableId="1825244184">
    <w:abstractNumId w:val="1"/>
  </w:num>
  <w:num w:numId="3" w16cid:durableId="2030569335">
    <w:abstractNumId w:val="2"/>
  </w:num>
  <w:num w:numId="4" w16cid:durableId="209303931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06A93"/>
    <w:rsid w:val="DF72AFA1"/>
    <w:rsid w:val="FBF34CA1"/>
    <w:rsid w:val="000042CF"/>
    <w:rsid w:val="00031FCA"/>
    <w:rsid w:val="00075A61"/>
    <w:rsid w:val="00086EA1"/>
    <w:rsid w:val="002162BE"/>
    <w:rsid w:val="00262EB0"/>
    <w:rsid w:val="002B0FEB"/>
    <w:rsid w:val="00373890"/>
    <w:rsid w:val="003755D5"/>
    <w:rsid w:val="003C5E77"/>
    <w:rsid w:val="00406A93"/>
    <w:rsid w:val="004312EA"/>
    <w:rsid w:val="004D35CD"/>
    <w:rsid w:val="004F6825"/>
    <w:rsid w:val="00510EAC"/>
    <w:rsid w:val="005A2B61"/>
    <w:rsid w:val="00684099"/>
    <w:rsid w:val="00685CCC"/>
    <w:rsid w:val="007579ED"/>
    <w:rsid w:val="00855827"/>
    <w:rsid w:val="009073C3"/>
    <w:rsid w:val="009C2B04"/>
    <w:rsid w:val="009D17FB"/>
    <w:rsid w:val="00A351F5"/>
    <w:rsid w:val="00AA376B"/>
    <w:rsid w:val="00B24220"/>
    <w:rsid w:val="00BF0268"/>
    <w:rsid w:val="00C8349F"/>
    <w:rsid w:val="00CA7ADB"/>
    <w:rsid w:val="00D1286F"/>
    <w:rsid w:val="00D46D16"/>
    <w:rsid w:val="00DA39A0"/>
    <w:rsid w:val="00DB50B1"/>
    <w:rsid w:val="00DC22B8"/>
    <w:rsid w:val="00E158C8"/>
    <w:rsid w:val="00E75F7D"/>
    <w:rsid w:val="00F166B3"/>
    <w:rsid w:val="00F26E1E"/>
    <w:rsid w:val="00F57949"/>
    <w:rsid w:val="6E6568E2"/>
    <w:rsid w:val="70AC1CEA"/>
    <w:rsid w:val="7DDA3972"/>
    <w:rsid w:val="7E2B91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120409DD"/>
  <w14:defaultImageDpi w14:val="32767"/>
  <w15:docId w15:val="{E7E7EC6A-79EC-4EB5-A633-794DB88232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unhideWhenUsed="1" w:qFormat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unhideWhenUsed="1" w:qFormat="1"/>
    <w:lsdException w:name="line number" w:unhideWhenUsed="1" w:qFormat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  <w:jc w:val="both"/>
    </w:pPr>
    <w:rPr>
      <w:kern w:val="2"/>
      <w:sz w:val="21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ommentText">
    <w:name w:val="annotation text"/>
    <w:basedOn w:val="Normal"/>
    <w:uiPriority w:val="99"/>
    <w:unhideWhenUsed/>
    <w:qFormat/>
    <w:rPr>
      <w:sz w:val="20"/>
      <w:szCs w:val="20"/>
    </w:rPr>
  </w:style>
  <w:style w:type="paragraph" w:styleId="Footer">
    <w:name w:val="footer"/>
    <w:basedOn w:val="Normal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Header">
    <w:name w:val="header"/>
    <w:basedOn w:val="Normal"/>
    <w:uiPriority w:val="99"/>
    <w:unhideWhenUsed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rFonts w:ascii="DejaVu Sans" w:hAnsi="DejaVu Sans"/>
      <w:sz w:val="18"/>
    </w:rPr>
  </w:style>
  <w:style w:type="paragraph" w:styleId="Subtitle">
    <w:name w:val="Subtitle"/>
    <w:basedOn w:val="Normal"/>
    <w:next w:val="Normal"/>
    <w:link w:val="SubtitleChar"/>
    <w:uiPriority w:val="11"/>
    <w:qFormat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Title">
    <w:name w:val="Title"/>
    <w:basedOn w:val="Normal"/>
    <w:next w:val="Normal"/>
    <w:link w:val="TitleChar"/>
    <w:qFormat/>
    <w:pPr>
      <w:widowControl/>
      <w:suppressLineNumbers/>
      <w:spacing w:before="240" w:after="360"/>
      <w:jc w:val="center"/>
    </w:pPr>
    <w:rPr>
      <w:rFonts w:ascii="Times New Roman" w:eastAsiaTheme="minorHAnsi" w:hAnsi="Times New Roman" w:cs="Times New Roman"/>
      <w:b/>
      <w:kern w:val="0"/>
      <w:sz w:val="32"/>
      <w:szCs w:val="32"/>
      <w:lang w:eastAsia="en-US"/>
    </w:rPr>
  </w:style>
  <w:style w:type="character" w:styleId="LineNumber">
    <w:name w:val="line number"/>
    <w:basedOn w:val="DefaultParagraphFont"/>
    <w:uiPriority w:val="99"/>
    <w:unhideWhenUsed/>
    <w:qFormat/>
  </w:style>
  <w:style w:type="character" w:styleId="Hyperlink">
    <w:name w:val="Hyperlink"/>
    <w:basedOn w:val="DefaultParagraphFont"/>
    <w:uiPriority w:val="99"/>
    <w:unhideWhenUsed/>
    <w:qFormat/>
    <w:rPr>
      <w:color w:val="0563C1" w:themeColor="hyperlink"/>
      <w:u w:val="single"/>
    </w:rPr>
  </w:style>
  <w:style w:type="character" w:styleId="CommentReference">
    <w:name w:val="annotation reference"/>
    <w:basedOn w:val="DefaultParagraphFont"/>
    <w:uiPriority w:val="99"/>
    <w:unhideWhenUsed/>
    <w:qFormat/>
    <w:rPr>
      <w:sz w:val="21"/>
      <w:szCs w:val="21"/>
    </w:rPr>
  </w:style>
  <w:style w:type="character" w:customStyle="1" w:styleId="TitleChar">
    <w:name w:val="Title Char"/>
    <w:basedOn w:val="DefaultParagraphFont"/>
    <w:link w:val="Title"/>
    <w:qFormat/>
    <w:rPr>
      <w:rFonts w:ascii="Times New Roman" w:eastAsiaTheme="minorHAnsi" w:hAnsi="Times New Roman" w:cs="Times New Roman"/>
      <w:b/>
      <w:kern w:val="0"/>
      <w:sz w:val="32"/>
      <w:szCs w:val="32"/>
      <w:lang w:eastAsia="en-US"/>
    </w:rPr>
  </w:style>
  <w:style w:type="paragraph" w:customStyle="1" w:styleId="AuthorList">
    <w:name w:val="Author List"/>
    <w:basedOn w:val="Subtitle"/>
    <w:next w:val="Normal"/>
    <w:uiPriority w:val="1"/>
    <w:qFormat/>
    <w:pPr>
      <w:widowControl/>
      <w:spacing w:after="240" w:line="240" w:lineRule="auto"/>
      <w:jc w:val="left"/>
      <w:outlineLvl w:val="9"/>
    </w:pPr>
    <w:rPr>
      <w:rFonts w:ascii="Times New Roman" w:eastAsiaTheme="minorHAnsi" w:hAnsi="Times New Roman" w:cs="Times New Roman"/>
      <w:bCs w:val="0"/>
      <w:kern w:val="0"/>
      <w:sz w:val="24"/>
      <w:szCs w:val="24"/>
      <w:lang w:eastAsia="en-US"/>
    </w:rPr>
  </w:style>
  <w:style w:type="character" w:customStyle="1" w:styleId="SubtitleChar">
    <w:name w:val="Subtitle Char"/>
    <w:basedOn w:val="DefaultParagraphFont"/>
    <w:link w:val="Subtitle"/>
    <w:uiPriority w:val="11"/>
    <w:qFormat/>
    <w:rPr>
      <w:b/>
      <w:bCs/>
      <w:kern w:val="28"/>
      <w:sz w:val="32"/>
      <w:szCs w:val="32"/>
    </w:rPr>
  </w:style>
  <w:style w:type="paragraph" w:customStyle="1" w:styleId="1">
    <w:name w:val="修订1"/>
    <w:hidden/>
    <w:uiPriority w:val="99"/>
    <w:semiHidden/>
    <w:qFormat/>
    <w:rPr>
      <w:kern w:val="2"/>
      <w:sz w:val="21"/>
      <w:szCs w:val="22"/>
    </w:rPr>
  </w:style>
  <w:style w:type="character" w:customStyle="1" w:styleId="10">
    <w:name w:val="未处理的提及1"/>
    <w:basedOn w:val="DefaultParagraphFont"/>
    <w:uiPriority w:val="99"/>
    <w:unhideWhenUsed/>
    <w:qFormat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0042CF"/>
    <w:rPr>
      <w:kern w:val="2"/>
      <w:sz w:val="21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jianghongjiuyuan@163.com" TargetMode="External"/><Relationship Id="rId13" Type="http://schemas.openxmlformats.org/officeDocument/2006/relationships/image" Target="media/image5.jpe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10" Type="http://schemas.openxmlformats.org/officeDocument/2006/relationships/image" Target="media/image2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466</Words>
  <Characters>2662</Characters>
  <Application>Microsoft Office Word</Application>
  <DocSecurity>0</DocSecurity>
  <Lines>22</Lines>
  <Paragraphs>6</Paragraphs>
  <ScaleCrop>false</ScaleCrop>
  <Company/>
  <LinksUpToDate>false</LinksUpToDate>
  <CharactersWithSpaces>3122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cyyzz</dc:creator>
  <cp:lastModifiedBy>Sandhya Patel</cp:lastModifiedBy>
  <cp:revision>3</cp:revision>
  <dcterms:created xsi:type="dcterms:W3CDTF">2022-05-31T09:12:00Z</dcterms:created>
  <dcterms:modified xsi:type="dcterms:W3CDTF">2022-05-31T09:13:00Z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2052-3.6.0.5672</vt:lpwstr>
  </property>
</Properties>
</file>