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6AD2CB" w14:textId="3A7598D9" w:rsidR="00592F33" w:rsidRPr="00592F33" w:rsidRDefault="00592F33" w:rsidP="00310F97">
      <w:pPr>
        <w:jc w:val="center"/>
        <w:rPr>
          <w:rFonts w:cstheme="minorHAnsi"/>
          <w:b/>
          <w:bCs/>
        </w:rPr>
      </w:pPr>
      <w:r>
        <w:rPr>
          <w:rFonts w:cstheme="minorHAnsi"/>
          <w:b/>
          <w:bCs/>
        </w:rPr>
        <w:t xml:space="preserve">Supplementary file for </w:t>
      </w:r>
      <w:r w:rsidR="005F29DF">
        <w:rPr>
          <w:rFonts w:cstheme="minorHAnsi"/>
          <w:b/>
          <w:bCs/>
        </w:rPr>
        <w:t xml:space="preserve">the </w:t>
      </w:r>
      <w:r>
        <w:rPr>
          <w:rFonts w:cstheme="minorHAnsi"/>
          <w:b/>
          <w:bCs/>
        </w:rPr>
        <w:t>article titled: “</w:t>
      </w:r>
      <w:bookmarkStart w:id="0" w:name="_Hlk86995560"/>
      <w:r w:rsidR="00310F97" w:rsidRPr="00310F97">
        <w:rPr>
          <w:rFonts w:cstheme="minorHAnsi"/>
          <w:b/>
          <w:bCs/>
        </w:rPr>
        <w:t>Outcomes of Hypomethylating Agents with and without Venetoclax in Newly Diagnosed Acute Myeloid Leukemia Patients: A Propensity Score-Adjusted Cohort Study</w:t>
      </w:r>
      <w:bookmarkEnd w:id="0"/>
      <w:r w:rsidR="005F29DF">
        <w:rPr>
          <w:rFonts w:cstheme="minorHAnsi"/>
          <w:b/>
          <w:bCs/>
        </w:rPr>
        <w:t>.</w:t>
      </w:r>
      <w:r>
        <w:rPr>
          <w:rFonts w:cstheme="minorHAnsi"/>
          <w:b/>
          <w:bCs/>
        </w:rPr>
        <w:t>”</w:t>
      </w:r>
    </w:p>
    <w:p w14:paraId="56DA972B" w14:textId="1AE63BAB" w:rsidR="00DC2049" w:rsidRPr="00E70DD9" w:rsidRDefault="00DC2049" w:rsidP="00E3025D">
      <w:pPr>
        <w:jc w:val="center"/>
        <w:rPr>
          <w:rFonts w:cstheme="minorHAnsi"/>
        </w:rPr>
      </w:pPr>
    </w:p>
    <w:p w14:paraId="0D8BC9F1" w14:textId="46CEEC94" w:rsidR="00DC2049" w:rsidRPr="00E70DD9" w:rsidRDefault="00DC2049" w:rsidP="00E3025D">
      <w:pPr>
        <w:jc w:val="center"/>
        <w:rPr>
          <w:rFonts w:cstheme="minorHAnsi"/>
        </w:rPr>
      </w:pPr>
    </w:p>
    <w:p w14:paraId="05AE7FF4" w14:textId="77777777" w:rsidR="00DC2049" w:rsidRPr="00E70DD9" w:rsidRDefault="00DC2049" w:rsidP="00E3025D">
      <w:pPr>
        <w:rPr>
          <w:rFonts w:cstheme="minorHAnsi"/>
        </w:rPr>
      </w:pPr>
    </w:p>
    <w:sdt>
      <w:sdtPr>
        <w:rPr>
          <w:rFonts w:asciiTheme="minorHAnsi" w:eastAsiaTheme="minorHAnsi" w:hAnsiTheme="minorHAnsi" w:cstheme="minorHAnsi"/>
          <w:color w:val="auto"/>
          <w:sz w:val="22"/>
          <w:szCs w:val="22"/>
        </w:rPr>
        <w:id w:val="369433339"/>
        <w:docPartObj>
          <w:docPartGallery w:val="Table of Contents"/>
          <w:docPartUnique/>
        </w:docPartObj>
      </w:sdtPr>
      <w:sdtEndPr>
        <w:rPr>
          <w:b/>
          <w:bCs/>
          <w:noProof/>
        </w:rPr>
      </w:sdtEndPr>
      <w:sdtContent>
        <w:p w14:paraId="64FBF79D" w14:textId="188A4197" w:rsidR="00DC2049" w:rsidRPr="00E70DD9" w:rsidRDefault="00DC2049">
          <w:pPr>
            <w:pStyle w:val="TOCHeading"/>
            <w:rPr>
              <w:rFonts w:asciiTheme="minorHAnsi" w:hAnsiTheme="minorHAnsi" w:cstheme="minorHAnsi"/>
              <w:sz w:val="22"/>
              <w:szCs w:val="22"/>
            </w:rPr>
          </w:pPr>
          <w:r w:rsidRPr="00E70DD9">
            <w:rPr>
              <w:rFonts w:asciiTheme="minorHAnsi" w:hAnsiTheme="minorHAnsi" w:cstheme="minorHAnsi"/>
              <w:sz w:val="22"/>
              <w:szCs w:val="22"/>
            </w:rPr>
            <w:t>Contents</w:t>
          </w:r>
        </w:p>
        <w:p w14:paraId="04B1D980" w14:textId="77A048C8" w:rsidR="00556214" w:rsidRDefault="00DC2049">
          <w:pPr>
            <w:pStyle w:val="TOC1"/>
            <w:rPr>
              <w:rFonts w:eastAsiaTheme="minorEastAsia"/>
              <w:noProof/>
            </w:rPr>
          </w:pPr>
          <w:r w:rsidRPr="00E70DD9">
            <w:rPr>
              <w:rFonts w:cstheme="minorHAnsi"/>
            </w:rPr>
            <w:fldChar w:fldCharType="begin"/>
          </w:r>
          <w:r w:rsidRPr="00E70DD9">
            <w:rPr>
              <w:rFonts w:cstheme="minorHAnsi"/>
            </w:rPr>
            <w:instrText xml:space="preserve"> TOC \o "1-3" \h \z \u </w:instrText>
          </w:r>
          <w:r w:rsidRPr="00E70DD9">
            <w:rPr>
              <w:rFonts w:cstheme="minorHAnsi"/>
            </w:rPr>
            <w:fldChar w:fldCharType="separate"/>
          </w:r>
          <w:hyperlink w:anchor="_Toc96864831" w:history="1">
            <w:r w:rsidR="00556214" w:rsidRPr="006B4566">
              <w:rPr>
                <w:rStyle w:val="Hyperlink"/>
                <w:noProof/>
              </w:rPr>
              <w:t>Causes of death</w:t>
            </w:r>
            <w:r w:rsidR="00556214">
              <w:rPr>
                <w:noProof/>
                <w:webHidden/>
              </w:rPr>
              <w:tab/>
            </w:r>
            <w:r w:rsidR="00556214">
              <w:rPr>
                <w:noProof/>
                <w:webHidden/>
              </w:rPr>
              <w:fldChar w:fldCharType="begin"/>
            </w:r>
            <w:r w:rsidR="00556214">
              <w:rPr>
                <w:noProof/>
                <w:webHidden/>
              </w:rPr>
              <w:instrText xml:space="preserve"> PAGEREF _Toc96864831 \h </w:instrText>
            </w:r>
            <w:r w:rsidR="00556214">
              <w:rPr>
                <w:noProof/>
                <w:webHidden/>
              </w:rPr>
            </w:r>
            <w:r w:rsidR="00556214">
              <w:rPr>
                <w:noProof/>
                <w:webHidden/>
              </w:rPr>
              <w:fldChar w:fldCharType="separate"/>
            </w:r>
            <w:r w:rsidR="00556214">
              <w:rPr>
                <w:noProof/>
                <w:webHidden/>
              </w:rPr>
              <w:t>2</w:t>
            </w:r>
            <w:r w:rsidR="00556214">
              <w:rPr>
                <w:noProof/>
                <w:webHidden/>
              </w:rPr>
              <w:fldChar w:fldCharType="end"/>
            </w:r>
          </w:hyperlink>
        </w:p>
        <w:p w14:paraId="35F1C417" w14:textId="29282B1C" w:rsidR="00556214" w:rsidRDefault="00556214">
          <w:pPr>
            <w:pStyle w:val="TOC1"/>
            <w:rPr>
              <w:rFonts w:eastAsiaTheme="minorEastAsia"/>
              <w:noProof/>
            </w:rPr>
          </w:pPr>
          <w:hyperlink w:anchor="_Toc96864832" w:history="1">
            <w:r w:rsidRPr="006B4566">
              <w:rPr>
                <w:rStyle w:val="Hyperlink"/>
                <w:noProof/>
              </w:rPr>
              <w:t>Treatment-related mortality predictors</w:t>
            </w:r>
            <w:r>
              <w:rPr>
                <w:noProof/>
                <w:webHidden/>
              </w:rPr>
              <w:tab/>
            </w:r>
            <w:r>
              <w:rPr>
                <w:noProof/>
                <w:webHidden/>
              </w:rPr>
              <w:fldChar w:fldCharType="begin"/>
            </w:r>
            <w:r>
              <w:rPr>
                <w:noProof/>
                <w:webHidden/>
              </w:rPr>
              <w:instrText xml:space="preserve"> PAGEREF _Toc96864832 \h </w:instrText>
            </w:r>
            <w:r>
              <w:rPr>
                <w:noProof/>
                <w:webHidden/>
              </w:rPr>
            </w:r>
            <w:r>
              <w:rPr>
                <w:noProof/>
                <w:webHidden/>
              </w:rPr>
              <w:fldChar w:fldCharType="separate"/>
            </w:r>
            <w:r>
              <w:rPr>
                <w:noProof/>
                <w:webHidden/>
              </w:rPr>
              <w:t>3</w:t>
            </w:r>
            <w:r>
              <w:rPr>
                <w:noProof/>
                <w:webHidden/>
              </w:rPr>
              <w:fldChar w:fldCharType="end"/>
            </w:r>
          </w:hyperlink>
        </w:p>
        <w:p w14:paraId="16FC6FDD" w14:textId="35F69279" w:rsidR="00556214" w:rsidRDefault="00556214">
          <w:pPr>
            <w:pStyle w:val="TOC1"/>
            <w:rPr>
              <w:rFonts w:eastAsiaTheme="minorEastAsia"/>
              <w:noProof/>
            </w:rPr>
          </w:pPr>
          <w:hyperlink w:anchor="_Toc96864833" w:history="1">
            <w:r w:rsidRPr="006B4566">
              <w:rPr>
                <w:rStyle w:val="Hyperlink"/>
                <w:noProof/>
              </w:rPr>
              <w:t>HMA vs. HMA with Venetoclax</w:t>
            </w:r>
            <w:r>
              <w:rPr>
                <w:noProof/>
                <w:webHidden/>
              </w:rPr>
              <w:tab/>
            </w:r>
            <w:r>
              <w:rPr>
                <w:noProof/>
                <w:webHidden/>
              </w:rPr>
              <w:fldChar w:fldCharType="begin"/>
            </w:r>
            <w:r>
              <w:rPr>
                <w:noProof/>
                <w:webHidden/>
              </w:rPr>
              <w:instrText xml:space="preserve"> PAGEREF _Toc96864833 \h </w:instrText>
            </w:r>
            <w:r>
              <w:rPr>
                <w:noProof/>
                <w:webHidden/>
              </w:rPr>
            </w:r>
            <w:r>
              <w:rPr>
                <w:noProof/>
                <w:webHidden/>
              </w:rPr>
              <w:fldChar w:fldCharType="separate"/>
            </w:r>
            <w:r>
              <w:rPr>
                <w:noProof/>
                <w:webHidden/>
              </w:rPr>
              <w:t>4</w:t>
            </w:r>
            <w:r>
              <w:rPr>
                <w:noProof/>
                <w:webHidden/>
              </w:rPr>
              <w:fldChar w:fldCharType="end"/>
            </w:r>
          </w:hyperlink>
        </w:p>
        <w:p w14:paraId="6D5C2C07" w14:textId="3ED221BE" w:rsidR="00556214" w:rsidRDefault="00556214">
          <w:pPr>
            <w:pStyle w:val="TOC1"/>
            <w:rPr>
              <w:rFonts w:eastAsiaTheme="minorEastAsia"/>
              <w:noProof/>
            </w:rPr>
          </w:pPr>
          <w:hyperlink w:anchor="_Toc96864834" w:history="1">
            <w:r w:rsidRPr="006B4566">
              <w:rPr>
                <w:rStyle w:val="Hyperlink"/>
                <w:rFonts w:eastAsiaTheme="majorEastAsia" w:cstheme="minorHAnsi"/>
                <w:noProof/>
              </w:rPr>
              <w:t>Azacitidine vs. Azacitidine with Venetoclax</w:t>
            </w:r>
            <w:r>
              <w:rPr>
                <w:noProof/>
                <w:webHidden/>
              </w:rPr>
              <w:tab/>
            </w:r>
            <w:r>
              <w:rPr>
                <w:noProof/>
                <w:webHidden/>
              </w:rPr>
              <w:fldChar w:fldCharType="begin"/>
            </w:r>
            <w:r>
              <w:rPr>
                <w:noProof/>
                <w:webHidden/>
              </w:rPr>
              <w:instrText xml:space="preserve"> PAGEREF _Toc96864834 \h </w:instrText>
            </w:r>
            <w:r>
              <w:rPr>
                <w:noProof/>
                <w:webHidden/>
              </w:rPr>
            </w:r>
            <w:r>
              <w:rPr>
                <w:noProof/>
                <w:webHidden/>
              </w:rPr>
              <w:fldChar w:fldCharType="separate"/>
            </w:r>
            <w:r>
              <w:rPr>
                <w:noProof/>
                <w:webHidden/>
              </w:rPr>
              <w:t>6</w:t>
            </w:r>
            <w:r>
              <w:rPr>
                <w:noProof/>
                <w:webHidden/>
              </w:rPr>
              <w:fldChar w:fldCharType="end"/>
            </w:r>
          </w:hyperlink>
        </w:p>
        <w:p w14:paraId="0411F1F9" w14:textId="77BD787F" w:rsidR="00556214" w:rsidRDefault="00556214">
          <w:pPr>
            <w:pStyle w:val="TOC1"/>
            <w:rPr>
              <w:rFonts w:eastAsiaTheme="minorEastAsia"/>
              <w:noProof/>
            </w:rPr>
          </w:pPr>
          <w:hyperlink w:anchor="_Toc96864835" w:history="1">
            <w:r w:rsidRPr="006B4566">
              <w:rPr>
                <w:rStyle w:val="Hyperlink"/>
                <w:rFonts w:cstheme="minorHAnsi"/>
                <w:noProof/>
              </w:rPr>
              <w:t>Decitabine vs. Decitabine with Venetoclax</w:t>
            </w:r>
            <w:r>
              <w:rPr>
                <w:noProof/>
                <w:webHidden/>
              </w:rPr>
              <w:tab/>
            </w:r>
            <w:r>
              <w:rPr>
                <w:noProof/>
                <w:webHidden/>
              </w:rPr>
              <w:fldChar w:fldCharType="begin"/>
            </w:r>
            <w:r>
              <w:rPr>
                <w:noProof/>
                <w:webHidden/>
              </w:rPr>
              <w:instrText xml:space="preserve"> PAGEREF _Toc96864835 \h </w:instrText>
            </w:r>
            <w:r>
              <w:rPr>
                <w:noProof/>
                <w:webHidden/>
              </w:rPr>
            </w:r>
            <w:r>
              <w:rPr>
                <w:noProof/>
                <w:webHidden/>
              </w:rPr>
              <w:fldChar w:fldCharType="separate"/>
            </w:r>
            <w:r>
              <w:rPr>
                <w:noProof/>
                <w:webHidden/>
              </w:rPr>
              <w:t>11</w:t>
            </w:r>
            <w:r>
              <w:rPr>
                <w:noProof/>
                <w:webHidden/>
              </w:rPr>
              <w:fldChar w:fldCharType="end"/>
            </w:r>
          </w:hyperlink>
        </w:p>
        <w:p w14:paraId="3F7C8073" w14:textId="586F34DA" w:rsidR="00556214" w:rsidRDefault="00556214">
          <w:pPr>
            <w:pStyle w:val="TOC1"/>
            <w:rPr>
              <w:rFonts w:eastAsiaTheme="minorEastAsia"/>
              <w:noProof/>
            </w:rPr>
          </w:pPr>
          <w:hyperlink w:anchor="_Toc96864836" w:history="1">
            <w:r w:rsidRPr="006B4566">
              <w:rPr>
                <w:rStyle w:val="Hyperlink"/>
                <w:rFonts w:cstheme="minorHAnsi"/>
                <w:noProof/>
              </w:rPr>
              <w:t>Azacitidine vs. Decitabine</w:t>
            </w:r>
            <w:r>
              <w:rPr>
                <w:noProof/>
                <w:webHidden/>
              </w:rPr>
              <w:tab/>
            </w:r>
            <w:r>
              <w:rPr>
                <w:noProof/>
                <w:webHidden/>
              </w:rPr>
              <w:fldChar w:fldCharType="begin"/>
            </w:r>
            <w:r>
              <w:rPr>
                <w:noProof/>
                <w:webHidden/>
              </w:rPr>
              <w:instrText xml:space="preserve"> PAGEREF _Toc96864836 \h </w:instrText>
            </w:r>
            <w:r>
              <w:rPr>
                <w:noProof/>
                <w:webHidden/>
              </w:rPr>
            </w:r>
            <w:r>
              <w:rPr>
                <w:noProof/>
                <w:webHidden/>
              </w:rPr>
              <w:fldChar w:fldCharType="separate"/>
            </w:r>
            <w:r>
              <w:rPr>
                <w:noProof/>
                <w:webHidden/>
              </w:rPr>
              <w:t>17</w:t>
            </w:r>
            <w:r>
              <w:rPr>
                <w:noProof/>
                <w:webHidden/>
              </w:rPr>
              <w:fldChar w:fldCharType="end"/>
            </w:r>
          </w:hyperlink>
        </w:p>
        <w:p w14:paraId="26588EF3" w14:textId="3691969B" w:rsidR="00556214" w:rsidRDefault="00556214">
          <w:pPr>
            <w:pStyle w:val="TOC1"/>
            <w:rPr>
              <w:rFonts w:eastAsiaTheme="minorEastAsia"/>
              <w:noProof/>
            </w:rPr>
          </w:pPr>
          <w:hyperlink w:anchor="_Toc96864837" w:history="1">
            <w:r w:rsidRPr="006B4566">
              <w:rPr>
                <w:rStyle w:val="Hyperlink"/>
                <w:noProof/>
              </w:rPr>
              <w:t>Azacitidine plus Venbtoclax vs. Decitabine plus Venetoclax</w:t>
            </w:r>
            <w:r>
              <w:rPr>
                <w:noProof/>
                <w:webHidden/>
              </w:rPr>
              <w:tab/>
            </w:r>
            <w:r>
              <w:rPr>
                <w:noProof/>
                <w:webHidden/>
              </w:rPr>
              <w:fldChar w:fldCharType="begin"/>
            </w:r>
            <w:r>
              <w:rPr>
                <w:noProof/>
                <w:webHidden/>
              </w:rPr>
              <w:instrText xml:space="preserve"> PAGEREF _Toc96864837 \h </w:instrText>
            </w:r>
            <w:r>
              <w:rPr>
                <w:noProof/>
                <w:webHidden/>
              </w:rPr>
            </w:r>
            <w:r>
              <w:rPr>
                <w:noProof/>
                <w:webHidden/>
              </w:rPr>
              <w:fldChar w:fldCharType="separate"/>
            </w:r>
            <w:r>
              <w:rPr>
                <w:noProof/>
                <w:webHidden/>
              </w:rPr>
              <w:t>22</w:t>
            </w:r>
            <w:r>
              <w:rPr>
                <w:noProof/>
                <w:webHidden/>
              </w:rPr>
              <w:fldChar w:fldCharType="end"/>
            </w:r>
          </w:hyperlink>
        </w:p>
        <w:p w14:paraId="2E70CB95" w14:textId="4B80A83E" w:rsidR="00556214" w:rsidRDefault="00556214">
          <w:pPr>
            <w:pStyle w:val="TOC1"/>
            <w:rPr>
              <w:rFonts w:eastAsiaTheme="minorEastAsia"/>
              <w:noProof/>
            </w:rPr>
          </w:pPr>
          <w:hyperlink w:anchor="_Toc96864838" w:history="1">
            <w:r w:rsidRPr="006B4566">
              <w:rPr>
                <w:rStyle w:val="Hyperlink"/>
                <w:noProof/>
              </w:rPr>
              <w:t>Studies investigating the outcomes of combining Venetoclax with HMAs</w:t>
            </w:r>
            <w:r>
              <w:rPr>
                <w:noProof/>
                <w:webHidden/>
              </w:rPr>
              <w:tab/>
            </w:r>
            <w:r>
              <w:rPr>
                <w:noProof/>
                <w:webHidden/>
              </w:rPr>
              <w:fldChar w:fldCharType="begin"/>
            </w:r>
            <w:r>
              <w:rPr>
                <w:noProof/>
                <w:webHidden/>
              </w:rPr>
              <w:instrText xml:space="preserve"> PAGEREF _Toc96864838 \h </w:instrText>
            </w:r>
            <w:r>
              <w:rPr>
                <w:noProof/>
                <w:webHidden/>
              </w:rPr>
            </w:r>
            <w:r>
              <w:rPr>
                <w:noProof/>
                <w:webHidden/>
              </w:rPr>
              <w:fldChar w:fldCharType="separate"/>
            </w:r>
            <w:r>
              <w:rPr>
                <w:noProof/>
                <w:webHidden/>
              </w:rPr>
              <w:t>27</w:t>
            </w:r>
            <w:r>
              <w:rPr>
                <w:noProof/>
                <w:webHidden/>
              </w:rPr>
              <w:fldChar w:fldCharType="end"/>
            </w:r>
          </w:hyperlink>
        </w:p>
        <w:p w14:paraId="383EDBA9" w14:textId="05B31702" w:rsidR="00556214" w:rsidRDefault="00556214">
          <w:pPr>
            <w:pStyle w:val="TOC1"/>
            <w:rPr>
              <w:rFonts w:eastAsiaTheme="minorEastAsia"/>
              <w:noProof/>
            </w:rPr>
          </w:pPr>
          <w:hyperlink w:anchor="_Toc96864839" w:history="1">
            <w:r w:rsidRPr="006B4566">
              <w:rPr>
                <w:rStyle w:val="Hyperlink"/>
                <w:noProof/>
              </w:rPr>
              <w:t>References:</w:t>
            </w:r>
            <w:r>
              <w:rPr>
                <w:noProof/>
                <w:webHidden/>
              </w:rPr>
              <w:tab/>
            </w:r>
            <w:r>
              <w:rPr>
                <w:noProof/>
                <w:webHidden/>
              </w:rPr>
              <w:fldChar w:fldCharType="begin"/>
            </w:r>
            <w:r>
              <w:rPr>
                <w:noProof/>
                <w:webHidden/>
              </w:rPr>
              <w:instrText xml:space="preserve"> PAGEREF _Toc96864839 \h </w:instrText>
            </w:r>
            <w:r>
              <w:rPr>
                <w:noProof/>
                <w:webHidden/>
              </w:rPr>
            </w:r>
            <w:r>
              <w:rPr>
                <w:noProof/>
                <w:webHidden/>
              </w:rPr>
              <w:fldChar w:fldCharType="separate"/>
            </w:r>
            <w:r>
              <w:rPr>
                <w:noProof/>
                <w:webHidden/>
              </w:rPr>
              <w:t>30</w:t>
            </w:r>
            <w:r>
              <w:rPr>
                <w:noProof/>
                <w:webHidden/>
              </w:rPr>
              <w:fldChar w:fldCharType="end"/>
            </w:r>
          </w:hyperlink>
        </w:p>
        <w:p w14:paraId="3D5A0B99" w14:textId="5E7DB5A3" w:rsidR="00DD25BA" w:rsidRPr="00310F97" w:rsidRDefault="00DC2049" w:rsidP="00310F97">
          <w:pPr>
            <w:rPr>
              <w:rFonts w:cstheme="minorHAnsi"/>
            </w:rPr>
          </w:pPr>
          <w:r w:rsidRPr="00E70DD9">
            <w:rPr>
              <w:rFonts w:cstheme="minorHAnsi"/>
              <w:b/>
              <w:bCs/>
              <w:noProof/>
            </w:rPr>
            <w:fldChar w:fldCharType="end"/>
          </w:r>
        </w:p>
      </w:sdtContent>
    </w:sdt>
    <w:p w14:paraId="3E129184" w14:textId="6F1D38B1" w:rsidR="00DD25BA" w:rsidRDefault="00DD25BA" w:rsidP="00987DC1">
      <w:pPr>
        <w:pStyle w:val="Heading2"/>
      </w:pPr>
    </w:p>
    <w:p w14:paraId="4F14CFBE" w14:textId="2F97BA97" w:rsidR="005F29DF" w:rsidRDefault="005F29DF" w:rsidP="005F29DF"/>
    <w:p w14:paraId="6ADE0281" w14:textId="0854810E" w:rsidR="009D2BD6" w:rsidRDefault="009D2BD6" w:rsidP="005F29DF"/>
    <w:p w14:paraId="2CE7A49E" w14:textId="77777777" w:rsidR="009D2BD6" w:rsidRDefault="009D2BD6" w:rsidP="005F29DF"/>
    <w:p w14:paraId="0091C072" w14:textId="16DFBFEC" w:rsidR="005F29DF" w:rsidRDefault="005F29DF" w:rsidP="005F29DF"/>
    <w:p w14:paraId="20D286B8" w14:textId="643712BC" w:rsidR="005F29DF" w:rsidRDefault="005F29DF" w:rsidP="005F29DF"/>
    <w:p w14:paraId="16DB2274" w14:textId="719FDA2E" w:rsidR="005F29DF" w:rsidRDefault="005F29DF" w:rsidP="005F29DF"/>
    <w:p w14:paraId="1C820C0D" w14:textId="44151395" w:rsidR="005119AE" w:rsidRDefault="005119AE" w:rsidP="005F29DF"/>
    <w:p w14:paraId="779D1231" w14:textId="7D1AA21F" w:rsidR="005119AE" w:rsidRDefault="005119AE">
      <w:pPr>
        <w:pStyle w:val="Heading1"/>
      </w:pPr>
      <w:bookmarkStart w:id="1" w:name="_Toc96864831"/>
      <w:r>
        <w:t>Causes of death</w:t>
      </w:r>
      <w:bookmarkEnd w:id="1"/>
    </w:p>
    <w:p w14:paraId="01CA7008" w14:textId="4E38A49E" w:rsidR="00BA5C75" w:rsidRPr="000F7621" w:rsidRDefault="00BA5C75" w:rsidP="00BA5C75">
      <w:pPr>
        <w:rPr>
          <w:color w:val="000000" w:themeColor="text1"/>
        </w:rPr>
      </w:pPr>
    </w:p>
    <w:p w14:paraId="6E1026B4" w14:textId="77777777" w:rsidR="00BA5C75" w:rsidRPr="000F7621" w:rsidRDefault="00BA5C75" w:rsidP="00BA5C75">
      <w:pPr>
        <w:rPr>
          <w:color w:val="000000" w:themeColor="text1"/>
        </w:rPr>
      </w:pPr>
    </w:p>
    <w:p w14:paraId="4ADB421D" w14:textId="39AAF310" w:rsidR="00BA5C75" w:rsidRPr="000F7621" w:rsidRDefault="00CC7F31" w:rsidP="00BA5C75">
      <w:pPr>
        <w:pStyle w:val="Caption"/>
        <w:keepNext/>
        <w:rPr>
          <w:color w:val="000000" w:themeColor="text1"/>
          <w:sz w:val="22"/>
          <w:szCs w:val="22"/>
        </w:rPr>
      </w:pPr>
      <w:r>
        <w:rPr>
          <w:color w:val="000000" w:themeColor="text1"/>
          <w:sz w:val="22"/>
          <w:szCs w:val="22"/>
        </w:rPr>
        <w:t>e</w:t>
      </w:r>
      <w:r w:rsidR="00BA5C75" w:rsidRPr="000F7621">
        <w:rPr>
          <w:color w:val="000000" w:themeColor="text1"/>
          <w:sz w:val="22"/>
          <w:szCs w:val="22"/>
        </w:rPr>
        <w:t xml:space="preserve">Table </w:t>
      </w:r>
      <w:r w:rsidR="00BA5C75" w:rsidRPr="000F7621">
        <w:rPr>
          <w:color w:val="000000" w:themeColor="text1"/>
          <w:sz w:val="22"/>
          <w:szCs w:val="22"/>
        </w:rPr>
        <w:fldChar w:fldCharType="begin"/>
      </w:r>
      <w:r w:rsidR="00BA5C75" w:rsidRPr="000F7621">
        <w:rPr>
          <w:color w:val="000000" w:themeColor="text1"/>
          <w:sz w:val="22"/>
          <w:szCs w:val="22"/>
        </w:rPr>
        <w:instrText xml:space="preserve"> SEQ Table \* ARABIC </w:instrText>
      </w:r>
      <w:r w:rsidR="00BA5C75" w:rsidRPr="000F7621">
        <w:rPr>
          <w:color w:val="000000" w:themeColor="text1"/>
          <w:sz w:val="22"/>
          <w:szCs w:val="22"/>
        </w:rPr>
        <w:fldChar w:fldCharType="separate"/>
      </w:r>
      <w:r w:rsidR="00556214">
        <w:rPr>
          <w:noProof/>
          <w:color w:val="000000" w:themeColor="text1"/>
          <w:sz w:val="22"/>
          <w:szCs w:val="22"/>
        </w:rPr>
        <w:t>1</w:t>
      </w:r>
      <w:r w:rsidR="00BA5C75" w:rsidRPr="000F7621">
        <w:rPr>
          <w:color w:val="000000" w:themeColor="text1"/>
          <w:sz w:val="22"/>
          <w:szCs w:val="22"/>
        </w:rPr>
        <w:fldChar w:fldCharType="end"/>
      </w:r>
      <w:r w:rsidR="00BA5C75" w:rsidRPr="000F7621">
        <w:rPr>
          <w:color w:val="000000" w:themeColor="text1"/>
          <w:sz w:val="22"/>
          <w:szCs w:val="22"/>
        </w:rPr>
        <w:t xml:space="preserve"> Causes of death in  AML patients treated with hyp</w:t>
      </w:r>
      <w:r w:rsidR="00BA5C75">
        <w:rPr>
          <w:color w:val="000000" w:themeColor="text1"/>
          <w:sz w:val="22"/>
          <w:szCs w:val="22"/>
        </w:rPr>
        <w:t>o</w:t>
      </w:r>
      <w:r w:rsidR="00BA5C75" w:rsidRPr="000F7621">
        <w:rPr>
          <w:color w:val="000000" w:themeColor="text1"/>
          <w:sz w:val="22"/>
          <w:szCs w:val="22"/>
        </w:rPr>
        <w:t>methylating agents with or without Venetoclax.</w:t>
      </w:r>
    </w:p>
    <w:tbl>
      <w:tblPr>
        <w:tblStyle w:val="TableGrid"/>
        <w:tblW w:w="14267" w:type="dxa"/>
        <w:tblLook w:val="04A0" w:firstRow="1" w:lastRow="0" w:firstColumn="1" w:lastColumn="0" w:noHBand="0" w:noVBand="1"/>
      </w:tblPr>
      <w:tblGrid>
        <w:gridCol w:w="2888"/>
        <w:gridCol w:w="1299"/>
        <w:gridCol w:w="1315"/>
        <w:gridCol w:w="1228"/>
        <w:gridCol w:w="1315"/>
        <w:gridCol w:w="1262"/>
        <w:gridCol w:w="1315"/>
        <w:gridCol w:w="1299"/>
        <w:gridCol w:w="1315"/>
        <w:gridCol w:w="1031"/>
      </w:tblGrid>
      <w:tr w:rsidR="005119AE" w:rsidRPr="005119AE" w14:paraId="1E199C72" w14:textId="77777777" w:rsidTr="000F7621">
        <w:trPr>
          <w:trHeight w:val="345"/>
        </w:trPr>
        <w:tc>
          <w:tcPr>
            <w:tcW w:w="2888" w:type="dxa"/>
            <w:noWrap/>
            <w:hideMark/>
          </w:tcPr>
          <w:p w14:paraId="2FEF3034" w14:textId="77777777" w:rsidR="005119AE" w:rsidRPr="005119AE" w:rsidRDefault="005119AE" w:rsidP="005119AE"/>
        </w:tc>
        <w:tc>
          <w:tcPr>
            <w:tcW w:w="1299" w:type="dxa"/>
            <w:noWrap/>
            <w:hideMark/>
          </w:tcPr>
          <w:p w14:paraId="06190D3E" w14:textId="77777777" w:rsidR="005119AE" w:rsidRPr="005119AE" w:rsidRDefault="005119AE" w:rsidP="000F7621">
            <w:pPr>
              <w:jc w:val="center"/>
            </w:pPr>
            <w:r w:rsidRPr="005119AE">
              <w:t>Azacitdine plus Venetolcax</w:t>
            </w:r>
          </w:p>
        </w:tc>
        <w:tc>
          <w:tcPr>
            <w:tcW w:w="1315" w:type="dxa"/>
            <w:noWrap/>
            <w:hideMark/>
          </w:tcPr>
          <w:p w14:paraId="0A1DA88B" w14:textId="77777777" w:rsidR="005119AE" w:rsidRPr="005119AE" w:rsidRDefault="005119AE" w:rsidP="000F7621">
            <w:pPr>
              <w:jc w:val="center"/>
            </w:pPr>
            <w:r w:rsidRPr="005119AE">
              <w:t>Percentage</w:t>
            </w:r>
          </w:p>
        </w:tc>
        <w:tc>
          <w:tcPr>
            <w:tcW w:w="1228" w:type="dxa"/>
            <w:noWrap/>
            <w:hideMark/>
          </w:tcPr>
          <w:p w14:paraId="2ED785A2" w14:textId="62280460" w:rsidR="005119AE" w:rsidRPr="005119AE" w:rsidRDefault="005119AE" w:rsidP="000F7621">
            <w:pPr>
              <w:jc w:val="center"/>
            </w:pPr>
            <w:r w:rsidRPr="005119AE">
              <w:t>Azac</w:t>
            </w:r>
            <w:r w:rsidR="002D2D6E">
              <w:t>i</w:t>
            </w:r>
            <w:r w:rsidRPr="005119AE">
              <w:t>tidine</w:t>
            </w:r>
          </w:p>
        </w:tc>
        <w:tc>
          <w:tcPr>
            <w:tcW w:w="1315" w:type="dxa"/>
            <w:noWrap/>
            <w:hideMark/>
          </w:tcPr>
          <w:p w14:paraId="1D2E66FA" w14:textId="77777777" w:rsidR="005119AE" w:rsidRPr="005119AE" w:rsidRDefault="005119AE" w:rsidP="000F7621">
            <w:pPr>
              <w:jc w:val="center"/>
            </w:pPr>
            <w:r w:rsidRPr="005119AE">
              <w:t>Percentage</w:t>
            </w:r>
          </w:p>
        </w:tc>
        <w:tc>
          <w:tcPr>
            <w:tcW w:w="1262" w:type="dxa"/>
            <w:noWrap/>
            <w:hideMark/>
          </w:tcPr>
          <w:p w14:paraId="18315778" w14:textId="77777777" w:rsidR="005119AE" w:rsidRPr="005119AE" w:rsidRDefault="005119AE" w:rsidP="000F7621">
            <w:pPr>
              <w:jc w:val="center"/>
            </w:pPr>
            <w:r w:rsidRPr="005119AE">
              <w:t>Decitabine</w:t>
            </w:r>
          </w:p>
        </w:tc>
        <w:tc>
          <w:tcPr>
            <w:tcW w:w="1315" w:type="dxa"/>
            <w:noWrap/>
            <w:hideMark/>
          </w:tcPr>
          <w:p w14:paraId="37F5577C" w14:textId="77777777" w:rsidR="005119AE" w:rsidRPr="005119AE" w:rsidRDefault="005119AE" w:rsidP="000F7621">
            <w:pPr>
              <w:jc w:val="center"/>
            </w:pPr>
            <w:r w:rsidRPr="005119AE">
              <w:t>Percentage</w:t>
            </w:r>
          </w:p>
        </w:tc>
        <w:tc>
          <w:tcPr>
            <w:tcW w:w="1299" w:type="dxa"/>
            <w:noWrap/>
            <w:hideMark/>
          </w:tcPr>
          <w:p w14:paraId="5A29EF0F" w14:textId="77777777" w:rsidR="005119AE" w:rsidRPr="005119AE" w:rsidRDefault="005119AE" w:rsidP="000F7621">
            <w:pPr>
              <w:jc w:val="center"/>
            </w:pPr>
            <w:r w:rsidRPr="005119AE">
              <w:t>Decitabine plus Venetolcax</w:t>
            </w:r>
          </w:p>
        </w:tc>
        <w:tc>
          <w:tcPr>
            <w:tcW w:w="1315" w:type="dxa"/>
            <w:noWrap/>
            <w:hideMark/>
          </w:tcPr>
          <w:p w14:paraId="15C50970" w14:textId="77777777" w:rsidR="005119AE" w:rsidRPr="005119AE" w:rsidRDefault="005119AE" w:rsidP="000F7621">
            <w:pPr>
              <w:jc w:val="center"/>
            </w:pPr>
            <w:r w:rsidRPr="005119AE">
              <w:t>Percentage</w:t>
            </w:r>
          </w:p>
        </w:tc>
        <w:tc>
          <w:tcPr>
            <w:tcW w:w="1031" w:type="dxa"/>
            <w:noWrap/>
            <w:hideMark/>
          </w:tcPr>
          <w:p w14:paraId="4307D23F" w14:textId="77777777" w:rsidR="005119AE" w:rsidRPr="005119AE" w:rsidRDefault="005119AE" w:rsidP="000F7621">
            <w:pPr>
              <w:jc w:val="center"/>
            </w:pPr>
            <w:r w:rsidRPr="005119AE">
              <w:t>P-value</w:t>
            </w:r>
          </w:p>
        </w:tc>
      </w:tr>
      <w:tr w:rsidR="005119AE" w:rsidRPr="005119AE" w14:paraId="0867D7C9" w14:textId="77777777" w:rsidTr="000F7621">
        <w:trPr>
          <w:trHeight w:val="345"/>
        </w:trPr>
        <w:tc>
          <w:tcPr>
            <w:tcW w:w="2888" w:type="dxa"/>
            <w:noWrap/>
            <w:hideMark/>
          </w:tcPr>
          <w:p w14:paraId="579387EC" w14:textId="77777777" w:rsidR="005119AE" w:rsidRPr="005119AE" w:rsidRDefault="005119AE" w:rsidP="005119AE">
            <w:r w:rsidRPr="005119AE">
              <w:t>Number of patients</w:t>
            </w:r>
          </w:p>
        </w:tc>
        <w:tc>
          <w:tcPr>
            <w:tcW w:w="1299" w:type="dxa"/>
            <w:noWrap/>
            <w:hideMark/>
          </w:tcPr>
          <w:p w14:paraId="51D23FA7" w14:textId="77777777" w:rsidR="005119AE" w:rsidRPr="005119AE" w:rsidRDefault="005119AE" w:rsidP="000F7621">
            <w:pPr>
              <w:jc w:val="center"/>
            </w:pPr>
          </w:p>
        </w:tc>
        <w:tc>
          <w:tcPr>
            <w:tcW w:w="1315" w:type="dxa"/>
            <w:noWrap/>
            <w:hideMark/>
          </w:tcPr>
          <w:p w14:paraId="09E0B81F" w14:textId="77777777" w:rsidR="005119AE" w:rsidRPr="005119AE" w:rsidRDefault="005119AE" w:rsidP="000F7621">
            <w:pPr>
              <w:jc w:val="center"/>
            </w:pPr>
            <w:r w:rsidRPr="005119AE">
              <w:t>16</w:t>
            </w:r>
          </w:p>
        </w:tc>
        <w:tc>
          <w:tcPr>
            <w:tcW w:w="1228" w:type="dxa"/>
            <w:noWrap/>
            <w:hideMark/>
          </w:tcPr>
          <w:p w14:paraId="0D04378F" w14:textId="77777777" w:rsidR="005119AE" w:rsidRPr="005119AE" w:rsidRDefault="005119AE" w:rsidP="000F7621">
            <w:pPr>
              <w:jc w:val="center"/>
            </w:pPr>
          </w:p>
        </w:tc>
        <w:tc>
          <w:tcPr>
            <w:tcW w:w="1315" w:type="dxa"/>
            <w:noWrap/>
            <w:hideMark/>
          </w:tcPr>
          <w:p w14:paraId="75D4288F" w14:textId="77777777" w:rsidR="005119AE" w:rsidRPr="005119AE" w:rsidRDefault="005119AE" w:rsidP="000F7621">
            <w:pPr>
              <w:jc w:val="center"/>
            </w:pPr>
            <w:r w:rsidRPr="005119AE">
              <w:t>29</w:t>
            </w:r>
          </w:p>
        </w:tc>
        <w:tc>
          <w:tcPr>
            <w:tcW w:w="1262" w:type="dxa"/>
            <w:noWrap/>
            <w:hideMark/>
          </w:tcPr>
          <w:p w14:paraId="6724FE51" w14:textId="77777777" w:rsidR="005119AE" w:rsidRPr="005119AE" w:rsidRDefault="005119AE" w:rsidP="000F7621">
            <w:pPr>
              <w:jc w:val="center"/>
            </w:pPr>
          </w:p>
        </w:tc>
        <w:tc>
          <w:tcPr>
            <w:tcW w:w="1315" w:type="dxa"/>
            <w:noWrap/>
            <w:hideMark/>
          </w:tcPr>
          <w:p w14:paraId="113D59BF" w14:textId="77777777" w:rsidR="005119AE" w:rsidRPr="005119AE" w:rsidRDefault="005119AE" w:rsidP="000F7621">
            <w:pPr>
              <w:jc w:val="center"/>
            </w:pPr>
            <w:r w:rsidRPr="005119AE">
              <w:t>80</w:t>
            </w:r>
          </w:p>
        </w:tc>
        <w:tc>
          <w:tcPr>
            <w:tcW w:w="1299" w:type="dxa"/>
            <w:noWrap/>
            <w:hideMark/>
          </w:tcPr>
          <w:p w14:paraId="79A8B293" w14:textId="77777777" w:rsidR="005119AE" w:rsidRPr="005119AE" w:rsidRDefault="005119AE" w:rsidP="000F7621">
            <w:pPr>
              <w:jc w:val="center"/>
            </w:pPr>
            <w:r w:rsidRPr="005119AE">
              <w:t>24</w:t>
            </w:r>
          </w:p>
        </w:tc>
        <w:tc>
          <w:tcPr>
            <w:tcW w:w="1315" w:type="dxa"/>
            <w:noWrap/>
            <w:hideMark/>
          </w:tcPr>
          <w:p w14:paraId="57D7A876" w14:textId="77777777" w:rsidR="005119AE" w:rsidRPr="005119AE" w:rsidRDefault="005119AE" w:rsidP="000F7621">
            <w:pPr>
              <w:jc w:val="center"/>
            </w:pPr>
          </w:p>
        </w:tc>
        <w:tc>
          <w:tcPr>
            <w:tcW w:w="1031" w:type="dxa"/>
            <w:noWrap/>
            <w:hideMark/>
          </w:tcPr>
          <w:p w14:paraId="0766A8D6" w14:textId="77777777" w:rsidR="005119AE" w:rsidRPr="005119AE" w:rsidRDefault="005119AE" w:rsidP="000F7621">
            <w:pPr>
              <w:jc w:val="center"/>
            </w:pPr>
            <w:r w:rsidRPr="005119AE">
              <w:t>0.55</w:t>
            </w:r>
          </w:p>
        </w:tc>
      </w:tr>
      <w:tr w:rsidR="005119AE" w:rsidRPr="005119AE" w14:paraId="7EAAB0B2" w14:textId="77777777" w:rsidTr="000F7621">
        <w:trPr>
          <w:trHeight w:val="345"/>
        </w:trPr>
        <w:tc>
          <w:tcPr>
            <w:tcW w:w="2888" w:type="dxa"/>
            <w:noWrap/>
            <w:hideMark/>
          </w:tcPr>
          <w:p w14:paraId="12CDFCC9" w14:textId="77777777" w:rsidR="005119AE" w:rsidRPr="005119AE" w:rsidRDefault="005119AE" w:rsidP="005119AE">
            <w:r w:rsidRPr="005119AE">
              <w:t>Cardiovascular</w:t>
            </w:r>
          </w:p>
        </w:tc>
        <w:tc>
          <w:tcPr>
            <w:tcW w:w="1299" w:type="dxa"/>
            <w:noWrap/>
            <w:hideMark/>
          </w:tcPr>
          <w:p w14:paraId="0367586E" w14:textId="77777777" w:rsidR="005119AE" w:rsidRPr="005119AE" w:rsidRDefault="005119AE" w:rsidP="000F7621">
            <w:pPr>
              <w:jc w:val="center"/>
            </w:pPr>
            <w:r w:rsidRPr="005119AE">
              <w:t>0</w:t>
            </w:r>
          </w:p>
        </w:tc>
        <w:tc>
          <w:tcPr>
            <w:tcW w:w="1315" w:type="dxa"/>
            <w:noWrap/>
            <w:hideMark/>
          </w:tcPr>
          <w:p w14:paraId="2EB82A49" w14:textId="77777777" w:rsidR="005119AE" w:rsidRPr="005119AE" w:rsidRDefault="005119AE" w:rsidP="000F7621">
            <w:pPr>
              <w:jc w:val="center"/>
            </w:pPr>
            <w:r w:rsidRPr="005119AE">
              <w:t>0</w:t>
            </w:r>
          </w:p>
        </w:tc>
        <w:tc>
          <w:tcPr>
            <w:tcW w:w="1228" w:type="dxa"/>
            <w:noWrap/>
            <w:hideMark/>
          </w:tcPr>
          <w:p w14:paraId="6A3B0071" w14:textId="77777777" w:rsidR="005119AE" w:rsidRPr="005119AE" w:rsidRDefault="005119AE" w:rsidP="000F7621">
            <w:pPr>
              <w:jc w:val="center"/>
            </w:pPr>
            <w:r w:rsidRPr="005119AE">
              <w:t>1</w:t>
            </w:r>
          </w:p>
        </w:tc>
        <w:tc>
          <w:tcPr>
            <w:tcW w:w="1315" w:type="dxa"/>
            <w:noWrap/>
            <w:hideMark/>
          </w:tcPr>
          <w:p w14:paraId="748CEBA7" w14:textId="77777777" w:rsidR="005119AE" w:rsidRPr="005119AE" w:rsidRDefault="005119AE" w:rsidP="000F7621">
            <w:pPr>
              <w:jc w:val="center"/>
            </w:pPr>
            <w:r w:rsidRPr="005119AE">
              <w:t>3.4</w:t>
            </w:r>
          </w:p>
        </w:tc>
        <w:tc>
          <w:tcPr>
            <w:tcW w:w="1262" w:type="dxa"/>
            <w:noWrap/>
            <w:hideMark/>
          </w:tcPr>
          <w:p w14:paraId="5D39687E" w14:textId="77777777" w:rsidR="005119AE" w:rsidRPr="005119AE" w:rsidRDefault="005119AE" w:rsidP="000F7621">
            <w:pPr>
              <w:jc w:val="center"/>
            </w:pPr>
            <w:r w:rsidRPr="005119AE">
              <w:t>0</w:t>
            </w:r>
          </w:p>
        </w:tc>
        <w:tc>
          <w:tcPr>
            <w:tcW w:w="1315" w:type="dxa"/>
            <w:noWrap/>
            <w:hideMark/>
          </w:tcPr>
          <w:p w14:paraId="7E6A894E" w14:textId="77777777" w:rsidR="005119AE" w:rsidRPr="005119AE" w:rsidRDefault="005119AE" w:rsidP="000F7621">
            <w:pPr>
              <w:jc w:val="center"/>
            </w:pPr>
            <w:r w:rsidRPr="005119AE">
              <w:t>0</w:t>
            </w:r>
          </w:p>
        </w:tc>
        <w:tc>
          <w:tcPr>
            <w:tcW w:w="1299" w:type="dxa"/>
            <w:noWrap/>
            <w:hideMark/>
          </w:tcPr>
          <w:p w14:paraId="582265E1" w14:textId="77777777" w:rsidR="005119AE" w:rsidRPr="005119AE" w:rsidRDefault="005119AE" w:rsidP="000F7621">
            <w:pPr>
              <w:jc w:val="center"/>
            </w:pPr>
            <w:r w:rsidRPr="005119AE">
              <w:t>0</w:t>
            </w:r>
          </w:p>
        </w:tc>
        <w:tc>
          <w:tcPr>
            <w:tcW w:w="1315" w:type="dxa"/>
            <w:noWrap/>
            <w:hideMark/>
          </w:tcPr>
          <w:p w14:paraId="3AAB3BFC" w14:textId="77777777" w:rsidR="005119AE" w:rsidRPr="005119AE" w:rsidRDefault="005119AE" w:rsidP="000F7621">
            <w:pPr>
              <w:jc w:val="center"/>
            </w:pPr>
            <w:r w:rsidRPr="005119AE">
              <w:t>0</w:t>
            </w:r>
          </w:p>
        </w:tc>
        <w:tc>
          <w:tcPr>
            <w:tcW w:w="1031" w:type="dxa"/>
            <w:noWrap/>
            <w:hideMark/>
          </w:tcPr>
          <w:p w14:paraId="562904D1" w14:textId="77777777" w:rsidR="005119AE" w:rsidRPr="005119AE" w:rsidRDefault="005119AE" w:rsidP="000F7621">
            <w:pPr>
              <w:jc w:val="center"/>
            </w:pPr>
          </w:p>
        </w:tc>
      </w:tr>
      <w:tr w:rsidR="005119AE" w:rsidRPr="005119AE" w14:paraId="6CCF39F5" w14:textId="77777777" w:rsidTr="000F7621">
        <w:trPr>
          <w:trHeight w:val="345"/>
        </w:trPr>
        <w:tc>
          <w:tcPr>
            <w:tcW w:w="2888" w:type="dxa"/>
            <w:noWrap/>
            <w:hideMark/>
          </w:tcPr>
          <w:p w14:paraId="754996A5" w14:textId="4BD5BAFA" w:rsidR="005119AE" w:rsidRPr="005119AE" w:rsidRDefault="005119AE" w:rsidP="005119AE">
            <w:r w:rsidRPr="005119AE">
              <w:t>Early death-Infection</w:t>
            </w:r>
            <w:r w:rsidR="00857E49" w:rsidRPr="000F7621">
              <w:rPr>
                <w:rFonts w:cstheme="minorHAnsi"/>
                <w:vertAlign w:val="superscript"/>
              </w:rPr>
              <w:t>α</w:t>
            </w:r>
          </w:p>
        </w:tc>
        <w:tc>
          <w:tcPr>
            <w:tcW w:w="1299" w:type="dxa"/>
            <w:noWrap/>
            <w:hideMark/>
          </w:tcPr>
          <w:p w14:paraId="23252D0E" w14:textId="77777777" w:rsidR="005119AE" w:rsidRPr="005119AE" w:rsidRDefault="005119AE" w:rsidP="000F7621">
            <w:pPr>
              <w:jc w:val="center"/>
            </w:pPr>
            <w:r w:rsidRPr="005119AE">
              <w:t>1</w:t>
            </w:r>
          </w:p>
        </w:tc>
        <w:tc>
          <w:tcPr>
            <w:tcW w:w="1315" w:type="dxa"/>
            <w:noWrap/>
            <w:hideMark/>
          </w:tcPr>
          <w:p w14:paraId="643E4854" w14:textId="77777777" w:rsidR="005119AE" w:rsidRPr="005119AE" w:rsidRDefault="005119AE" w:rsidP="000F7621">
            <w:pPr>
              <w:jc w:val="center"/>
            </w:pPr>
            <w:r w:rsidRPr="005119AE">
              <w:t>6.3</w:t>
            </w:r>
          </w:p>
        </w:tc>
        <w:tc>
          <w:tcPr>
            <w:tcW w:w="1228" w:type="dxa"/>
            <w:noWrap/>
            <w:hideMark/>
          </w:tcPr>
          <w:p w14:paraId="44699AFA" w14:textId="77777777" w:rsidR="005119AE" w:rsidRPr="005119AE" w:rsidRDefault="005119AE" w:rsidP="000F7621">
            <w:pPr>
              <w:jc w:val="center"/>
            </w:pPr>
            <w:r w:rsidRPr="005119AE">
              <w:t>4</w:t>
            </w:r>
          </w:p>
        </w:tc>
        <w:tc>
          <w:tcPr>
            <w:tcW w:w="1315" w:type="dxa"/>
            <w:noWrap/>
            <w:hideMark/>
          </w:tcPr>
          <w:p w14:paraId="226B4835" w14:textId="77777777" w:rsidR="005119AE" w:rsidRPr="005119AE" w:rsidRDefault="005119AE" w:rsidP="000F7621">
            <w:pPr>
              <w:jc w:val="center"/>
            </w:pPr>
            <w:r w:rsidRPr="005119AE">
              <w:t>13.8</w:t>
            </w:r>
          </w:p>
        </w:tc>
        <w:tc>
          <w:tcPr>
            <w:tcW w:w="1262" w:type="dxa"/>
            <w:noWrap/>
            <w:hideMark/>
          </w:tcPr>
          <w:p w14:paraId="08BDD580" w14:textId="77777777" w:rsidR="005119AE" w:rsidRPr="005119AE" w:rsidRDefault="005119AE" w:rsidP="000F7621">
            <w:pPr>
              <w:jc w:val="center"/>
            </w:pPr>
            <w:r w:rsidRPr="005119AE">
              <w:t>5</w:t>
            </w:r>
          </w:p>
        </w:tc>
        <w:tc>
          <w:tcPr>
            <w:tcW w:w="1315" w:type="dxa"/>
            <w:noWrap/>
            <w:hideMark/>
          </w:tcPr>
          <w:p w14:paraId="75B44479" w14:textId="77777777" w:rsidR="005119AE" w:rsidRPr="005119AE" w:rsidRDefault="005119AE" w:rsidP="000F7621">
            <w:pPr>
              <w:jc w:val="center"/>
            </w:pPr>
            <w:r w:rsidRPr="005119AE">
              <w:t>6.3</w:t>
            </w:r>
          </w:p>
        </w:tc>
        <w:tc>
          <w:tcPr>
            <w:tcW w:w="1299" w:type="dxa"/>
            <w:noWrap/>
            <w:hideMark/>
          </w:tcPr>
          <w:p w14:paraId="1FB3BFE8" w14:textId="77777777" w:rsidR="005119AE" w:rsidRPr="005119AE" w:rsidRDefault="005119AE" w:rsidP="000F7621">
            <w:pPr>
              <w:jc w:val="center"/>
            </w:pPr>
            <w:r w:rsidRPr="005119AE">
              <w:t>3</w:t>
            </w:r>
          </w:p>
        </w:tc>
        <w:tc>
          <w:tcPr>
            <w:tcW w:w="1315" w:type="dxa"/>
            <w:noWrap/>
            <w:hideMark/>
          </w:tcPr>
          <w:p w14:paraId="4DD5FB20" w14:textId="77777777" w:rsidR="005119AE" w:rsidRPr="005119AE" w:rsidRDefault="005119AE" w:rsidP="000F7621">
            <w:pPr>
              <w:jc w:val="center"/>
            </w:pPr>
            <w:r w:rsidRPr="005119AE">
              <w:t>12.5</w:t>
            </w:r>
          </w:p>
        </w:tc>
        <w:tc>
          <w:tcPr>
            <w:tcW w:w="1031" w:type="dxa"/>
            <w:noWrap/>
            <w:hideMark/>
          </w:tcPr>
          <w:p w14:paraId="250FDE48" w14:textId="77777777" w:rsidR="005119AE" w:rsidRPr="005119AE" w:rsidRDefault="005119AE" w:rsidP="000F7621">
            <w:pPr>
              <w:jc w:val="center"/>
            </w:pPr>
          </w:p>
        </w:tc>
      </w:tr>
      <w:tr w:rsidR="005119AE" w:rsidRPr="005119AE" w14:paraId="1A036876" w14:textId="77777777" w:rsidTr="000F7621">
        <w:trPr>
          <w:trHeight w:val="345"/>
        </w:trPr>
        <w:tc>
          <w:tcPr>
            <w:tcW w:w="2888" w:type="dxa"/>
            <w:noWrap/>
            <w:hideMark/>
          </w:tcPr>
          <w:p w14:paraId="64EF68FB" w14:textId="26A4008F" w:rsidR="005119AE" w:rsidRPr="005119AE" w:rsidRDefault="005119AE" w:rsidP="005119AE">
            <w:r w:rsidRPr="005119AE">
              <w:t>Early death-Other</w:t>
            </w:r>
            <w:r w:rsidR="00857E49" w:rsidRPr="00646C2B">
              <w:rPr>
                <w:rFonts w:cstheme="minorHAnsi"/>
                <w:vertAlign w:val="superscript"/>
              </w:rPr>
              <w:t>α</w:t>
            </w:r>
          </w:p>
        </w:tc>
        <w:tc>
          <w:tcPr>
            <w:tcW w:w="1299" w:type="dxa"/>
            <w:noWrap/>
            <w:hideMark/>
          </w:tcPr>
          <w:p w14:paraId="4F9B647C" w14:textId="77777777" w:rsidR="005119AE" w:rsidRPr="005119AE" w:rsidRDefault="005119AE" w:rsidP="000F7621">
            <w:pPr>
              <w:jc w:val="center"/>
            </w:pPr>
            <w:r w:rsidRPr="005119AE">
              <w:t>0</w:t>
            </w:r>
          </w:p>
        </w:tc>
        <w:tc>
          <w:tcPr>
            <w:tcW w:w="1315" w:type="dxa"/>
            <w:noWrap/>
            <w:hideMark/>
          </w:tcPr>
          <w:p w14:paraId="176ADA31" w14:textId="77777777" w:rsidR="005119AE" w:rsidRPr="005119AE" w:rsidRDefault="005119AE" w:rsidP="000F7621">
            <w:pPr>
              <w:jc w:val="center"/>
            </w:pPr>
            <w:r w:rsidRPr="005119AE">
              <w:t>0</w:t>
            </w:r>
          </w:p>
        </w:tc>
        <w:tc>
          <w:tcPr>
            <w:tcW w:w="1228" w:type="dxa"/>
            <w:noWrap/>
            <w:hideMark/>
          </w:tcPr>
          <w:p w14:paraId="794147EA" w14:textId="77777777" w:rsidR="005119AE" w:rsidRPr="005119AE" w:rsidRDefault="005119AE" w:rsidP="000F7621">
            <w:pPr>
              <w:jc w:val="center"/>
            </w:pPr>
            <w:r w:rsidRPr="005119AE">
              <w:t>1</w:t>
            </w:r>
          </w:p>
        </w:tc>
        <w:tc>
          <w:tcPr>
            <w:tcW w:w="1315" w:type="dxa"/>
            <w:noWrap/>
            <w:hideMark/>
          </w:tcPr>
          <w:p w14:paraId="5870CC19" w14:textId="77777777" w:rsidR="005119AE" w:rsidRPr="005119AE" w:rsidRDefault="005119AE" w:rsidP="000F7621">
            <w:pPr>
              <w:jc w:val="center"/>
            </w:pPr>
            <w:r w:rsidRPr="005119AE">
              <w:t>3.4</w:t>
            </w:r>
          </w:p>
        </w:tc>
        <w:tc>
          <w:tcPr>
            <w:tcW w:w="1262" w:type="dxa"/>
            <w:noWrap/>
            <w:hideMark/>
          </w:tcPr>
          <w:p w14:paraId="7A52D117" w14:textId="77777777" w:rsidR="005119AE" w:rsidRPr="005119AE" w:rsidRDefault="005119AE" w:rsidP="000F7621">
            <w:pPr>
              <w:jc w:val="center"/>
            </w:pPr>
            <w:r w:rsidRPr="005119AE">
              <w:t>9</w:t>
            </w:r>
          </w:p>
        </w:tc>
        <w:tc>
          <w:tcPr>
            <w:tcW w:w="1315" w:type="dxa"/>
            <w:noWrap/>
            <w:hideMark/>
          </w:tcPr>
          <w:p w14:paraId="562C62C7" w14:textId="77777777" w:rsidR="005119AE" w:rsidRPr="005119AE" w:rsidRDefault="005119AE" w:rsidP="000F7621">
            <w:pPr>
              <w:jc w:val="center"/>
            </w:pPr>
            <w:r w:rsidRPr="005119AE">
              <w:t>11.3</w:t>
            </w:r>
          </w:p>
        </w:tc>
        <w:tc>
          <w:tcPr>
            <w:tcW w:w="1299" w:type="dxa"/>
            <w:noWrap/>
            <w:hideMark/>
          </w:tcPr>
          <w:p w14:paraId="7FD65D35" w14:textId="77777777" w:rsidR="005119AE" w:rsidRPr="005119AE" w:rsidRDefault="005119AE" w:rsidP="000F7621">
            <w:pPr>
              <w:jc w:val="center"/>
            </w:pPr>
            <w:r w:rsidRPr="005119AE">
              <w:t>4</w:t>
            </w:r>
          </w:p>
        </w:tc>
        <w:tc>
          <w:tcPr>
            <w:tcW w:w="1315" w:type="dxa"/>
            <w:noWrap/>
            <w:hideMark/>
          </w:tcPr>
          <w:p w14:paraId="5DC2B031" w14:textId="77777777" w:rsidR="005119AE" w:rsidRPr="005119AE" w:rsidRDefault="005119AE" w:rsidP="000F7621">
            <w:pPr>
              <w:jc w:val="center"/>
            </w:pPr>
            <w:r w:rsidRPr="005119AE">
              <w:t>16.7</w:t>
            </w:r>
          </w:p>
        </w:tc>
        <w:tc>
          <w:tcPr>
            <w:tcW w:w="1031" w:type="dxa"/>
            <w:noWrap/>
            <w:hideMark/>
          </w:tcPr>
          <w:p w14:paraId="10EE1E0C" w14:textId="77777777" w:rsidR="005119AE" w:rsidRPr="005119AE" w:rsidRDefault="005119AE" w:rsidP="000F7621">
            <w:pPr>
              <w:jc w:val="center"/>
            </w:pPr>
          </w:p>
        </w:tc>
      </w:tr>
      <w:tr w:rsidR="005119AE" w:rsidRPr="005119AE" w14:paraId="20A7C305" w14:textId="77777777" w:rsidTr="000F7621">
        <w:trPr>
          <w:trHeight w:val="345"/>
        </w:trPr>
        <w:tc>
          <w:tcPr>
            <w:tcW w:w="2888" w:type="dxa"/>
            <w:noWrap/>
            <w:hideMark/>
          </w:tcPr>
          <w:p w14:paraId="0FCB2FE4" w14:textId="31729E38" w:rsidR="005119AE" w:rsidRPr="005119AE" w:rsidRDefault="00857E49" w:rsidP="005119AE">
            <w:r>
              <w:t>H</w:t>
            </w:r>
            <w:r w:rsidR="005119AE" w:rsidRPr="005119AE">
              <w:t>emorrhage</w:t>
            </w:r>
          </w:p>
        </w:tc>
        <w:tc>
          <w:tcPr>
            <w:tcW w:w="1299" w:type="dxa"/>
            <w:noWrap/>
            <w:hideMark/>
          </w:tcPr>
          <w:p w14:paraId="00F8FA13" w14:textId="77777777" w:rsidR="005119AE" w:rsidRPr="005119AE" w:rsidRDefault="005119AE" w:rsidP="000F7621">
            <w:pPr>
              <w:jc w:val="center"/>
            </w:pPr>
            <w:r w:rsidRPr="005119AE">
              <w:t>0</w:t>
            </w:r>
          </w:p>
        </w:tc>
        <w:tc>
          <w:tcPr>
            <w:tcW w:w="1315" w:type="dxa"/>
            <w:noWrap/>
            <w:hideMark/>
          </w:tcPr>
          <w:p w14:paraId="6A9E5FE0" w14:textId="77777777" w:rsidR="005119AE" w:rsidRPr="005119AE" w:rsidRDefault="005119AE" w:rsidP="000F7621">
            <w:pPr>
              <w:jc w:val="center"/>
            </w:pPr>
            <w:r w:rsidRPr="005119AE">
              <w:t>0</w:t>
            </w:r>
          </w:p>
        </w:tc>
        <w:tc>
          <w:tcPr>
            <w:tcW w:w="1228" w:type="dxa"/>
            <w:noWrap/>
            <w:hideMark/>
          </w:tcPr>
          <w:p w14:paraId="58D0FE53" w14:textId="77777777" w:rsidR="005119AE" w:rsidRPr="005119AE" w:rsidRDefault="005119AE" w:rsidP="000F7621">
            <w:pPr>
              <w:jc w:val="center"/>
            </w:pPr>
            <w:r w:rsidRPr="005119AE">
              <w:t>1</w:t>
            </w:r>
          </w:p>
        </w:tc>
        <w:tc>
          <w:tcPr>
            <w:tcW w:w="1315" w:type="dxa"/>
            <w:noWrap/>
            <w:hideMark/>
          </w:tcPr>
          <w:p w14:paraId="64B9954F" w14:textId="77777777" w:rsidR="005119AE" w:rsidRPr="005119AE" w:rsidRDefault="005119AE" w:rsidP="000F7621">
            <w:pPr>
              <w:jc w:val="center"/>
            </w:pPr>
            <w:r w:rsidRPr="005119AE">
              <w:t>3.4</w:t>
            </w:r>
          </w:p>
        </w:tc>
        <w:tc>
          <w:tcPr>
            <w:tcW w:w="1262" w:type="dxa"/>
            <w:noWrap/>
            <w:hideMark/>
          </w:tcPr>
          <w:p w14:paraId="3EA1EBC3" w14:textId="77777777" w:rsidR="005119AE" w:rsidRPr="005119AE" w:rsidRDefault="005119AE" w:rsidP="000F7621">
            <w:pPr>
              <w:jc w:val="center"/>
            </w:pPr>
            <w:r w:rsidRPr="005119AE">
              <w:t>1</w:t>
            </w:r>
          </w:p>
        </w:tc>
        <w:tc>
          <w:tcPr>
            <w:tcW w:w="1315" w:type="dxa"/>
            <w:noWrap/>
            <w:hideMark/>
          </w:tcPr>
          <w:p w14:paraId="64DE7F8A" w14:textId="77777777" w:rsidR="005119AE" w:rsidRPr="005119AE" w:rsidRDefault="005119AE" w:rsidP="000F7621">
            <w:pPr>
              <w:jc w:val="center"/>
            </w:pPr>
            <w:r w:rsidRPr="005119AE">
              <w:t>1.3</w:t>
            </w:r>
          </w:p>
        </w:tc>
        <w:tc>
          <w:tcPr>
            <w:tcW w:w="1299" w:type="dxa"/>
            <w:noWrap/>
            <w:hideMark/>
          </w:tcPr>
          <w:p w14:paraId="46CFB9F5" w14:textId="77777777" w:rsidR="005119AE" w:rsidRPr="005119AE" w:rsidRDefault="005119AE" w:rsidP="000F7621">
            <w:pPr>
              <w:jc w:val="center"/>
            </w:pPr>
            <w:r w:rsidRPr="005119AE">
              <w:t>0</w:t>
            </w:r>
          </w:p>
        </w:tc>
        <w:tc>
          <w:tcPr>
            <w:tcW w:w="1315" w:type="dxa"/>
            <w:noWrap/>
            <w:hideMark/>
          </w:tcPr>
          <w:p w14:paraId="2A1DCA44" w14:textId="77777777" w:rsidR="005119AE" w:rsidRPr="005119AE" w:rsidRDefault="005119AE" w:rsidP="000F7621">
            <w:pPr>
              <w:jc w:val="center"/>
            </w:pPr>
            <w:r w:rsidRPr="005119AE">
              <w:t>0</w:t>
            </w:r>
          </w:p>
        </w:tc>
        <w:tc>
          <w:tcPr>
            <w:tcW w:w="1031" w:type="dxa"/>
            <w:noWrap/>
            <w:hideMark/>
          </w:tcPr>
          <w:p w14:paraId="53E55982" w14:textId="77777777" w:rsidR="005119AE" w:rsidRPr="005119AE" w:rsidRDefault="005119AE" w:rsidP="000F7621">
            <w:pPr>
              <w:jc w:val="center"/>
            </w:pPr>
          </w:p>
        </w:tc>
      </w:tr>
      <w:tr w:rsidR="005119AE" w:rsidRPr="005119AE" w14:paraId="4BCC4E61" w14:textId="77777777" w:rsidTr="000F7621">
        <w:trPr>
          <w:trHeight w:val="345"/>
        </w:trPr>
        <w:tc>
          <w:tcPr>
            <w:tcW w:w="2888" w:type="dxa"/>
            <w:noWrap/>
            <w:hideMark/>
          </w:tcPr>
          <w:p w14:paraId="5EF154C8" w14:textId="77777777" w:rsidR="005119AE" w:rsidRPr="005119AE" w:rsidRDefault="005119AE" w:rsidP="005119AE">
            <w:r w:rsidRPr="005119AE">
              <w:t>Infection</w:t>
            </w:r>
          </w:p>
        </w:tc>
        <w:tc>
          <w:tcPr>
            <w:tcW w:w="1299" w:type="dxa"/>
            <w:noWrap/>
            <w:hideMark/>
          </w:tcPr>
          <w:p w14:paraId="6B4E5ECF" w14:textId="77777777" w:rsidR="005119AE" w:rsidRPr="005119AE" w:rsidRDefault="005119AE" w:rsidP="000F7621">
            <w:pPr>
              <w:jc w:val="center"/>
            </w:pPr>
            <w:r w:rsidRPr="005119AE">
              <w:t>1</w:t>
            </w:r>
          </w:p>
        </w:tc>
        <w:tc>
          <w:tcPr>
            <w:tcW w:w="1315" w:type="dxa"/>
            <w:noWrap/>
            <w:hideMark/>
          </w:tcPr>
          <w:p w14:paraId="38982974" w14:textId="77777777" w:rsidR="005119AE" w:rsidRPr="005119AE" w:rsidRDefault="005119AE" w:rsidP="000F7621">
            <w:pPr>
              <w:jc w:val="center"/>
            </w:pPr>
            <w:r w:rsidRPr="005119AE">
              <w:t>6.3</w:t>
            </w:r>
          </w:p>
        </w:tc>
        <w:tc>
          <w:tcPr>
            <w:tcW w:w="1228" w:type="dxa"/>
            <w:noWrap/>
            <w:hideMark/>
          </w:tcPr>
          <w:p w14:paraId="407B2387" w14:textId="77777777" w:rsidR="005119AE" w:rsidRPr="005119AE" w:rsidRDefault="005119AE" w:rsidP="000F7621">
            <w:pPr>
              <w:jc w:val="center"/>
            </w:pPr>
            <w:r w:rsidRPr="005119AE">
              <w:t>3</w:t>
            </w:r>
          </w:p>
        </w:tc>
        <w:tc>
          <w:tcPr>
            <w:tcW w:w="1315" w:type="dxa"/>
            <w:noWrap/>
            <w:hideMark/>
          </w:tcPr>
          <w:p w14:paraId="4F0ECA75" w14:textId="77777777" w:rsidR="005119AE" w:rsidRPr="005119AE" w:rsidRDefault="005119AE" w:rsidP="000F7621">
            <w:pPr>
              <w:jc w:val="center"/>
            </w:pPr>
            <w:r w:rsidRPr="005119AE">
              <w:t>10.3</w:t>
            </w:r>
          </w:p>
        </w:tc>
        <w:tc>
          <w:tcPr>
            <w:tcW w:w="1262" w:type="dxa"/>
            <w:noWrap/>
            <w:hideMark/>
          </w:tcPr>
          <w:p w14:paraId="0579D13C" w14:textId="77777777" w:rsidR="005119AE" w:rsidRPr="005119AE" w:rsidRDefault="005119AE" w:rsidP="000F7621">
            <w:pPr>
              <w:jc w:val="center"/>
            </w:pPr>
            <w:r w:rsidRPr="005119AE">
              <w:t>2</w:t>
            </w:r>
          </w:p>
        </w:tc>
        <w:tc>
          <w:tcPr>
            <w:tcW w:w="1315" w:type="dxa"/>
            <w:noWrap/>
            <w:hideMark/>
          </w:tcPr>
          <w:p w14:paraId="2D5C9F66" w14:textId="77777777" w:rsidR="005119AE" w:rsidRPr="005119AE" w:rsidRDefault="005119AE" w:rsidP="000F7621">
            <w:pPr>
              <w:jc w:val="center"/>
            </w:pPr>
            <w:r w:rsidRPr="005119AE">
              <w:t>2.5</w:t>
            </w:r>
          </w:p>
        </w:tc>
        <w:tc>
          <w:tcPr>
            <w:tcW w:w="1299" w:type="dxa"/>
            <w:noWrap/>
            <w:hideMark/>
          </w:tcPr>
          <w:p w14:paraId="555BD329" w14:textId="77777777" w:rsidR="005119AE" w:rsidRPr="005119AE" w:rsidRDefault="005119AE" w:rsidP="000F7621">
            <w:pPr>
              <w:jc w:val="center"/>
            </w:pPr>
            <w:r w:rsidRPr="005119AE">
              <w:t>2</w:t>
            </w:r>
          </w:p>
        </w:tc>
        <w:tc>
          <w:tcPr>
            <w:tcW w:w="1315" w:type="dxa"/>
            <w:noWrap/>
            <w:hideMark/>
          </w:tcPr>
          <w:p w14:paraId="3EC0B432" w14:textId="77777777" w:rsidR="005119AE" w:rsidRPr="005119AE" w:rsidRDefault="005119AE" w:rsidP="000F7621">
            <w:pPr>
              <w:jc w:val="center"/>
            </w:pPr>
            <w:r w:rsidRPr="005119AE">
              <w:t>8.3</w:t>
            </w:r>
          </w:p>
        </w:tc>
        <w:tc>
          <w:tcPr>
            <w:tcW w:w="1031" w:type="dxa"/>
            <w:noWrap/>
            <w:hideMark/>
          </w:tcPr>
          <w:p w14:paraId="01CDB603" w14:textId="77777777" w:rsidR="005119AE" w:rsidRPr="005119AE" w:rsidRDefault="005119AE" w:rsidP="000F7621">
            <w:pPr>
              <w:jc w:val="center"/>
            </w:pPr>
          </w:p>
        </w:tc>
      </w:tr>
      <w:tr w:rsidR="005119AE" w:rsidRPr="005119AE" w14:paraId="69F4E79E" w14:textId="77777777" w:rsidTr="000F7621">
        <w:trPr>
          <w:trHeight w:val="345"/>
        </w:trPr>
        <w:tc>
          <w:tcPr>
            <w:tcW w:w="2888" w:type="dxa"/>
            <w:noWrap/>
            <w:hideMark/>
          </w:tcPr>
          <w:p w14:paraId="77E7CF68" w14:textId="536D8430" w:rsidR="005119AE" w:rsidRPr="005119AE" w:rsidRDefault="00857E49" w:rsidP="005119AE">
            <w:r>
              <w:t>O</w:t>
            </w:r>
            <w:r w:rsidR="005119AE" w:rsidRPr="005119AE">
              <w:t>rgan failure</w:t>
            </w:r>
          </w:p>
        </w:tc>
        <w:tc>
          <w:tcPr>
            <w:tcW w:w="1299" w:type="dxa"/>
            <w:noWrap/>
            <w:hideMark/>
          </w:tcPr>
          <w:p w14:paraId="130CB668" w14:textId="77777777" w:rsidR="005119AE" w:rsidRPr="005119AE" w:rsidRDefault="005119AE" w:rsidP="000F7621">
            <w:pPr>
              <w:jc w:val="center"/>
            </w:pPr>
            <w:r w:rsidRPr="005119AE">
              <w:t>0</w:t>
            </w:r>
          </w:p>
        </w:tc>
        <w:tc>
          <w:tcPr>
            <w:tcW w:w="1315" w:type="dxa"/>
            <w:noWrap/>
            <w:hideMark/>
          </w:tcPr>
          <w:p w14:paraId="69BE5D5D" w14:textId="77777777" w:rsidR="005119AE" w:rsidRPr="005119AE" w:rsidRDefault="005119AE" w:rsidP="000F7621">
            <w:pPr>
              <w:jc w:val="center"/>
            </w:pPr>
            <w:r w:rsidRPr="005119AE">
              <w:t>0</w:t>
            </w:r>
          </w:p>
        </w:tc>
        <w:tc>
          <w:tcPr>
            <w:tcW w:w="1228" w:type="dxa"/>
            <w:noWrap/>
            <w:hideMark/>
          </w:tcPr>
          <w:p w14:paraId="4710B1B8" w14:textId="77777777" w:rsidR="005119AE" w:rsidRPr="005119AE" w:rsidRDefault="005119AE" w:rsidP="000F7621">
            <w:pPr>
              <w:jc w:val="center"/>
            </w:pPr>
            <w:r w:rsidRPr="005119AE">
              <w:t>2</w:t>
            </w:r>
          </w:p>
        </w:tc>
        <w:tc>
          <w:tcPr>
            <w:tcW w:w="1315" w:type="dxa"/>
            <w:noWrap/>
            <w:hideMark/>
          </w:tcPr>
          <w:p w14:paraId="667EC020" w14:textId="77777777" w:rsidR="005119AE" w:rsidRPr="005119AE" w:rsidRDefault="005119AE" w:rsidP="000F7621">
            <w:pPr>
              <w:jc w:val="center"/>
            </w:pPr>
            <w:r w:rsidRPr="005119AE">
              <w:t>6.9</w:t>
            </w:r>
          </w:p>
        </w:tc>
        <w:tc>
          <w:tcPr>
            <w:tcW w:w="1262" w:type="dxa"/>
            <w:noWrap/>
            <w:hideMark/>
          </w:tcPr>
          <w:p w14:paraId="279D7520" w14:textId="77777777" w:rsidR="005119AE" w:rsidRPr="005119AE" w:rsidRDefault="005119AE" w:rsidP="000F7621">
            <w:pPr>
              <w:jc w:val="center"/>
            </w:pPr>
            <w:r w:rsidRPr="005119AE">
              <w:t>4</w:t>
            </w:r>
          </w:p>
        </w:tc>
        <w:tc>
          <w:tcPr>
            <w:tcW w:w="1315" w:type="dxa"/>
            <w:noWrap/>
            <w:hideMark/>
          </w:tcPr>
          <w:p w14:paraId="5EA31CDF" w14:textId="77777777" w:rsidR="005119AE" w:rsidRPr="005119AE" w:rsidRDefault="005119AE" w:rsidP="000F7621">
            <w:pPr>
              <w:jc w:val="center"/>
            </w:pPr>
            <w:r w:rsidRPr="005119AE">
              <w:t>5</w:t>
            </w:r>
          </w:p>
        </w:tc>
        <w:tc>
          <w:tcPr>
            <w:tcW w:w="1299" w:type="dxa"/>
            <w:noWrap/>
            <w:hideMark/>
          </w:tcPr>
          <w:p w14:paraId="32978575" w14:textId="77777777" w:rsidR="005119AE" w:rsidRPr="005119AE" w:rsidRDefault="005119AE" w:rsidP="000F7621">
            <w:pPr>
              <w:jc w:val="center"/>
            </w:pPr>
            <w:r w:rsidRPr="005119AE">
              <w:t>0</w:t>
            </w:r>
          </w:p>
        </w:tc>
        <w:tc>
          <w:tcPr>
            <w:tcW w:w="1315" w:type="dxa"/>
            <w:noWrap/>
            <w:hideMark/>
          </w:tcPr>
          <w:p w14:paraId="79E7A94D" w14:textId="77777777" w:rsidR="005119AE" w:rsidRPr="005119AE" w:rsidRDefault="005119AE" w:rsidP="000F7621">
            <w:pPr>
              <w:jc w:val="center"/>
            </w:pPr>
            <w:r w:rsidRPr="005119AE">
              <w:t>0</w:t>
            </w:r>
          </w:p>
        </w:tc>
        <w:tc>
          <w:tcPr>
            <w:tcW w:w="1031" w:type="dxa"/>
            <w:noWrap/>
            <w:hideMark/>
          </w:tcPr>
          <w:p w14:paraId="4756D9F8" w14:textId="77777777" w:rsidR="005119AE" w:rsidRPr="005119AE" w:rsidRDefault="005119AE" w:rsidP="000F7621">
            <w:pPr>
              <w:jc w:val="center"/>
            </w:pPr>
          </w:p>
        </w:tc>
      </w:tr>
      <w:tr w:rsidR="005119AE" w:rsidRPr="005119AE" w14:paraId="709A02D2" w14:textId="77777777" w:rsidTr="000F7621">
        <w:trPr>
          <w:trHeight w:val="345"/>
        </w:trPr>
        <w:tc>
          <w:tcPr>
            <w:tcW w:w="2888" w:type="dxa"/>
            <w:noWrap/>
            <w:hideMark/>
          </w:tcPr>
          <w:p w14:paraId="73668125" w14:textId="77777777" w:rsidR="005119AE" w:rsidRPr="005119AE" w:rsidRDefault="005119AE" w:rsidP="005119AE">
            <w:r w:rsidRPr="005119AE">
              <w:t>Other/Unknown</w:t>
            </w:r>
          </w:p>
        </w:tc>
        <w:tc>
          <w:tcPr>
            <w:tcW w:w="1299" w:type="dxa"/>
            <w:noWrap/>
            <w:hideMark/>
          </w:tcPr>
          <w:p w14:paraId="3E756619" w14:textId="77777777" w:rsidR="005119AE" w:rsidRPr="005119AE" w:rsidRDefault="005119AE" w:rsidP="000F7621">
            <w:pPr>
              <w:jc w:val="center"/>
            </w:pPr>
            <w:r w:rsidRPr="005119AE">
              <w:t>3</w:t>
            </w:r>
          </w:p>
        </w:tc>
        <w:tc>
          <w:tcPr>
            <w:tcW w:w="1315" w:type="dxa"/>
            <w:noWrap/>
            <w:hideMark/>
          </w:tcPr>
          <w:p w14:paraId="38DA9816" w14:textId="77777777" w:rsidR="005119AE" w:rsidRPr="005119AE" w:rsidRDefault="005119AE" w:rsidP="000F7621">
            <w:pPr>
              <w:jc w:val="center"/>
            </w:pPr>
            <w:r w:rsidRPr="005119AE">
              <w:t>18.8</w:t>
            </w:r>
          </w:p>
        </w:tc>
        <w:tc>
          <w:tcPr>
            <w:tcW w:w="1228" w:type="dxa"/>
            <w:noWrap/>
            <w:hideMark/>
          </w:tcPr>
          <w:p w14:paraId="35095704" w14:textId="77777777" w:rsidR="005119AE" w:rsidRPr="005119AE" w:rsidRDefault="005119AE" w:rsidP="000F7621">
            <w:pPr>
              <w:jc w:val="center"/>
            </w:pPr>
            <w:r w:rsidRPr="005119AE">
              <w:t>1</w:t>
            </w:r>
          </w:p>
        </w:tc>
        <w:tc>
          <w:tcPr>
            <w:tcW w:w="1315" w:type="dxa"/>
            <w:noWrap/>
            <w:hideMark/>
          </w:tcPr>
          <w:p w14:paraId="425BF1D2" w14:textId="77777777" w:rsidR="005119AE" w:rsidRPr="005119AE" w:rsidRDefault="005119AE" w:rsidP="000F7621">
            <w:pPr>
              <w:jc w:val="center"/>
            </w:pPr>
            <w:r w:rsidRPr="005119AE">
              <w:t>3.4</w:t>
            </w:r>
          </w:p>
        </w:tc>
        <w:tc>
          <w:tcPr>
            <w:tcW w:w="1262" w:type="dxa"/>
            <w:noWrap/>
            <w:hideMark/>
          </w:tcPr>
          <w:p w14:paraId="5C58D60F" w14:textId="77777777" w:rsidR="005119AE" w:rsidRPr="005119AE" w:rsidRDefault="005119AE" w:rsidP="000F7621">
            <w:pPr>
              <w:jc w:val="center"/>
            </w:pPr>
            <w:r w:rsidRPr="005119AE">
              <w:t>15</w:t>
            </w:r>
          </w:p>
        </w:tc>
        <w:tc>
          <w:tcPr>
            <w:tcW w:w="1315" w:type="dxa"/>
            <w:noWrap/>
            <w:hideMark/>
          </w:tcPr>
          <w:p w14:paraId="5718F64F" w14:textId="77777777" w:rsidR="005119AE" w:rsidRPr="005119AE" w:rsidRDefault="005119AE" w:rsidP="000F7621">
            <w:pPr>
              <w:jc w:val="center"/>
            </w:pPr>
            <w:r w:rsidRPr="005119AE">
              <w:t>18.8</w:t>
            </w:r>
          </w:p>
        </w:tc>
        <w:tc>
          <w:tcPr>
            <w:tcW w:w="1299" w:type="dxa"/>
            <w:noWrap/>
            <w:hideMark/>
          </w:tcPr>
          <w:p w14:paraId="73AE0E03" w14:textId="77777777" w:rsidR="005119AE" w:rsidRPr="005119AE" w:rsidRDefault="005119AE" w:rsidP="000F7621">
            <w:pPr>
              <w:jc w:val="center"/>
            </w:pPr>
            <w:r w:rsidRPr="005119AE">
              <w:t>2</w:t>
            </w:r>
          </w:p>
        </w:tc>
        <w:tc>
          <w:tcPr>
            <w:tcW w:w="1315" w:type="dxa"/>
            <w:noWrap/>
            <w:hideMark/>
          </w:tcPr>
          <w:p w14:paraId="775C76B5" w14:textId="77777777" w:rsidR="005119AE" w:rsidRPr="005119AE" w:rsidRDefault="005119AE" w:rsidP="000F7621">
            <w:pPr>
              <w:jc w:val="center"/>
            </w:pPr>
            <w:r w:rsidRPr="005119AE">
              <w:t>8.3</w:t>
            </w:r>
          </w:p>
        </w:tc>
        <w:tc>
          <w:tcPr>
            <w:tcW w:w="1031" w:type="dxa"/>
            <w:noWrap/>
            <w:hideMark/>
          </w:tcPr>
          <w:p w14:paraId="3142F411" w14:textId="77777777" w:rsidR="005119AE" w:rsidRPr="005119AE" w:rsidRDefault="005119AE" w:rsidP="000F7621">
            <w:pPr>
              <w:jc w:val="center"/>
            </w:pPr>
          </w:p>
        </w:tc>
      </w:tr>
      <w:tr w:rsidR="005119AE" w:rsidRPr="005119AE" w14:paraId="1DE65AC9" w14:textId="77777777" w:rsidTr="000F7621">
        <w:trPr>
          <w:trHeight w:val="345"/>
        </w:trPr>
        <w:tc>
          <w:tcPr>
            <w:tcW w:w="2888" w:type="dxa"/>
            <w:noWrap/>
            <w:hideMark/>
          </w:tcPr>
          <w:p w14:paraId="5F6B198A" w14:textId="77777777" w:rsidR="005119AE" w:rsidRPr="005119AE" w:rsidRDefault="005119AE" w:rsidP="005119AE">
            <w:r w:rsidRPr="005119AE">
              <w:t>Progressive disease/ relapse</w:t>
            </w:r>
          </w:p>
        </w:tc>
        <w:tc>
          <w:tcPr>
            <w:tcW w:w="1299" w:type="dxa"/>
            <w:noWrap/>
            <w:hideMark/>
          </w:tcPr>
          <w:p w14:paraId="2ABFA8AA" w14:textId="77777777" w:rsidR="005119AE" w:rsidRPr="005119AE" w:rsidRDefault="005119AE" w:rsidP="000F7621">
            <w:pPr>
              <w:jc w:val="center"/>
            </w:pPr>
            <w:r w:rsidRPr="005119AE">
              <w:t>11</w:t>
            </w:r>
          </w:p>
        </w:tc>
        <w:tc>
          <w:tcPr>
            <w:tcW w:w="1315" w:type="dxa"/>
            <w:noWrap/>
            <w:hideMark/>
          </w:tcPr>
          <w:p w14:paraId="15B639F5" w14:textId="77777777" w:rsidR="005119AE" w:rsidRPr="005119AE" w:rsidRDefault="005119AE" w:rsidP="000F7621">
            <w:pPr>
              <w:jc w:val="center"/>
            </w:pPr>
            <w:r w:rsidRPr="005119AE">
              <w:t>68.8</w:t>
            </w:r>
          </w:p>
        </w:tc>
        <w:tc>
          <w:tcPr>
            <w:tcW w:w="1228" w:type="dxa"/>
            <w:noWrap/>
            <w:hideMark/>
          </w:tcPr>
          <w:p w14:paraId="0ADA2853" w14:textId="77777777" w:rsidR="005119AE" w:rsidRPr="005119AE" w:rsidRDefault="005119AE" w:rsidP="000F7621">
            <w:pPr>
              <w:jc w:val="center"/>
            </w:pPr>
            <w:r w:rsidRPr="005119AE">
              <w:t>16</w:t>
            </w:r>
          </w:p>
        </w:tc>
        <w:tc>
          <w:tcPr>
            <w:tcW w:w="1315" w:type="dxa"/>
            <w:noWrap/>
            <w:hideMark/>
          </w:tcPr>
          <w:p w14:paraId="6E49B418" w14:textId="77777777" w:rsidR="005119AE" w:rsidRPr="005119AE" w:rsidRDefault="005119AE" w:rsidP="000F7621">
            <w:pPr>
              <w:jc w:val="center"/>
            </w:pPr>
            <w:r w:rsidRPr="005119AE">
              <w:t>55.2</w:t>
            </w:r>
          </w:p>
        </w:tc>
        <w:tc>
          <w:tcPr>
            <w:tcW w:w="1262" w:type="dxa"/>
            <w:noWrap/>
            <w:hideMark/>
          </w:tcPr>
          <w:p w14:paraId="1C8EE28C" w14:textId="77777777" w:rsidR="005119AE" w:rsidRPr="005119AE" w:rsidRDefault="005119AE" w:rsidP="000F7621">
            <w:pPr>
              <w:jc w:val="center"/>
            </w:pPr>
            <w:r w:rsidRPr="005119AE">
              <w:t>43</w:t>
            </w:r>
          </w:p>
        </w:tc>
        <w:tc>
          <w:tcPr>
            <w:tcW w:w="1315" w:type="dxa"/>
            <w:noWrap/>
            <w:hideMark/>
          </w:tcPr>
          <w:p w14:paraId="3095E901" w14:textId="77777777" w:rsidR="005119AE" w:rsidRPr="005119AE" w:rsidRDefault="005119AE" w:rsidP="000F7621">
            <w:pPr>
              <w:jc w:val="center"/>
            </w:pPr>
            <w:r w:rsidRPr="005119AE">
              <w:t>53.8</w:t>
            </w:r>
          </w:p>
        </w:tc>
        <w:tc>
          <w:tcPr>
            <w:tcW w:w="1299" w:type="dxa"/>
            <w:noWrap/>
            <w:hideMark/>
          </w:tcPr>
          <w:p w14:paraId="0218A488" w14:textId="77777777" w:rsidR="005119AE" w:rsidRPr="005119AE" w:rsidRDefault="005119AE" w:rsidP="000F7621">
            <w:pPr>
              <w:jc w:val="center"/>
            </w:pPr>
            <w:r w:rsidRPr="005119AE">
              <w:t>13</w:t>
            </w:r>
          </w:p>
        </w:tc>
        <w:tc>
          <w:tcPr>
            <w:tcW w:w="1315" w:type="dxa"/>
            <w:noWrap/>
            <w:hideMark/>
          </w:tcPr>
          <w:p w14:paraId="066CAEBB" w14:textId="77777777" w:rsidR="005119AE" w:rsidRPr="005119AE" w:rsidRDefault="005119AE" w:rsidP="000F7621">
            <w:pPr>
              <w:jc w:val="center"/>
            </w:pPr>
            <w:r w:rsidRPr="005119AE">
              <w:t>54.2</w:t>
            </w:r>
          </w:p>
        </w:tc>
        <w:tc>
          <w:tcPr>
            <w:tcW w:w="1031" w:type="dxa"/>
            <w:noWrap/>
            <w:hideMark/>
          </w:tcPr>
          <w:p w14:paraId="1277EDB1" w14:textId="77777777" w:rsidR="005119AE" w:rsidRPr="005119AE" w:rsidRDefault="005119AE" w:rsidP="000F7621">
            <w:pPr>
              <w:jc w:val="center"/>
            </w:pPr>
          </w:p>
        </w:tc>
      </w:tr>
      <w:tr w:rsidR="005119AE" w:rsidRPr="005119AE" w14:paraId="2010224F" w14:textId="77777777" w:rsidTr="000F7621">
        <w:trPr>
          <w:trHeight w:val="345"/>
        </w:trPr>
        <w:tc>
          <w:tcPr>
            <w:tcW w:w="2888" w:type="dxa"/>
            <w:noWrap/>
            <w:hideMark/>
          </w:tcPr>
          <w:p w14:paraId="2935A427" w14:textId="0D0EAB35" w:rsidR="005119AE" w:rsidRPr="005119AE" w:rsidRDefault="00857E49" w:rsidP="005119AE">
            <w:r>
              <w:t>T</w:t>
            </w:r>
            <w:r w:rsidR="005119AE" w:rsidRPr="005119AE">
              <w:t>ransplant-related mortality</w:t>
            </w:r>
            <w:r w:rsidRPr="000F7621">
              <w:rPr>
                <w:rFonts w:cstheme="minorHAnsi"/>
                <w:vertAlign w:val="superscript"/>
              </w:rPr>
              <w:t>β</w:t>
            </w:r>
          </w:p>
        </w:tc>
        <w:tc>
          <w:tcPr>
            <w:tcW w:w="1299" w:type="dxa"/>
            <w:noWrap/>
            <w:hideMark/>
          </w:tcPr>
          <w:p w14:paraId="09E7472C" w14:textId="77777777" w:rsidR="005119AE" w:rsidRPr="005119AE" w:rsidRDefault="005119AE" w:rsidP="000F7621">
            <w:pPr>
              <w:jc w:val="center"/>
            </w:pPr>
            <w:r w:rsidRPr="005119AE">
              <w:t>0</w:t>
            </w:r>
          </w:p>
        </w:tc>
        <w:tc>
          <w:tcPr>
            <w:tcW w:w="1315" w:type="dxa"/>
            <w:noWrap/>
            <w:hideMark/>
          </w:tcPr>
          <w:p w14:paraId="08A21A66" w14:textId="77777777" w:rsidR="005119AE" w:rsidRPr="005119AE" w:rsidRDefault="005119AE" w:rsidP="000F7621">
            <w:pPr>
              <w:jc w:val="center"/>
            </w:pPr>
            <w:r w:rsidRPr="005119AE">
              <w:t>0</w:t>
            </w:r>
          </w:p>
        </w:tc>
        <w:tc>
          <w:tcPr>
            <w:tcW w:w="1228" w:type="dxa"/>
            <w:noWrap/>
            <w:hideMark/>
          </w:tcPr>
          <w:p w14:paraId="4DDB67C0" w14:textId="77777777" w:rsidR="005119AE" w:rsidRPr="005119AE" w:rsidRDefault="005119AE" w:rsidP="000F7621">
            <w:pPr>
              <w:jc w:val="center"/>
            </w:pPr>
            <w:r w:rsidRPr="005119AE">
              <w:t>0</w:t>
            </w:r>
          </w:p>
        </w:tc>
        <w:tc>
          <w:tcPr>
            <w:tcW w:w="1315" w:type="dxa"/>
            <w:noWrap/>
            <w:hideMark/>
          </w:tcPr>
          <w:p w14:paraId="752804C7" w14:textId="77777777" w:rsidR="005119AE" w:rsidRPr="005119AE" w:rsidRDefault="005119AE" w:rsidP="000F7621">
            <w:pPr>
              <w:jc w:val="center"/>
            </w:pPr>
            <w:r w:rsidRPr="005119AE">
              <w:t>0</w:t>
            </w:r>
          </w:p>
        </w:tc>
        <w:tc>
          <w:tcPr>
            <w:tcW w:w="1262" w:type="dxa"/>
            <w:noWrap/>
            <w:hideMark/>
          </w:tcPr>
          <w:p w14:paraId="1B4C4E84" w14:textId="77777777" w:rsidR="005119AE" w:rsidRPr="005119AE" w:rsidRDefault="005119AE" w:rsidP="000F7621">
            <w:pPr>
              <w:jc w:val="center"/>
            </w:pPr>
            <w:r w:rsidRPr="005119AE">
              <w:t>1</w:t>
            </w:r>
          </w:p>
        </w:tc>
        <w:tc>
          <w:tcPr>
            <w:tcW w:w="1315" w:type="dxa"/>
            <w:noWrap/>
            <w:hideMark/>
          </w:tcPr>
          <w:p w14:paraId="596CDA1F" w14:textId="77777777" w:rsidR="005119AE" w:rsidRPr="005119AE" w:rsidRDefault="005119AE" w:rsidP="000F7621">
            <w:pPr>
              <w:jc w:val="center"/>
            </w:pPr>
            <w:r w:rsidRPr="005119AE">
              <w:t>1.3</w:t>
            </w:r>
          </w:p>
        </w:tc>
        <w:tc>
          <w:tcPr>
            <w:tcW w:w="1299" w:type="dxa"/>
            <w:noWrap/>
            <w:hideMark/>
          </w:tcPr>
          <w:p w14:paraId="3FF8ABA2" w14:textId="77777777" w:rsidR="005119AE" w:rsidRPr="005119AE" w:rsidRDefault="005119AE" w:rsidP="000F7621">
            <w:pPr>
              <w:jc w:val="center"/>
            </w:pPr>
            <w:r w:rsidRPr="005119AE">
              <w:t>0</w:t>
            </w:r>
          </w:p>
        </w:tc>
        <w:tc>
          <w:tcPr>
            <w:tcW w:w="1315" w:type="dxa"/>
            <w:noWrap/>
            <w:hideMark/>
          </w:tcPr>
          <w:p w14:paraId="41DD2D8F" w14:textId="77777777" w:rsidR="005119AE" w:rsidRPr="005119AE" w:rsidRDefault="005119AE" w:rsidP="000F7621">
            <w:pPr>
              <w:jc w:val="center"/>
            </w:pPr>
            <w:r w:rsidRPr="005119AE">
              <w:t>0</w:t>
            </w:r>
          </w:p>
        </w:tc>
        <w:tc>
          <w:tcPr>
            <w:tcW w:w="1031" w:type="dxa"/>
            <w:noWrap/>
            <w:hideMark/>
          </w:tcPr>
          <w:p w14:paraId="5D299A45" w14:textId="77777777" w:rsidR="005119AE" w:rsidRPr="005119AE" w:rsidRDefault="005119AE" w:rsidP="000F7621">
            <w:pPr>
              <w:jc w:val="center"/>
            </w:pPr>
          </w:p>
        </w:tc>
      </w:tr>
    </w:tbl>
    <w:p w14:paraId="488AC153" w14:textId="2EEAB32A" w:rsidR="005119AE" w:rsidRPr="00D657DC" w:rsidRDefault="00857E49" w:rsidP="005F29DF">
      <w:r w:rsidRPr="00646C2B">
        <w:rPr>
          <w:rFonts w:cstheme="minorHAnsi"/>
          <w:vertAlign w:val="superscript"/>
        </w:rPr>
        <w:t>α</w:t>
      </w:r>
      <w:r>
        <w:rPr>
          <w:rFonts w:cstheme="minorHAnsi"/>
          <w:vertAlign w:val="superscript"/>
        </w:rPr>
        <w:t xml:space="preserve"> </w:t>
      </w:r>
      <w:r w:rsidR="00D657DC">
        <w:rPr>
          <w:rFonts w:cstheme="minorHAnsi"/>
        </w:rPr>
        <w:t>Early death defined as death within first 28 days</w:t>
      </w:r>
      <w:r>
        <w:rPr>
          <w:rFonts w:cstheme="minorHAnsi"/>
          <w:vertAlign w:val="superscript"/>
        </w:rPr>
        <w:t xml:space="preserve">     β</w:t>
      </w:r>
      <w:r w:rsidR="00D657DC">
        <w:rPr>
          <w:rFonts w:cstheme="minorHAnsi"/>
          <w:vertAlign w:val="superscript"/>
        </w:rPr>
        <w:t xml:space="preserve"> </w:t>
      </w:r>
      <w:r w:rsidR="00D657DC">
        <w:rPr>
          <w:rFonts w:cstheme="minorHAnsi"/>
        </w:rPr>
        <w:t xml:space="preserve">Transplant-related mortality defined as an death occuring after receiving allogeneic transplant. Definitions of </w:t>
      </w:r>
      <w:r w:rsidR="002D2D6E">
        <w:rPr>
          <w:rFonts w:cstheme="minorHAnsi"/>
        </w:rPr>
        <w:t xml:space="preserve">causes of </w:t>
      </w:r>
      <w:r w:rsidR="00D657DC">
        <w:rPr>
          <w:rFonts w:cstheme="minorHAnsi"/>
        </w:rPr>
        <w:t xml:space="preserve">death were adapted from </w:t>
      </w:r>
      <w:r w:rsidR="002D2D6E">
        <w:rPr>
          <w:rFonts w:cstheme="minorHAnsi"/>
        </w:rPr>
        <w:t>Slats et al.'s study (1)</w:t>
      </w:r>
      <w:r w:rsidR="00920AC3">
        <w:rPr>
          <w:rFonts w:cstheme="minorHAnsi"/>
        </w:rPr>
        <w:t xml:space="preserve">. </w:t>
      </w:r>
    </w:p>
    <w:p w14:paraId="21D8C45F" w14:textId="13F23E84" w:rsidR="001667F9" w:rsidRDefault="001667F9" w:rsidP="005F29DF"/>
    <w:p w14:paraId="4F5504CD" w14:textId="6B2AFDF7" w:rsidR="001667F9" w:rsidRDefault="001667F9" w:rsidP="005F29DF"/>
    <w:p w14:paraId="6B5DE882" w14:textId="6F5C6359" w:rsidR="001667F9" w:rsidRDefault="001667F9" w:rsidP="005F29DF"/>
    <w:p w14:paraId="465C2FDD" w14:textId="1EE79D76" w:rsidR="001667F9" w:rsidRDefault="001667F9" w:rsidP="005F29DF"/>
    <w:p w14:paraId="168A8843" w14:textId="77777777" w:rsidR="005119AE" w:rsidRDefault="005119AE" w:rsidP="005F29DF"/>
    <w:p w14:paraId="4147FA7B" w14:textId="77777777" w:rsidR="009840D9" w:rsidRDefault="009840D9" w:rsidP="000F7621">
      <w:pPr>
        <w:pStyle w:val="Heading1"/>
      </w:pPr>
      <w:bookmarkStart w:id="2" w:name="_Toc96864832"/>
      <w:r>
        <w:t>Treatment-related mortality predictors</w:t>
      </w:r>
      <w:bookmarkEnd w:id="2"/>
    </w:p>
    <w:p w14:paraId="01611E6C" w14:textId="77777777" w:rsidR="009840D9" w:rsidRDefault="009840D9" w:rsidP="009840D9">
      <w:r>
        <w:t>To assess predictors of treatment-related mortality, we used 60-day mortality as a surrogate. Logistic regression was used to model predictors:</w:t>
      </w:r>
    </w:p>
    <w:p w14:paraId="3E8D139A" w14:textId="744D2E31" w:rsidR="009840D9" w:rsidRDefault="009840D9" w:rsidP="005F29DF"/>
    <w:p w14:paraId="4FF21306" w14:textId="6A3C4A7F" w:rsidR="009840D9" w:rsidRDefault="009840D9" w:rsidP="005F29DF"/>
    <w:p w14:paraId="73B1DF3A" w14:textId="4F6EC4C0" w:rsidR="009840D9" w:rsidRPr="009E1016" w:rsidRDefault="009840D9" w:rsidP="000F7621">
      <w:pPr>
        <w:pStyle w:val="Caption"/>
        <w:keepNext/>
      </w:pPr>
      <w:r w:rsidRPr="009840D9">
        <w:rPr>
          <w:color w:val="auto"/>
          <w:sz w:val="22"/>
          <w:szCs w:val="22"/>
        </w:rPr>
        <w:t xml:space="preserve">eTable </w:t>
      </w:r>
      <w:r w:rsidRPr="000F7621">
        <w:rPr>
          <w:color w:val="auto"/>
          <w:sz w:val="22"/>
          <w:szCs w:val="22"/>
        </w:rPr>
        <w:fldChar w:fldCharType="begin"/>
      </w:r>
      <w:r w:rsidRPr="009840D9">
        <w:rPr>
          <w:color w:val="auto"/>
          <w:sz w:val="22"/>
          <w:szCs w:val="22"/>
        </w:rPr>
        <w:instrText xml:space="preserve"> SEQ Table \* ARABIC </w:instrText>
      </w:r>
      <w:r w:rsidRPr="000F7621">
        <w:rPr>
          <w:color w:val="auto"/>
          <w:sz w:val="22"/>
          <w:szCs w:val="22"/>
        </w:rPr>
        <w:fldChar w:fldCharType="separate"/>
      </w:r>
      <w:r w:rsidR="00556214">
        <w:rPr>
          <w:noProof/>
          <w:color w:val="auto"/>
          <w:sz w:val="22"/>
          <w:szCs w:val="22"/>
        </w:rPr>
        <w:t>2</w:t>
      </w:r>
      <w:r w:rsidRPr="000F7621">
        <w:rPr>
          <w:color w:val="auto"/>
          <w:sz w:val="22"/>
          <w:szCs w:val="22"/>
        </w:rPr>
        <w:fldChar w:fldCharType="end"/>
      </w:r>
      <w:r w:rsidRPr="009840D9">
        <w:rPr>
          <w:color w:val="auto"/>
          <w:sz w:val="22"/>
          <w:szCs w:val="22"/>
        </w:rPr>
        <w:t xml:space="preserve"> Multivariable logistic regression for 60-day mortality for AML patients treated with HMA </w:t>
      </w:r>
      <w:r>
        <w:rPr>
          <w:color w:val="auto"/>
          <w:sz w:val="22"/>
          <w:szCs w:val="22"/>
        </w:rPr>
        <w:t>with or without</w:t>
      </w:r>
      <w:r w:rsidRPr="009840D9">
        <w:rPr>
          <w:color w:val="auto"/>
          <w:sz w:val="22"/>
          <w:szCs w:val="22"/>
        </w:rPr>
        <w:t xml:space="preserve"> Venetoclax</w:t>
      </w:r>
      <w:r>
        <w:rPr>
          <w:color w:val="auto"/>
          <w:sz w:val="22"/>
          <w:szCs w:val="22"/>
        </w:rPr>
        <w:t xml:space="preserve">. </w:t>
      </w:r>
    </w:p>
    <w:tbl>
      <w:tblPr>
        <w:tblStyle w:val="TableGrid"/>
        <w:tblW w:w="13596" w:type="dxa"/>
        <w:tblLook w:val="04A0" w:firstRow="1" w:lastRow="0" w:firstColumn="1" w:lastColumn="0" w:noHBand="0" w:noVBand="1"/>
      </w:tblPr>
      <w:tblGrid>
        <w:gridCol w:w="8764"/>
        <w:gridCol w:w="1208"/>
        <w:gridCol w:w="1208"/>
        <w:gridCol w:w="1208"/>
        <w:gridCol w:w="1208"/>
      </w:tblGrid>
      <w:tr w:rsidR="009840D9" w:rsidRPr="009840D9" w14:paraId="249B6007" w14:textId="77777777" w:rsidTr="000F7621">
        <w:trPr>
          <w:trHeight w:val="353"/>
        </w:trPr>
        <w:tc>
          <w:tcPr>
            <w:tcW w:w="8764" w:type="dxa"/>
            <w:noWrap/>
            <w:hideMark/>
          </w:tcPr>
          <w:p w14:paraId="37177B34" w14:textId="77777777" w:rsidR="009840D9" w:rsidRPr="009840D9" w:rsidRDefault="009840D9" w:rsidP="009840D9"/>
        </w:tc>
        <w:tc>
          <w:tcPr>
            <w:tcW w:w="1208" w:type="dxa"/>
            <w:noWrap/>
            <w:hideMark/>
          </w:tcPr>
          <w:p w14:paraId="1ADE3BE8" w14:textId="7433FDFE" w:rsidR="009840D9" w:rsidRPr="009840D9" w:rsidRDefault="009840D9" w:rsidP="009840D9">
            <w:pPr>
              <w:jc w:val="center"/>
            </w:pPr>
            <w:r w:rsidRPr="00DC613E">
              <w:t>O</w:t>
            </w:r>
            <w:r>
              <w:t>dds ratio</w:t>
            </w:r>
          </w:p>
        </w:tc>
        <w:tc>
          <w:tcPr>
            <w:tcW w:w="1208" w:type="dxa"/>
            <w:noWrap/>
            <w:hideMark/>
          </w:tcPr>
          <w:p w14:paraId="5AACE7BB" w14:textId="41B649DC" w:rsidR="009840D9" w:rsidRPr="009840D9" w:rsidRDefault="009840D9" w:rsidP="009840D9">
            <w:pPr>
              <w:jc w:val="center"/>
            </w:pPr>
            <w:r w:rsidRPr="00CC7DDF">
              <w:t>Lower CI</w:t>
            </w:r>
          </w:p>
        </w:tc>
        <w:tc>
          <w:tcPr>
            <w:tcW w:w="1208" w:type="dxa"/>
            <w:noWrap/>
            <w:hideMark/>
          </w:tcPr>
          <w:p w14:paraId="3642D078" w14:textId="699A36DD" w:rsidR="009840D9" w:rsidRPr="009840D9" w:rsidRDefault="009840D9" w:rsidP="009840D9">
            <w:pPr>
              <w:jc w:val="center"/>
            </w:pPr>
            <w:r w:rsidRPr="00CC7DDF">
              <w:t>Upper CI</w:t>
            </w:r>
          </w:p>
        </w:tc>
        <w:tc>
          <w:tcPr>
            <w:tcW w:w="1208" w:type="dxa"/>
            <w:noWrap/>
            <w:hideMark/>
          </w:tcPr>
          <w:p w14:paraId="3C4455C6" w14:textId="7F43F7EB" w:rsidR="009840D9" w:rsidRPr="009840D9" w:rsidRDefault="009840D9" w:rsidP="009840D9">
            <w:pPr>
              <w:jc w:val="center"/>
            </w:pPr>
            <w:r w:rsidRPr="00DC613E">
              <w:t>P-value</w:t>
            </w:r>
          </w:p>
        </w:tc>
      </w:tr>
      <w:tr w:rsidR="009840D9" w:rsidRPr="009840D9" w14:paraId="20D9E3CA" w14:textId="77777777" w:rsidTr="000F7621">
        <w:trPr>
          <w:trHeight w:val="353"/>
        </w:trPr>
        <w:tc>
          <w:tcPr>
            <w:tcW w:w="8764" w:type="dxa"/>
            <w:noWrap/>
            <w:hideMark/>
          </w:tcPr>
          <w:p w14:paraId="77BFB0E0" w14:textId="77777777" w:rsidR="009840D9" w:rsidRPr="009840D9" w:rsidRDefault="009840D9" w:rsidP="009840D9">
            <w:r w:rsidRPr="009840D9">
              <w:t>(Intercept)</w:t>
            </w:r>
          </w:p>
        </w:tc>
        <w:tc>
          <w:tcPr>
            <w:tcW w:w="1208" w:type="dxa"/>
            <w:noWrap/>
            <w:hideMark/>
          </w:tcPr>
          <w:p w14:paraId="0FF17465" w14:textId="0646A60D" w:rsidR="009840D9" w:rsidRPr="009840D9" w:rsidRDefault="009840D9" w:rsidP="009840D9">
            <w:pPr>
              <w:jc w:val="center"/>
            </w:pPr>
            <w:r w:rsidRPr="00DC613E">
              <w:t>0.045</w:t>
            </w:r>
          </w:p>
        </w:tc>
        <w:tc>
          <w:tcPr>
            <w:tcW w:w="1208" w:type="dxa"/>
            <w:noWrap/>
            <w:hideMark/>
          </w:tcPr>
          <w:p w14:paraId="3D0AF346" w14:textId="0EB77BAE" w:rsidR="009840D9" w:rsidRPr="009840D9" w:rsidRDefault="009840D9" w:rsidP="009840D9">
            <w:pPr>
              <w:jc w:val="center"/>
            </w:pPr>
            <w:r w:rsidRPr="00DC613E">
              <w:t>0.001</w:t>
            </w:r>
          </w:p>
        </w:tc>
        <w:tc>
          <w:tcPr>
            <w:tcW w:w="1208" w:type="dxa"/>
            <w:noWrap/>
            <w:hideMark/>
          </w:tcPr>
          <w:p w14:paraId="6823A130" w14:textId="0628C874" w:rsidR="009840D9" w:rsidRPr="009840D9" w:rsidRDefault="009840D9" w:rsidP="009840D9">
            <w:pPr>
              <w:jc w:val="center"/>
            </w:pPr>
            <w:r w:rsidRPr="00DC613E">
              <w:t>2.017</w:t>
            </w:r>
          </w:p>
        </w:tc>
        <w:tc>
          <w:tcPr>
            <w:tcW w:w="1208" w:type="dxa"/>
            <w:noWrap/>
            <w:hideMark/>
          </w:tcPr>
          <w:p w14:paraId="39EBA9B2" w14:textId="15AF2A24" w:rsidR="009840D9" w:rsidRPr="009840D9" w:rsidRDefault="009840D9" w:rsidP="009840D9">
            <w:pPr>
              <w:jc w:val="center"/>
            </w:pPr>
            <w:r w:rsidRPr="00DC613E">
              <w:t>0.110</w:t>
            </w:r>
          </w:p>
        </w:tc>
      </w:tr>
      <w:tr w:rsidR="009840D9" w:rsidRPr="009840D9" w14:paraId="111F87F0" w14:textId="77777777" w:rsidTr="000F7621">
        <w:trPr>
          <w:trHeight w:val="353"/>
        </w:trPr>
        <w:tc>
          <w:tcPr>
            <w:tcW w:w="8764" w:type="dxa"/>
            <w:noWrap/>
            <w:hideMark/>
          </w:tcPr>
          <w:p w14:paraId="620472DB" w14:textId="44A539C8" w:rsidR="009840D9" w:rsidRPr="009840D9" w:rsidRDefault="009840D9" w:rsidP="009840D9">
            <w:r w:rsidRPr="009840D9">
              <w:t>Azacitdine plus Venetolcax</w:t>
            </w:r>
            <w:r w:rsidRPr="000F7621">
              <w:rPr>
                <w:rFonts w:cstheme="minorHAnsi"/>
                <w:vertAlign w:val="superscript"/>
              </w:rPr>
              <w:t>α</w:t>
            </w:r>
          </w:p>
        </w:tc>
        <w:tc>
          <w:tcPr>
            <w:tcW w:w="1208" w:type="dxa"/>
            <w:noWrap/>
            <w:hideMark/>
          </w:tcPr>
          <w:p w14:paraId="5FB7176B" w14:textId="52DF5C71" w:rsidR="009840D9" w:rsidRPr="009840D9" w:rsidRDefault="009840D9" w:rsidP="009840D9">
            <w:pPr>
              <w:jc w:val="center"/>
            </w:pPr>
            <w:r w:rsidRPr="00DC613E">
              <w:t>0.362</w:t>
            </w:r>
          </w:p>
        </w:tc>
        <w:tc>
          <w:tcPr>
            <w:tcW w:w="1208" w:type="dxa"/>
            <w:noWrap/>
            <w:hideMark/>
          </w:tcPr>
          <w:p w14:paraId="0E0A583D" w14:textId="7D9159C6" w:rsidR="009840D9" w:rsidRPr="009840D9" w:rsidRDefault="009840D9" w:rsidP="009840D9">
            <w:pPr>
              <w:jc w:val="center"/>
            </w:pPr>
            <w:r w:rsidRPr="00DC613E">
              <w:t>0.076</w:t>
            </w:r>
          </w:p>
        </w:tc>
        <w:tc>
          <w:tcPr>
            <w:tcW w:w="1208" w:type="dxa"/>
            <w:noWrap/>
            <w:hideMark/>
          </w:tcPr>
          <w:p w14:paraId="3DE7D302" w14:textId="187EAEAD" w:rsidR="009840D9" w:rsidRPr="009840D9" w:rsidRDefault="009840D9" w:rsidP="009840D9">
            <w:pPr>
              <w:jc w:val="center"/>
            </w:pPr>
            <w:r w:rsidRPr="00DC613E">
              <w:t>1.731</w:t>
            </w:r>
          </w:p>
        </w:tc>
        <w:tc>
          <w:tcPr>
            <w:tcW w:w="1208" w:type="dxa"/>
            <w:noWrap/>
            <w:hideMark/>
          </w:tcPr>
          <w:p w14:paraId="0196CC12" w14:textId="480A5D1C" w:rsidR="009840D9" w:rsidRPr="009840D9" w:rsidRDefault="009840D9" w:rsidP="009840D9">
            <w:pPr>
              <w:jc w:val="center"/>
            </w:pPr>
            <w:r w:rsidRPr="00DC613E">
              <w:t>0.203</w:t>
            </w:r>
          </w:p>
        </w:tc>
      </w:tr>
      <w:tr w:rsidR="009840D9" w:rsidRPr="009840D9" w14:paraId="60E76669" w14:textId="77777777" w:rsidTr="000F7621">
        <w:trPr>
          <w:trHeight w:val="353"/>
        </w:trPr>
        <w:tc>
          <w:tcPr>
            <w:tcW w:w="8764" w:type="dxa"/>
            <w:noWrap/>
            <w:hideMark/>
          </w:tcPr>
          <w:p w14:paraId="01AEBAEA" w14:textId="431D5E1D" w:rsidR="009840D9" w:rsidRPr="009840D9" w:rsidRDefault="009840D9" w:rsidP="009840D9">
            <w:r w:rsidRPr="009840D9">
              <w:t>Decitabine</w:t>
            </w:r>
            <w:r w:rsidRPr="002461CE">
              <w:rPr>
                <w:rFonts w:cstheme="minorHAnsi"/>
                <w:vertAlign w:val="superscript"/>
              </w:rPr>
              <w:t>α</w:t>
            </w:r>
          </w:p>
        </w:tc>
        <w:tc>
          <w:tcPr>
            <w:tcW w:w="1208" w:type="dxa"/>
            <w:noWrap/>
            <w:hideMark/>
          </w:tcPr>
          <w:p w14:paraId="27454EE1" w14:textId="1048D77C" w:rsidR="009840D9" w:rsidRPr="009840D9" w:rsidRDefault="009840D9" w:rsidP="009840D9">
            <w:pPr>
              <w:jc w:val="center"/>
            </w:pPr>
            <w:r w:rsidRPr="00DC613E">
              <w:t>0.782</w:t>
            </w:r>
          </w:p>
        </w:tc>
        <w:tc>
          <w:tcPr>
            <w:tcW w:w="1208" w:type="dxa"/>
            <w:noWrap/>
            <w:hideMark/>
          </w:tcPr>
          <w:p w14:paraId="28EFE1D9" w14:textId="1167D0E2" w:rsidR="009840D9" w:rsidRPr="009840D9" w:rsidRDefault="009840D9" w:rsidP="009840D9">
            <w:pPr>
              <w:jc w:val="center"/>
            </w:pPr>
            <w:r w:rsidRPr="00DC613E">
              <w:t>0.271</w:t>
            </w:r>
          </w:p>
        </w:tc>
        <w:tc>
          <w:tcPr>
            <w:tcW w:w="1208" w:type="dxa"/>
            <w:noWrap/>
            <w:hideMark/>
          </w:tcPr>
          <w:p w14:paraId="15B81B56" w14:textId="64D98E99" w:rsidR="009840D9" w:rsidRPr="009840D9" w:rsidRDefault="009840D9" w:rsidP="009840D9">
            <w:pPr>
              <w:jc w:val="center"/>
            </w:pPr>
            <w:r w:rsidRPr="00DC613E">
              <w:t>2.262</w:t>
            </w:r>
          </w:p>
        </w:tc>
        <w:tc>
          <w:tcPr>
            <w:tcW w:w="1208" w:type="dxa"/>
            <w:noWrap/>
            <w:hideMark/>
          </w:tcPr>
          <w:p w14:paraId="52FD77BD" w14:textId="08240931" w:rsidR="009840D9" w:rsidRPr="009840D9" w:rsidRDefault="009840D9" w:rsidP="009840D9">
            <w:pPr>
              <w:jc w:val="center"/>
            </w:pPr>
            <w:r w:rsidRPr="00DC613E">
              <w:t>0.650</w:t>
            </w:r>
          </w:p>
        </w:tc>
      </w:tr>
      <w:tr w:rsidR="009840D9" w:rsidRPr="009840D9" w14:paraId="178A62F6" w14:textId="77777777" w:rsidTr="000F7621">
        <w:trPr>
          <w:trHeight w:val="353"/>
        </w:trPr>
        <w:tc>
          <w:tcPr>
            <w:tcW w:w="8764" w:type="dxa"/>
            <w:noWrap/>
            <w:hideMark/>
          </w:tcPr>
          <w:p w14:paraId="2850BD16" w14:textId="472B6FFE" w:rsidR="009840D9" w:rsidRPr="009840D9" w:rsidRDefault="009840D9" w:rsidP="009840D9">
            <w:r w:rsidRPr="009840D9">
              <w:t>Decitabine plus Venetolcax</w:t>
            </w:r>
            <w:r w:rsidRPr="002461CE">
              <w:rPr>
                <w:rFonts w:cstheme="minorHAnsi"/>
                <w:vertAlign w:val="superscript"/>
              </w:rPr>
              <w:t>α</w:t>
            </w:r>
          </w:p>
        </w:tc>
        <w:tc>
          <w:tcPr>
            <w:tcW w:w="1208" w:type="dxa"/>
            <w:noWrap/>
            <w:hideMark/>
          </w:tcPr>
          <w:p w14:paraId="3C72C0E5" w14:textId="1FDAB203" w:rsidR="009840D9" w:rsidRPr="009840D9" w:rsidRDefault="009840D9" w:rsidP="009840D9">
            <w:pPr>
              <w:jc w:val="center"/>
            </w:pPr>
            <w:r w:rsidRPr="00DC613E">
              <w:t>1.527</w:t>
            </w:r>
          </w:p>
        </w:tc>
        <w:tc>
          <w:tcPr>
            <w:tcW w:w="1208" w:type="dxa"/>
            <w:noWrap/>
            <w:hideMark/>
          </w:tcPr>
          <w:p w14:paraId="195EEB1C" w14:textId="2B05E152" w:rsidR="009840D9" w:rsidRPr="009840D9" w:rsidRDefault="009840D9" w:rsidP="009840D9">
            <w:pPr>
              <w:jc w:val="center"/>
            </w:pPr>
            <w:r w:rsidRPr="00DC613E">
              <w:t>0.446</w:t>
            </w:r>
          </w:p>
        </w:tc>
        <w:tc>
          <w:tcPr>
            <w:tcW w:w="1208" w:type="dxa"/>
            <w:noWrap/>
            <w:hideMark/>
          </w:tcPr>
          <w:p w14:paraId="696E4372" w14:textId="298A10D0" w:rsidR="009840D9" w:rsidRPr="009840D9" w:rsidRDefault="009840D9" w:rsidP="009840D9">
            <w:pPr>
              <w:jc w:val="center"/>
            </w:pPr>
            <w:r w:rsidRPr="00DC613E">
              <w:t>5.231</w:t>
            </w:r>
          </w:p>
        </w:tc>
        <w:tc>
          <w:tcPr>
            <w:tcW w:w="1208" w:type="dxa"/>
            <w:noWrap/>
            <w:hideMark/>
          </w:tcPr>
          <w:p w14:paraId="461E680C" w14:textId="7AE126B0" w:rsidR="009840D9" w:rsidRPr="009840D9" w:rsidRDefault="009840D9" w:rsidP="009840D9">
            <w:pPr>
              <w:jc w:val="center"/>
            </w:pPr>
            <w:r w:rsidRPr="00DC613E">
              <w:t>0.500</w:t>
            </w:r>
          </w:p>
        </w:tc>
      </w:tr>
      <w:tr w:rsidR="009840D9" w:rsidRPr="009840D9" w14:paraId="3837A40F" w14:textId="77777777" w:rsidTr="000F7621">
        <w:trPr>
          <w:trHeight w:val="353"/>
        </w:trPr>
        <w:tc>
          <w:tcPr>
            <w:tcW w:w="8764" w:type="dxa"/>
            <w:noWrap/>
            <w:hideMark/>
          </w:tcPr>
          <w:p w14:paraId="33033F99" w14:textId="77777777" w:rsidR="009840D9" w:rsidRPr="009840D9" w:rsidRDefault="009840D9" w:rsidP="009840D9">
            <w:r w:rsidRPr="009840D9">
              <w:t>Age_diagnosis</w:t>
            </w:r>
          </w:p>
        </w:tc>
        <w:tc>
          <w:tcPr>
            <w:tcW w:w="1208" w:type="dxa"/>
            <w:noWrap/>
            <w:hideMark/>
          </w:tcPr>
          <w:p w14:paraId="1EABAE52" w14:textId="5AF13561" w:rsidR="009840D9" w:rsidRPr="009840D9" w:rsidRDefault="009840D9" w:rsidP="009840D9">
            <w:pPr>
              <w:jc w:val="center"/>
            </w:pPr>
            <w:r w:rsidRPr="00DC613E">
              <w:t>1.025</w:t>
            </w:r>
          </w:p>
        </w:tc>
        <w:tc>
          <w:tcPr>
            <w:tcW w:w="1208" w:type="dxa"/>
            <w:noWrap/>
            <w:hideMark/>
          </w:tcPr>
          <w:p w14:paraId="3B4B3C2F" w14:textId="0B13069F" w:rsidR="009840D9" w:rsidRPr="009840D9" w:rsidRDefault="009840D9" w:rsidP="009840D9">
            <w:pPr>
              <w:jc w:val="center"/>
            </w:pPr>
            <w:r w:rsidRPr="00DC613E">
              <w:t>0.987</w:t>
            </w:r>
          </w:p>
        </w:tc>
        <w:tc>
          <w:tcPr>
            <w:tcW w:w="1208" w:type="dxa"/>
            <w:noWrap/>
            <w:hideMark/>
          </w:tcPr>
          <w:p w14:paraId="505099FC" w14:textId="1CFBDD3A" w:rsidR="009840D9" w:rsidRPr="009840D9" w:rsidRDefault="009840D9" w:rsidP="009840D9">
            <w:pPr>
              <w:jc w:val="center"/>
            </w:pPr>
            <w:r w:rsidRPr="00DC613E">
              <w:t>1.064</w:t>
            </w:r>
          </w:p>
        </w:tc>
        <w:tc>
          <w:tcPr>
            <w:tcW w:w="1208" w:type="dxa"/>
            <w:noWrap/>
            <w:hideMark/>
          </w:tcPr>
          <w:p w14:paraId="3F303A41" w14:textId="39CA75F1" w:rsidR="009840D9" w:rsidRPr="009840D9" w:rsidRDefault="009840D9" w:rsidP="009840D9">
            <w:pPr>
              <w:jc w:val="center"/>
            </w:pPr>
            <w:r w:rsidRPr="00DC613E">
              <w:t>0.200</w:t>
            </w:r>
          </w:p>
        </w:tc>
      </w:tr>
      <w:tr w:rsidR="009840D9" w:rsidRPr="009840D9" w14:paraId="3E5EC974" w14:textId="77777777" w:rsidTr="000F7621">
        <w:trPr>
          <w:trHeight w:val="353"/>
        </w:trPr>
        <w:tc>
          <w:tcPr>
            <w:tcW w:w="8764" w:type="dxa"/>
            <w:noWrap/>
            <w:hideMark/>
          </w:tcPr>
          <w:p w14:paraId="499DA220" w14:textId="1709CE5C" w:rsidR="009840D9" w:rsidRPr="009840D9" w:rsidRDefault="009840D9" w:rsidP="009840D9">
            <w:r w:rsidRPr="009840D9">
              <w:t>cytogenetic_category_ELN2017</w:t>
            </w:r>
            <w:r>
              <w:t xml:space="preserve">: </w:t>
            </w:r>
            <w:r w:rsidRPr="009840D9">
              <w:t>Intermediate Risk</w:t>
            </w:r>
            <w:r w:rsidRPr="000F7621">
              <w:rPr>
                <w:rFonts w:cstheme="minorHAnsi"/>
                <w:vertAlign w:val="superscript"/>
              </w:rPr>
              <w:t>β</w:t>
            </w:r>
          </w:p>
        </w:tc>
        <w:tc>
          <w:tcPr>
            <w:tcW w:w="1208" w:type="dxa"/>
            <w:noWrap/>
            <w:hideMark/>
          </w:tcPr>
          <w:p w14:paraId="3F6174D3" w14:textId="60C749F3" w:rsidR="009840D9" w:rsidRPr="009840D9" w:rsidRDefault="009840D9" w:rsidP="009840D9">
            <w:pPr>
              <w:jc w:val="center"/>
            </w:pPr>
            <w:r w:rsidRPr="00DC613E">
              <w:t>0.575</w:t>
            </w:r>
          </w:p>
        </w:tc>
        <w:tc>
          <w:tcPr>
            <w:tcW w:w="1208" w:type="dxa"/>
            <w:noWrap/>
            <w:hideMark/>
          </w:tcPr>
          <w:p w14:paraId="18CB9C45" w14:textId="65519D2F" w:rsidR="009840D9" w:rsidRPr="009840D9" w:rsidRDefault="009840D9" w:rsidP="009840D9">
            <w:pPr>
              <w:jc w:val="center"/>
            </w:pPr>
            <w:r w:rsidRPr="00DC613E">
              <w:t>0.041</w:t>
            </w:r>
          </w:p>
        </w:tc>
        <w:tc>
          <w:tcPr>
            <w:tcW w:w="1208" w:type="dxa"/>
            <w:noWrap/>
            <w:hideMark/>
          </w:tcPr>
          <w:p w14:paraId="5636BFD5" w14:textId="571F3197" w:rsidR="009840D9" w:rsidRPr="009840D9" w:rsidRDefault="009840D9" w:rsidP="009840D9">
            <w:pPr>
              <w:jc w:val="center"/>
            </w:pPr>
            <w:r w:rsidRPr="00DC613E">
              <w:t>8.095</w:t>
            </w:r>
          </w:p>
        </w:tc>
        <w:tc>
          <w:tcPr>
            <w:tcW w:w="1208" w:type="dxa"/>
            <w:noWrap/>
            <w:hideMark/>
          </w:tcPr>
          <w:p w14:paraId="0D6A3423" w14:textId="3C5220FD" w:rsidR="009840D9" w:rsidRPr="009840D9" w:rsidRDefault="009840D9" w:rsidP="009840D9">
            <w:pPr>
              <w:jc w:val="center"/>
            </w:pPr>
            <w:r w:rsidRPr="00DC613E">
              <w:t>0.682</w:t>
            </w:r>
          </w:p>
        </w:tc>
      </w:tr>
      <w:tr w:rsidR="009840D9" w:rsidRPr="009840D9" w14:paraId="68CB28C5" w14:textId="77777777" w:rsidTr="000F7621">
        <w:trPr>
          <w:trHeight w:val="353"/>
        </w:trPr>
        <w:tc>
          <w:tcPr>
            <w:tcW w:w="8764" w:type="dxa"/>
            <w:noWrap/>
            <w:hideMark/>
          </w:tcPr>
          <w:p w14:paraId="55633D75" w14:textId="40A5A12B" w:rsidR="009840D9" w:rsidRPr="009840D9" w:rsidRDefault="009840D9" w:rsidP="009840D9">
            <w:r w:rsidRPr="009840D9">
              <w:t>cytogenetic_category_ELN2017</w:t>
            </w:r>
            <w:r>
              <w:t xml:space="preserve">: </w:t>
            </w:r>
            <w:r w:rsidRPr="009840D9">
              <w:t>Not performed/ Poor banding, Inadequate</w:t>
            </w:r>
            <w:r w:rsidRPr="002461CE">
              <w:rPr>
                <w:rFonts w:cstheme="minorHAnsi"/>
                <w:vertAlign w:val="superscript"/>
              </w:rPr>
              <w:t>β</w:t>
            </w:r>
            <w:r w:rsidRPr="009840D9">
              <w:t xml:space="preserve"> </w:t>
            </w:r>
          </w:p>
        </w:tc>
        <w:tc>
          <w:tcPr>
            <w:tcW w:w="1208" w:type="dxa"/>
            <w:noWrap/>
            <w:hideMark/>
          </w:tcPr>
          <w:p w14:paraId="5B3994EF" w14:textId="609F7157" w:rsidR="009840D9" w:rsidRPr="009840D9" w:rsidRDefault="009840D9" w:rsidP="009840D9">
            <w:pPr>
              <w:jc w:val="center"/>
            </w:pPr>
            <w:r w:rsidRPr="00DC613E">
              <w:t>0.507</w:t>
            </w:r>
          </w:p>
        </w:tc>
        <w:tc>
          <w:tcPr>
            <w:tcW w:w="1208" w:type="dxa"/>
            <w:noWrap/>
            <w:hideMark/>
          </w:tcPr>
          <w:p w14:paraId="4B137016" w14:textId="2DC8979B" w:rsidR="009840D9" w:rsidRPr="009840D9" w:rsidRDefault="009840D9" w:rsidP="009840D9">
            <w:pPr>
              <w:jc w:val="center"/>
            </w:pPr>
            <w:r w:rsidRPr="00DC613E">
              <w:t>0.019</w:t>
            </w:r>
          </w:p>
        </w:tc>
        <w:tc>
          <w:tcPr>
            <w:tcW w:w="1208" w:type="dxa"/>
            <w:noWrap/>
            <w:hideMark/>
          </w:tcPr>
          <w:p w14:paraId="43BFDEF9" w14:textId="01C6BD05" w:rsidR="009840D9" w:rsidRPr="009840D9" w:rsidRDefault="009840D9" w:rsidP="009840D9">
            <w:pPr>
              <w:jc w:val="center"/>
            </w:pPr>
            <w:r w:rsidRPr="00DC613E">
              <w:t>13.820</w:t>
            </w:r>
          </w:p>
        </w:tc>
        <w:tc>
          <w:tcPr>
            <w:tcW w:w="1208" w:type="dxa"/>
            <w:noWrap/>
            <w:hideMark/>
          </w:tcPr>
          <w:p w14:paraId="32D9CE46" w14:textId="0FA03AEC" w:rsidR="009840D9" w:rsidRPr="009840D9" w:rsidRDefault="009840D9" w:rsidP="009840D9">
            <w:pPr>
              <w:jc w:val="center"/>
            </w:pPr>
            <w:r w:rsidRPr="00DC613E">
              <w:t>0.687</w:t>
            </w:r>
          </w:p>
        </w:tc>
      </w:tr>
      <w:tr w:rsidR="009840D9" w:rsidRPr="009840D9" w14:paraId="246E7AB8" w14:textId="77777777" w:rsidTr="000F7621">
        <w:trPr>
          <w:trHeight w:val="353"/>
        </w:trPr>
        <w:tc>
          <w:tcPr>
            <w:tcW w:w="8764" w:type="dxa"/>
            <w:noWrap/>
            <w:hideMark/>
          </w:tcPr>
          <w:p w14:paraId="54E8097F" w14:textId="4B15527C" w:rsidR="009840D9" w:rsidRPr="009840D9" w:rsidRDefault="009840D9" w:rsidP="009840D9">
            <w:r w:rsidRPr="009840D9">
              <w:t>cytogenetic_category_ELN2017</w:t>
            </w:r>
            <w:r>
              <w:t xml:space="preserve">: </w:t>
            </w:r>
            <w:r w:rsidRPr="009840D9">
              <w:t>Unfavorable Risk</w:t>
            </w:r>
          </w:p>
        </w:tc>
        <w:tc>
          <w:tcPr>
            <w:tcW w:w="1208" w:type="dxa"/>
            <w:noWrap/>
            <w:hideMark/>
          </w:tcPr>
          <w:p w14:paraId="64C1379C" w14:textId="7711D95C" w:rsidR="009840D9" w:rsidRPr="009840D9" w:rsidRDefault="009840D9" w:rsidP="009840D9">
            <w:pPr>
              <w:jc w:val="center"/>
            </w:pPr>
            <w:r w:rsidRPr="00DC613E">
              <w:t>0.318</w:t>
            </w:r>
          </w:p>
        </w:tc>
        <w:tc>
          <w:tcPr>
            <w:tcW w:w="1208" w:type="dxa"/>
            <w:noWrap/>
            <w:hideMark/>
          </w:tcPr>
          <w:p w14:paraId="637F39C8" w14:textId="7CF168D5" w:rsidR="009840D9" w:rsidRPr="009840D9" w:rsidRDefault="009840D9" w:rsidP="009840D9">
            <w:pPr>
              <w:jc w:val="center"/>
            </w:pPr>
            <w:r w:rsidRPr="00DC613E">
              <w:t>0.017</w:t>
            </w:r>
          </w:p>
        </w:tc>
        <w:tc>
          <w:tcPr>
            <w:tcW w:w="1208" w:type="dxa"/>
            <w:noWrap/>
            <w:hideMark/>
          </w:tcPr>
          <w:p w14:paraId="22D88CE4" w14:textId="12C2CBB3" w:rsidR="009840D9" w:rsidRPr="009840D9" w:rsidRDefault="009840D9" w:rsidP="009840D9">
            <w:pPr>
              <w:jc w:val="center"/>
            </w:pPr>
            <w:r w:rsidRPr="00DC613E">
              <w:t>5.873</w:t>
            </w:r>
          </w:p>
        </w:tc>
        <w:tc>
          <w:tcPr>
            <w:tcW w:w="1208" w:type="dxa"/>
            <w:noWrap/>
            <w:hideMark/>
          </w:tcPr>
          <w:p w14:paraId="68A1DB7F" w14:textId="554D21C0" w:rsidR="009840D9" w:rsidRPr="009840D9" w:rsidRDefault="009840D9" w:rsidP="009840D9">
            <w:pPr>
              <w:jc w:val="center"/>
            </w:pPr>
            <w:r w:rsidRPr="00DC613E">
              <w:t>0.441</w:t>
            </w:r>
          </w:p>
        </w:tc>
      </w:tr>
      <w:tr w:rsidR="009840D9" w:rsidRPr="009840D9" w14:paraId="60D2C4BD" w14:textId="77777777" w:rsidTr="000F7621">
        <w:trPr>
          <w:trHeight w:val="353"/>
        </w:trPr>
        <w:tc>
          <w:tcPr>
            <w:tcW w:w="8764" w:type="dxa"/>
            <w:noWrap/>
            <w:hideMark/>
          </w:tcPr>
          <w:p w14:paraId="3D66A7AE" w14:textId="0B204AB7" w:rsidR="009840D9" w:rsidRPr="009840D9" w:rsidRDefault="009840D9" w:rsidP="009840D9">
            <w:r w:rsidRPr="009840D9">
              <w:t>P53 mutated</w:t>
            </w:r>
            <w:r w:rsidRPr="000F7621">
              <w:rPr>
                <w:rFonts w:ascii="Calibri" w:hAnsi="Calibri" w:cs="Calibri"/>
                <w:vertAlign w:val="superscript"/>
              </w:rPr>
              <w:t>γ</w:t>
            </w:r>
          </w:p>
        </w:tc>
        <w:tc>
          <w:tcPr>
            <w:tcW w:w="1208" w:type="dxa"/>
            <w:noWrap/>
            <w:hideMark/>
          </w:tcPr>
          <w:p w14:paraId="263B98F3" w14:textId="33829F1A" w:rsidR="009840D9" w:rsidRPr="009840D9" w:rsidRDefault="009840D9" w:rsidP="009840D9">
            <w:pPr>
              <w:jc w:val="center"/>
            </w:pPr>
            <w:r w:rsidRPr="00DC613E">
              <w:t>4.542</w:t>
            </w:r>
          </w:p>
        </w:tc>
        <w:tc>
          <w:tcPr>
            <w:tcW w:w="1208" w:type="dxa"/>
            <w:noWrap/>
            <w:hideMark/>
          </w:tcPr>
          <w:p w14:paraId="57677AD7" w14:textId="6DCF63D2" w:rsidR="009840D9" w:rsidRPr="009840D9" w:rsidRDefault="009840D9" w:rsidP="009840D9">
            <w:pPr>
              <w:jc w:val="center"/>
            </w:pPr>
            <w:r w:rsidRPr="00DC613E">
              <w:t>1.442</w:t>
            </w:r>
          </w:p>
        </w:tc>
        <w:tc>
          <w:tcPr>
            <w:tcW w:w="1208" w:type="dxa"/>
            <w:noWrap/>
            <w:hideMark/>
          </w:tcPr>
          <w:p w14:paraId="37E07EC5" w14:textId="41235336" w:rsidR="009840D9" w:rsidRPr="009840D9" w:rsidRDefault="009840D9" w:rsidP="009840D9">
            <w:pPr>
              <w:jc w:val="center"/>
            </w:pPr>
            <w:r w:rsidRPr="00DC613E">
              <w:t>14.302</w:t>
            </w:r>
          </w:p>
        </w:tc>
        <w:tc>
          <w:tcPr>
            <w:tcW w:w="1208" w:type="dxa"/>
            <w:noWrap/>
            <w:hideMark/>
          </w:tcPr>
          <w:p w14:paraId="3A6C1E4A" w14:textId="35E196E4" w:rsidR="009840D9" w:rsidRPr="009840D9" w:rsidRDefault="009840D9" w:rsidP="009840D9">
            <w:pPr>
              <w:jc w:val="center"/>
            </w:pPr>
            <w:r w:rsidRPr="00DC613E">
              <w:t>0.010</w:t>
            </w:r>
          </w:p>
        </w:tc>
      </w:tr>
      <w:tr w:rsidR="009840D9" w:rsidRPr="009840D9" w14:paraId="058936B6" w14:textId="77777777" w:rsidTr="000F7621">
        <w:trPr>
          <w:trHeight w:val="353"/>
        </w:trPr>
        <w:tc>
          <w:tcPr>
            <w:tcW w:w="8764" w:type="dxa"/>
            <w:noWrap/>
            <w:hideMark/>
          </w:tcPr>
          <w:p w14:paraId="10D267EC" w14:textId="2440B791" w:rsidR="009840D9" w:rsidRPr="009840D9" w:rsidRDefault="009840D9" w:rsidP="009840D9">
            <w:r w:rsidRPr="009840D9">
              <w:t>P53</w:t>
            </w:r>
            <w:r>
              <w:t xml:space="preserve"> wild type</w:t>
            </w:r>
            <w:r w:rsidRPr="002461CE">
              <w:rPr>
                <w:rFonts w:ascii="Calibri" w:hAnsi="Calibri" w:cs="Calibri"/>
                <w:vertAlign w:val="superscript"/>
              </w:rPr>
              <w:t>γ</w:t>
            </w:r>
          </w:p>
        </w:tc>
        <w:tc>
          <w:tcPr>
            <w:tcW w:w="1208" w:type="dxa"/>
            <w:noWrap/>
            <w:hideMark/>
          </w:tcPr>
          <w:p w14:paraId="72E9735E" w14:textId="35CA4FAC" w:rsidR="009840D9" w:rsidRPr="009840D9" w:rsidRDefault="009840D9" w:rsidP="009840D9">
            <w:pPr>
              <w:jc w:val="center"/>
            </w:pPr>
            <w:r w:rsidRPr="00DC613E">
              <w:t>2.386</w:t>
            </w:r>
          </w:p>
        </w:tc>
        <w:tc>
          <w:tcPr>
            <w:tcW w:w="1208" w:type="dxa"/>
            <w:noWrap/>
            <w:hideMark/>
          </w:tcPr>
          <w:p w14:paraId="00FBC48E" w14:textId="3D34A704" w:rsidR="009840D9" w:rsidRPr="009840D9" w:rsidRDefault="009840D9" w:rsidP="009840D9">
            <w:pPr>
              <w:jc w:val="center"/>
            </w:pPr>
            <w:r w:rsidRPr="00DC613E">
              <w:t>0.906</w:t>
            </w:r>
          </w:p>
        </w:tc>
        <w:tc>
          <w:tcPr>
            <w:tcW w:w="1208" w:type="dxa"/>
            <w:noWrap/>
            <w:hideMark/>
          </w:tcPr>
          <w:p w14:paraId="55B0222C" w14:textId="71B8170F" w:rsidR="009840D9" w:rsidRPr="009840D9" w:rsidRDefault="009840D9" w:rsidP="009840D9">
            <w:pPr>
              <w:jc w:val="center"/>
            </w:pPr>
            <w:r w:rsidRPr="00DC613E">
              <w:t>6.286</w:t>
            </w:r>
          </w:p>
        </w:tc>
        <w:tc>
          <w:tcPr>
            <w:tcW w:w="1208" w:type="dxa"/>
            <w:noWrap/>
            <w:hideMark/>
          </w:tcPr>
          <w:p w14:paraId="611BE0BA" w14:textId="0ACEB59D" w:rsidR="009840D9" w:rsidRPr="009840D9" w:rsidRDefault="009840D9" w:rsidP="009840D9">
            <w:pPr>
              <w:jc w:val="center"/>
            </w:pPr>
            <w:r w:rsidRPr="00DC613E">
              <w:t>0.078</w:t>
            </w:r>
          </w:p>
        </w:tc>
      </w:tr>
      <w:tr w:rsidR="009840D9" w:rsidRPr="009840D9" w14:paraId="77200FA1" w14:textId="77777777" w:rsidTr="000F7621">
        <w:trPr>
          <w:trHeight w:val="353"/>
        </w:trPr>
        <w:tc>
          <w:tcPr>
            <w:tcW w:w="8764" w:type="dxa"/>
            <w:noWrap/>
            <w:hideMark/>
          </w:tcPr>
          <w:p w14:paraId="7C04903F" w14:textId="03ED0B10" w:rsidR="009840D9" w:rsidRPr="009840D9" w:rsidRDefault="009840D9" w:rsidP="009840D9">
            <w:r w:rsidRPr="009840D9">
              <w:t>ECOG III-IV</w:t>
            </w:r>
          </w:p>
        </w:tc>
        <w:tc>
          <w:tcPr>
            <w:tcW w:w="1208" w:type="dxa"/>
            <w:noWrap/>
            <w:hideMark/>
          </w:tcPr>
          <w:p w14:paraId="561EC090" w14:textId="7B1A7F06" w:rsidR="009840D9" w:rsidRPr="009840D9" w:rsidRDefault="009840D9" w:rsidP="009840D9">
            <w:pPr>
              <w:jc w:val="center"/>
            </w:pPr>
            <w:r w:rsidRPr="00DC613E">
              <w:t>4.529</w:t>
            </w:r>
          </w:p>
        </w:tc>
        <w:tc>
          <w:tcPr>
            <w:tcW w:w="1208" w:type="dxa"/>
            <w:noWrap/>
            <w:hideMark/>
          </w:tcPr>
          <w:p w14:paraId="74CE41EE" w14:textId="799A5260" w:rsidR="009840D9" w:rsidRPr="009840D9" w:rsidRDefault="009840D9" w:rsidP="009840D9">
            <w:pPr>
              <w:jc w:val="center"/>
            </w:pPr>
            <w:r w:rsidRPr="00DC613E">
              <w:t>1.695</w:t>
            </w:r>
          </w:p>
        </w:tc>
        <w:tc>
          <w:tcPr>
            <w:tcW w:w="1208" w:type="dxa"/>
            <w:noWrap/>
            <w:hideMark/>
          </w:tcPr>
          <w:p w14:paraId="27C43DB3" w14:textId="19B15DE0" w:rsidR="009840D9" w:rsidRPr="009840D9" w:rsidRDefault="009840D9" w:rsidP="009840D9">
            <w:pPr>
              <w:jc w:val="center"/>
            </w:pPr>
            <w:r w:rsidRPr="00DC613E">
              <w:t>12.100</w:t>
            </w:r>
          </w:p>
        </w:tc>
        <w:tc>
          <w:tcPr>
            <w:tcW w:w="1208" w:type="dxa"/>
            <w:noWrap/>
            <w:hideMark/>
          </w:tcPr>
          <w:p w14:paraId="2E7FC7C8" w14:textId="5E85A1BF" w:rsidR="009840D9" w:rsidRPr="009840D9" w:rsidRDefault="009840D9" w:rsidP="009840D9">
            <w:pPr>
              <w:jc w:val="center"/>
            </w:pPr>
            <w:r w:rsidRPr="00DC613E">
              <w:t>0.003</w:t>
            </w:r>
          </w:p>
        </w:tc>
      </w:tr>
    </w:tbl>
    <w:p w14:paraId="2602E6F8" w14:textId="23B53357" w:rsidR="009840D9" w:rsidRPr="009840D9" w:rsidRDefault="009840D9" w:rsidP="005F29DF">
      <w:r w:rsidRPr="002461CE">
        <w:rPr>
          <w:rFonts w:cstheme="minorHAnsi"/>
          <w:vertAlign w:val="superscript"/>
        </w:rPr>
        <w:t>α</w:t>
      </w:r>
      <w:r>
        <w:rPr>
          <w:rFonts w:cstheme="minorHAnsi"/>
          <w:vertAlign w:val="superscript"/>
        </w:rPr>
        <w:t xml:space="preserve"> </w:t>
      </w:r>
      <w:r>
        <w:rPr>
          <w:rFonts w:cstheme="minorHAnsi"/>
        </w:rPr>
        <w:t xml:space="preserve">Compared to single-agent azacitidine. </w:t>
      </w:r>
      <w:r w:rsidRPr="002461CE">
        <w:rPr>
          <w:rFonts w:cstheme="minorHAnsi"/>
          <w:vertAlign w:val="superscript"/>
        </w:rPr>
        <w:t>β</w:t>
      </w:r>
      <w:r>
        <w:rPr>
          <w:rFonts w:cstheme="minorHAnsi"/>
        </w:rPr>
        <w:t xml:space="preserve"> Compared to favorable cytogenetics. </w:t>
      </w:r>
      <w:r w:rsidRPr="002461CE">
        <w:rPr>
          <w:rFonts w:ascii="Calibri" w:hAnsi="Calibri" w:cs="Calibri"/>
          <w:vertAlign w:val="superscript"/>
        </w:rPr>
        <w:t>γ</w:t>
      </w:r>
      <w:r>
        <w:rPr>
          <w:rFonts w:ascii="Calibri" w:hAnsi="Calibri" w:cs="Calibri"/>
          <w:vertAlign w:val="superscript"/>
        </w:rPr>
        <w:t xml:space="preserve"> </w:t>
      </w:r>
      <w:r>
        <w:rPr>
          <w:rFonts w:ascii="Calibri" w:hAnsi="Calibri" w:cs="Calibri"/>
        </w:rPr>
        <w:t xml:space="preserve">Compared to P53 untested status. </w:t>
      </w:r>
      <w:r>
        <w:rPr>
          <w:rFonts w:cstheme="minorHAnsi"/>
        </w:rPr>
        <w:t xml:space="preserve"> </w:t>
      </w:r>
    </w:p>
    <w:p w14:paraId="561BE239" w14:textId="2A04E597" w:rsidR="009840D9" w:rsidRDefault="009840D9" w:rsidP="005F29DF"/>
    <w:p w14:paraId="18E88D93" w14:textId="63A2C012" w:rsidR="009840D9" w:rsidRDefault="009840D9" w:rsidP="005F29DF"/>
    <w:p w14:paraId="75AF6B2C" w14:textId="2DB64A83" w:rsidR="009840D9" w:rsidRDefault="009840D9" w:rsidP="005F29DF"/>
    <w:p w14:paraId="26D63685" w14:textId="69A51447" w:rsidR="009D2BD6" w:rsidRDefault="009D2BD6" w:rsidP="009D2BD6"/>
    <w:p w14:paraId="186DDC7D" w14:textId="77777777" w:rsidR="009D2BD6" w:rsidRPr="009D2BD6" w:rsidRDefault="009D2BD6" w:rsidP="009D2BD6"/>
    <w:p w14:paraId="18D35B06" w14:textId="6EBCC6AD" w:rsidR="00616827" w:rsidRDefault="2DD9BD59" w:rsidP="06A1B8C2">
      <w:pPr>
        <w:pStyle w:val="Heading1"/>
        <w:rPr>
          <w:rFonts w:asciiTheme="minorHAnsi" w:hAnsiTheme="minorHAnsi" w:cstheme="minorBidi"/>
          <w:sz w:val="28"/>
          <w:szCs w:val="28"/>
        </w:rPr>
      </w:pPr>
      <w:bookmarkStart w:id="3" w:name="_Toc96864833"/>
      <w:r w:rsidRPr="06A1B8C2">
        <w:rPr>
          <w:rFonts w:asciiTheme="minorHAnsi" w:hAnsiTheme="minorHAnsi" w:cstheme="minorBidi"/>
          <w:sz w:val="28"/>
          <w:szCs w:val="28"/>
        </w:rPr>
        <w:t>HMA vs. HMA with Veneto</w:t>
      </w:r>
      <w:r w:rsidR="701745A5" w:rsidRPr="06A1B8C2">
        <w:rPr>
          <w:rFonts w:asciiTheme="minorHAnsi" w:hAnsiTheme="minorHAnsi" w:cstheme="minorBidi"/>
          <w:sz w:val="28"/>
          <w:szCs w:val="28"/>
        </w:rPr>
        <w:t>clax</w:t>
      </w:r>
      <w:bookmarkEnd w:id="3"/>
    </w:p>
    <w:p w14:paraId="440DBC0C" w14:textId="3B47497A" w:rsidR="00381DC7" w:rsidRPr="009D2BD6" w:rsidRDefault="701745A5" w:rsidP="009D2BD6">
      <w:pPr>
        <w:rPr>
          <w:i/>
          <w:iCs/>
          <w:sz w:val="28"/>
          <w:szCs w:val="28"/>
        </w:rPr>
      </w:pPr>
      <w:r w:rsidRPr="009D2BD6">
        <w:rPr>
          <w:i/>
          <w:iCs/>
        </w:rPr>
        <w:t>e</w:t>
      </w:r>
      <w:r w:rsidR="7818F553" w:rsidRPr="009D2BD6">
        <w:rPr>
          <w:i/>
          <w:iCs/>
        </w:rPr>
        <w:t xml:space="preserve">Figure </w:t>
      </w:r>
      <w:r w:rsidR="00052A84" w:rsidRPr="009D2BD6">
        <w:rPr>
          <w:i/>
          <w:iCs/>
        </w:rPr>
        <w:fldChar w:fldCharType="begin"/>
      </w:r>
      <w:r w:rsidR="00052A84" w:rsidRPr="009D2BD6">
        <w:rPr>
          <w:i/>
          <w:iCs/>
        </w:rPr>
        <w:instrText xml:space="preserve"> SEQ Figure \* ARABIC </w:instrText>
      </w:r>
      <w:r w:rsidR="00052A84" w:rsidRPr="009D2BD6">
        <w:rPr>
          <w:i/>
          <w:iCs/>
        </w:rPr>
        <w:fldChar w:fldCharType="separate"/>
      </w:r>
      <w:r w:rsidR="00556214">
        <w:rPr>
          <w:i/>
          <w:iCs/>
          <w:noProof/>
        </w:rPr>
        <w:t>1</w:t>
      </w:r>
      <w:r w:rsidR="00052A84" w:rsidRPr="009D2BD6">
        <w:rPr>
          <w:i/>
          <w:iCs/>
        </w:rPr>
        <w:fldChar w:fldCharType="end"/>
      </w:r>
      <w:r w:rsidR="5C0C66C5" w:rsidRPr="009D2BD6">
        <w:rPr>
          <w:i/>
          <w:iCs/>
        </w:rPr>
        <w:t>.</w:t>
      </w:r>
      <w:r w:rsidR="7818F553" w:rsidRPr="009D2BD6">
        <w:rPr>
          <w:i/>
          <w:iCs/>
        </w:rPr>
        <w:t xml:space="preserve"> </w:t>
      </w:r>
      <w:bookmarkStart w:id="4" w:name="_Hlk86151411"/>
      <w:r w:rsidR="7818F553" w:rsidRPr="009D2BD6">
        <w:rPr>
          <w:i/>
          <w:iCs/>
        </w:rPr>
        <w:t>Covariate balance before and after propensity score weighting</w:t>
      </w:r>
      <w:r w:rsidR="5BD9F95A" w:rsidRPr="009D2BD6">
        <w:rPr>
          <w:i/>
          <w:iCs/>
        </w:rPr>
        <w:t xml:space="preserve"> for HMA vs</w:t>
      </w:r>
      <w:r w:rsidR="00310F97" w:rsidRPr="009D2BD6">
        <w:rPr>
          <w:i/>
          <w:iCs/>
        </w:rPr>
        <w:t>.</w:t>
      </w:r>
      <w:r w:rsidR="5BD9F95A" w:rsidRPr="009D2BD6">
        <w:rPr>
          <w:i/>
          <w:iCs/>
        </w:rPr>
        <w:t xml:space="preserve"> HMA-VEN subgroups </w:t>
      </w:r>
      <w:bookmarkEnd w:id="4"/>
    </w:p>
    <w:p w14:paraId="555EF3B7" w14:textId="76DBED72" w:rsidR="00381DC7" w:rsidRPr="00E70DD9" w:rsidRDefault="5BD9F95A" w:rsidP="06A1B8C2">
      <w:r>
        <w:rPr>
          <w:noProof/>
        </w:rPr>
        <w:drawing>
          <wp:inline distT="0" distB="0" distL="0" distR="0" wp14:anchorId="64A14509" wp14:editId="6290C208">
            <wp:extent cx="6045200" cy="4533900"/>
            <wp:effectExtent l="0" t="0" r="0" b="0"/>
            <wp:docPr id="269653481" name="Picture 2696534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6050091" cy="4537568"/>
                    </a:xfrm>
                    <a:prstGeom prst="rect">
                      <a:avLst/>
                    </a:prstGeom>
                  </pic:spPr>
                </pic:pic>
              </a:graphicData>
            </a:graphic>
          </wp:inline>
        </w:drawing>
      </w:r>
    </w:p>
    <w:p w14:paraId="3741338E" w14:textId="77777777" w:rsidR="0077269B" w:rsidRPr="00E70DD9" w:rsidRDefault="0077269B" w:rsidP="000763A0">
      <w:pPr>
        <w:rPr>
          <w:rFonts w:cstheme="minorHAnsi"/>
        </w:rPr>
      </w:pPr>
    </w:p>
    <w:p w14:paraId="0A38D31D" w14:textId="77777777" w:rsidR="00CD4A53" w:rsidRPr="000F7621" w:rsidRDefault="00CD4A53" w:rsidP="00900F05">
      <w:pPr>
        <w:rPr>
          <w:rFonts w:cstheme="minorHAnsi"/>
          <w:color w:val="000000" w:themeColor="text1"/>
        </w:rPr>
      </w:pPr>
    </w:p>
    <w:p w14:paraId="287EF8B5" w14:textId="70F619BD" w:rsidR="00CD4A53" w:rsidRPr="000F7621" w:rsidRDefault="00DD25BA" w:rsidP="4D0486C2">
      <w:pPr>
        <w:pStyle w:val="Caption"/>
        <w:keepNext/>
        <w:rPr>
          <w:color w:val="000000" w:themeColor="text1"/>
          <w:sz w:val="22"/>
          <w:szCs w:val="22"/>
        </w:rPr>
      </w:pPr>
      <w:r w:rsidRPr="000F7621">
        <w:rPr>
          <w:color w:val="000000" w:themeColor="text1"/>
          <w:sz w:val="22"/>
          <w:szCs w:val="22"/>
        </w:rPr>
        <w:t>e</w:t>
      </w:r>
      <w:r w:rsidR="677A6907" w:rsidRPr="000F7621">
        <w:rPr>
          <w:color w:val="000000" w:themeColor="text1"/>
          <w:sz w:val="22"/>
          <w:szCs w:val="22"/>
        </w:rPr>
        <w:t>Table</w:t>
      </w:r>
      <w:r w:rsidR="00406BC4" w:rsidRPr="000F7621">
        <w:rPr>
          <w:color w:val="000000" w:themeColor="text1"/>
          <w:sz w:val="22"/>
          <w:szCs w:val="22"/>
        </w:rPr>
        <w:t xml:space="preserve"> </w:t>
      </w:r>
      <w:r w:rsidR="00BA5C75" w:rsidRPr="000F7621">
        <w:rPr>
          <w:color w:val="000000" w:themeColor="text1"/>
          <w:sz w:val="22"/>
          <w:szCs w:val="22"/>
        </w:rPr>
        <w:t>3</w:t>
      </w:r>
      <w:r w:rsidR="00406BC4" w:rsidRPr="000F7621">
        <w:rPr>
          <w:color w:val="000000" w:themeColor="text1"/>
          <w:sz w:val="22"/>
          <w:szCs w:val="22"/>
        </w:rPr>
        <w:t>.</w:t>
      </w:r>
      <w:r w:rsidR="00CD4A53" w:rsidRPr="000F7621">
        <w:rPr>
          <w:color w:val="000000" w:themeColor="text1"/>
          <w:sz w:val="22"/>
          <w:szCs w:val="22"/>
        </w:rPr>
        <w:t xml:space="preserve"> </w:t>
      </w:r>
      <w:bookmarkStart w:id="5" w:name="_Hlk86144026"/>
      <w:r w:rsidR="00CD4A53" w:rsidRPr="000F7621">
        <w:rPr>
          <w:color w:val="000000" w:themeColor="text1"/>
          <w:sz w:val="22"/>
          <w:szCs w:val="22"/>
        </w:rPr>
        <w:t xml:space="preserve">Adjusted Overall Survival at months 12 and 24  for AML patients treated with HMA vs. HMA plus </w:t>
      </w:r>
      <w:r w:rsidR="006C550D" w:rsidRPr="000F7621">
        <w:rPr>
          <w:color w:val="000000" w:themeColor="text1"/>
          <w:sz w:val="22"/>
          <w:szCs w:val="22"/>
        </w:rPr>
        <w:t>Venetoclax</w:t>
      </w:r>
    </w:p>
    <w:bookmarkEnd w:id="5"/>
    <w:tbl>
      <w:tblPr>
        <w:tblStyle w:val="TableGrid"/>
        <w:tblW w:w="5000" w:type="pct"/>
        <w:tblLook w:val="04A0" w:firstRow="1" w:lastRow="0" w:firstColumn="1" w:lastColumn="0" w:noHBand="0" w:noVBand="1"/>
      </w:tblPr>
      <w:tblGrid>
        <w:gridCol w:w="667"/>
        <w:gridCol w:w="4336"/>
        <w:gridCol w:w="3108"/>
        <w:gridCol w:w="1834"/>
        <w:gridCol w:w="1479"/>
        <w:gridCol w:w="1526"/>
      </w:tblGrid>
      <w:tr w:rsidR="00BA5C75" w:rsidRPr="00BA5C75" w14:paraId="041AFE43" w14:textId="77777777" w:rsidTr="00310F97">
        <w:trPr>
          <w:trHeight w:val="338"/>
        </w:trPr>
        <w:tc>
          <w:tcPr>
            <w:tcW w:w="258" w:type="pct"/>
            <w:noWrap/>
            <w:hideMark/>
          </w:tcPr>
          <w:p w14:paraId="7C8673DB" w14:textId="77777777" w:rsidR="00CD4A53" w:rsidRPr="000F7621" w:rsidRDefault="00CD4A53" w:rsidP="00CD4A53">
            <w:pPr>
              <w:rPr>
                <w:rFonts w:cstheme="minorHAnsi"/>
                <w:color w:val="000000" w:themeColor="text1"/>
              </w:rPr>
            </w:pPr>
          </w:p>
        </w:tc>
        <w:tc>
          <w:tcPr>
            <w:tcW w:w="1674" w:type="pct"/>
            <w:noWrap/>
            <w:hideMark/>
          </w:tcPr>
          <w:p w14:paraId="4D179FCE" w14:textId="77777777" w:rsidR="00CD4A53" w:rsidRPr="000F7621" w:rsidRDefault="00CD4A53" w:rsidP="00CD4A53">
            <w:pPr>
              <w:rPr>
                <w:rFonts w:cstheme="minorHAnsi"/>
                <w:color w:val="000000" w:themeColor="text1"/>
              </w:rPr>
            </w:pPr>
            <w:r w:rsidRPr="000F7621">
              <w:rPr>
                <w:rFonts w:cstheme="minorHAnsi"/>
                <w:color w:val="000000" w:themeColor="text1"/>
              </w:rPr>
              <w:t>strata</w:t>
            </w:r>
          </w:p>
        </w:tc>
        <w:tc>
          <w:tcPr>
            <w:tcW w:w="1200" w:type="pct"/>
            <w:noWrap/>
            <w:hideMark/>
          </w:tcPr>
          <w:p w14:paraId="1E5A766F" w14:textId="3EBCA8F5" w:rsidR="00CD4A53" w:rsidRPr="000F7621" w:rsidRDefault="00C650CB" w:rsidP="00CD4A53">
            <w:pPr>
              <w:jc w:val="center"/>
              <w:rPr>
                <w:rFonts w:cstheme="minorHAnsi"/>
                <w:color w:val="000000" w:themeColor="text1"/>
              </w:rPr>
            </w:pPr>
            <w:r w:rsidRPr="000F7621">
              <w:rPr>
                <w:rFonts w:cstheme="minorHAnsi"/>
                <w:color w:val="000000" w:themeColor="text1"/>
              </w:rPr>
              <w:t>T</w:t>
            </w:r>
            <w:r w:rsidR="00CD4A53" w:rsidRPr="000F7621">
              <w:rPr>
                <w:rFonts w:cstheme="minorHAnsi"/>
                <w:color w:val="000000" w:themeColor="text1"/>
              </w:rPr>
              <w:t>ime</w:t>
            </w:r>
            <w:r w:rsidRPr="000F7621">
              <w:rPr>
                <w:rFonts w:cstheme="minorHAnsi"/>
                <w:color w:val="000000" w:themeColor="text1"/>
              </w:rPr>
              <w:t xml:space="preserve"> (months)</w:t>
            </w:r>
          </w:p>
        </w:tc>
        <w:tc>
          <w:tcPr>
            <w:tcW w:w="708" w:type="pct"/>
            <w:noWrap/>
            <w:hideMark/>
          </w:tcPr>
          <w:p w14:paraId="0F7E3693" w14:textId="11A4ACC6" w:rsidR="00CD4A53" w:rsidRPr="000F7621" w:rsidRDefault="00310F97" w:rsidP="00CD4A53">
            <w:pPr>
              <w:jc w:val="center"/>
              <w:rPr>
                <w:rFonts w:cstheme="minorHAnsi"/>
                <w:color w:val="000000" w:themeColor="text1"/>
              </w:rPr>
            </w:pPr>
            <w:r w:rsidRPr="000F7621">
              <w:rPr>
                <w:rFonts w:cstheme="minorHAnsi"/>
                <w:color w:val="000000" w:themeColor="text1"/>
              </w:rPr>
              <w:t>S</w:t>
            </w:r>
            <w:r w:rsidR="00CD4A53" w:rsidRPr="000F7621">
              <w:rPr>
                <w:rFonts w:cstheme="minorHAnsi"/>
                <w:color w:val="000000" w:themeColor="text1"/>
              </w:rPr>
              <w:t>urvival</w:t>
            </w:r>
          </w:p>
        </w:tc>
        <w:tc>
          <w:tcPr>
            <w:tcW w:w="571" w:type="pct"/>
            <w:noWrap/>
            <w:hideMark/>
          </w:tcPr>
          <w:p w14:paraId="78006C5B" w14:textId="610011F4" w:rsidR="00CD4A53" w:rsidRPr="000F7621" w:rsidRDefault="00310F97" w:rsidP="00CD4A53">
            <w:pPr>
              <w:jc w:val="center"/>
              <w:rPr>
                <w:rFonts w:cstheme="minorHAnsi"/>
                <w:color w:val="000000" w:themeColor="text1"/>
              </w:rPr>
            </w:pPr>
            <w:r w:rsidRPr="000F7621">
              <w:rPr>
                <w:rFonts w:cstheme="minorHAnsi"/>
                <w:color w:val="000000" w:themeColor="text1"/>
              </w:rPr>
              <w:t>L</w:t>
            </w:r>
            <w:r w:rsidR="00CD4A53" w:rsidRPr="000F7621">
              <w:rPr>
                <w:rFonts w:cstheme="minorHAnsi"/>
                <w:color w:val="000000" w:themeColor="text1"/>
              </w:rPr>
              <w:t>ower</w:t>
            </w:r>
            <w:r w:rsidRPr="000F7621">
              <w:rPr>
                <w:rFonts w:cstheme="minorHAnsi"/>
                <w:color w:val="000000" w:themeColor="text1"/>
              </w:rPr>
              <w:t xml:space="preserve"> CI</w:t>
            </w:r>
          </w:p>
        </w:tc>
        <w:tc>
          <w:tcPr>
            <w:tcW w:w="589" w:type="pct"/>
            <w:noWrap/>
            <w:hideMark/>
          </w:tcPr>
          <w:p w14:paraId="4349DFC9" w14:textId="155C15BB" w:rsidR="00CD4A53" w:rsidRPr="000F7621" w:rsidRDefault="00310F97" w:rsidP="00CD4A53">
            <w:pPr>
              <w:jc w:val="center"/>
              <w:rPr>
                <w:rFonts w:cstheme="minorHAnsi"/>
                <w:color w:val="000000" w:themeColor="text1"/>
              </w:rPr>
            </w:pPr>
            <w:r w:rsidRPr="000F7621">
              <w:rPr>
                <w:rFonts w:cstheme="minorHAnsi"/>
                <w:color w:val="000000" w:themeColor="text1"/>
              </w:rPr>
              <w:t>U</w:t>
            </w:r>
            <w:r w:rsidR="00CD4A53" w:rsidRPr="000F7621">
              <w:rPr>
                <w:rFonts w:cstheme="minorHAnsi"/>
                <w:color w:val="000000" w:themeColor="text1"/>
              </w:rPr>
              <w:t>pper</w:t>
            </w:r>
            <w:r w:rsidRPr="000F7621">
              <w:rPr>
                <w:rFonts w:cstheme="minorHAnsi"/>
                <w:color w:val="000000" w:themeColor="text1"/>
              </w:rPr>
              <w:t xml:space="preserve"> CI</w:t>
            </w:r>
          </w:p>
        </w:tc>
      </w:tr>
      <w:tr w:rsidR="00BA5C75" w:rsidRPr="00BA5C75" w14:paraId="0FD557FF" w14:textId="77777777" w:rsidTr="00310F97">
        <w:trPr>
          <w:trHeight w:val="338"/>
        </w:trPr>
        <w:tc>
          <w:tcPr>
            <w:tcW w:w="258" w:type="pct"/>
            <w:noWrap/>
            <w:hideMark/>
          </w:tcPr>
          <w:p w14:paraId="1A98F475" w14:textId="77777777" w:rsidR="00CD4A53" w:rsidRPr="000F7621" w:rsidRDefault="00CD4A53" w:rsidP="00CD4A53">
            <w:pPr>
              <w:rPr>
                <w:rFonts w:cstheme="minorHAnsi"/>
                <w:color w:val="000000" w:themeColor="text1"/>
              </w:rPr>
            </w:pPr>
            <w:r w:rsidRPr="000F7621">
              <w:rPr>
                <w:rFonts w:cstheme="minorHAnsi"/>
                <w:color w:val="000000" w:themeColor="text1"/>
              </w:rPr>
              <w:t>1</w:t>
            </w:r>
          </w:p>
        </w:tc>
        <w:tc>
          <w:tcPr>
            <w:tcW w:w="1674" w:type="pct"/>
            <w:noWrap/>
            <w:hideMark/>
          </w:tcPr>
          <w:p w14:paraId="78E6F51B" w14:textId="25E08DF6" w:rsidR="00CD4A53" w:rsidRPr="000F7621" w:rsidRDefault="00CD4A53" w:rsidP="00CD4A53">
            <w:pPr>
              <w:rPr>
                <w:rFonts w:cstheme="minorHAnsi"/>
                <w:color w:val="000000" w:themeColor="text1"/>
              </w:rPr>
            </w:pPr>
            <w:r w:rsidRPr="000F7621">
              <w:rPr>
                <w:rFonts w:cstheme="minorHAnsi"/>
                <w:color w:val="000000" w:themeColor="text1"/>
              </w:rPr>
              <w:t>HMA</w:t>
            </w:r>
          </w:p>
        </w:tc>
        <w:tc>
          <w:tcPr>
            <w:tcW w:w="1200" w:type="pct"/>
            <w:noWrap/>
            <w:hideMark/>
          </w:tcPr>
          <w:p w14:paraId="4F560D63" w14:textId="77777777" w:rsidR="00CD4A53" w:rsidRPr="000F7621" w:rsidRDefault="00CD4A53" w:rsidP="00CD4A53">
            <w:pPr>
              <w:jc w:val="center"/>
              <w:rPr>
                <w:rFonts w:cstheme="minorHAnsi"/>
                <w:color w:val="000000" w:themeColor="text1"/>
              </w:rPr>
            </w:pPr>
            <w:r w:rsidRPr="000F7621">
              <w:rPr>
                <w:rFonts w:cstheme="minorHAnsi"/>
                <w:color w:val="000000" w:themeColor="text1"/>
              </w:rPr>
              <w:t>12</w:t>
            </w:r>
          </w:p>
        </w:tc>
        <w:tc>
          <w:tcPr>
            <w:tcW w:w="708" w:type="pct"/>
            <w:noWrap/>
            <w:hideMark/>
          </w:tcPr>
          <w:p w14:paraId="334C5D1E" w14:textId="77777777" w:rsidR="00CD4A53" w:rsidRPr="000F7621" w:rsidRDefault="00CD4A53" w:rsidP="00CD4A53">
            <w:pPr>
              <w:jc w:val="center"/>
              <w:rPr>
                <w:rFonts w:cstheme="minorHAnsi"/>
                <w:color w:val="000000" w:themeColor="text1"/>
              </w:rPr>
            </w:pPr>
            <w:r w:rsidRPr="000F7621">
              <w:rPr>
                <w:rFonts w:cstheme="minorHAnsi"/>
                <w:color w:val="000000" w:themeColor="text1"/>
              </w:rPr>
              <w:t>0.36</w:t>
            </w:r>
          </w:p>
        </w:tc>
        <w:tc>
          <w:tcPr>
            <w:tcW w:w="571" w:type="pct"/>
            <w:noWrap/>
            <w:hideMark/>
          </w:tcPr>
          <w:p w14:paraId="139D0CB0" w14:textId="77777777" w:rsidR="00CD4A53" w:rsidRPr="000F7621" w:rsidRDefault="00CD4A53" w:rsidP="00CD4A53">
            <w:pPr>
              <w:jc w:val="center"/>
              <w:rPr>
                <w:rFonts w:cstheme="minorHAnsi"/>
                <w:color w:val="000000" w:themeColor="text1"/>
              </w:rPr>
            </w:pPr>
            <w:r w:rsidRPr="000F7621">
              <w:rPr>
                <w:rFonts w:cstheme="minorHAnsi"/>
                <w:color w:val="000000" w:themeColor="text1"/>
              </w:rPr>
              <w:t>0.28</w:t>
            </w:r>
          </w:p>
        </w:tc>
        <w:tc>
          <w:tcPr>
            <w:tcW w:w="589" w:type="pct"/>
            <w:noWrap/>
            <w:hideMark/>
          </w:tcPr>
          <w:p w14:paraId="0AFC65AD" w14:textId="77777777" w:rsidR="00CD4A53" w:rsidRPr="000F7621" w:rsidRDefault="00CD4A53" w:rsidP="00CD4A53">
            <w:pPr>
              <w:jc w:val="center"/>
              <w:rPr>
                <w:rFonts w:cstheme="minorHAnsi"/>
                <w:color w:val="000000" w:themeColor="text1"/>
              </w:rPr>
            </w:pPr>
            <w:r w:rsidRPr="000F7621">
              <w:rPr>
                <w:rFonts w:cstheme="minorHAnsi"/>
                <w:color w:val="000000" w:themeColor="text1"/>
              </w:rPr>
              <w:t>0.46</w:t>
            </w:r>
          </w:p>
        </w:tc>
      </w:tr>
      <w:tr w:rsidR="00BA5C75" w:rsidRPr="00BA5C75" w14:paraId="077B9460" w14:textId="77777777" w:rsidTr="00310F97">
        <w:trPr>
          <w:trHeight w:val="338"/>
        </w:trPr>
        <w:tc>
          <w:tcPr>
            <w:tcW w:w="258" w:type="pct"/>
            <w:noWrap/>
            <w:hideMark/>
          </w:tcPr>
          <w:p w14:paraId="069D8351" w14:textId="77777777" w:rsidR="00CD4A53" w:rsidRPr="000F7621" w:rsidRDefault="00CD4A53" w:rsidP="00CD4A53">
            <w:pPr>
              <w:rPr>
                <w:rFonts w:cstheme="minorHAnsi"/>
                <w:color w:val="000000" w:themeColor="text1"/>
              </w:rPr>
            </w:pPr>
            <w:r w:rsidRPr="000F7621">
              <w:rPr>
                <w:rFonts w:cstheme="minorHAnsi"/>
                <w:color w:val="000000" w:themeColor="text1"/>
              </w:rPr>
              <w:t>2</w:t>
            </w:r>
          </w:p>
        </w:tc>
        <w:tc>
          <w:tcPr>
            <w:tcW w:w="1674" w:type="pct"/>
            <w:noWrap/>
            <w:hideMark/>
          </w:tcPr>
          <w:p w14:paraId="63C37E4F" w14:textId="32B2EC03" w:rsidR="00CD4A53" w:rsidRPr="000F7621" w:rsidRDefault="00CD4A53" w:rsidP="00CD4A53">
            <w:pPr>
              <w:rPr>
                <w:rFonts w:cstheme="minorHAnsi"/>
                <w:color w:val="000000" w:themeColor="text1"/>
              </w:rPr>
            </w:pPr>
            <w:r w:rsidRPr="000F7621">
              <w:rPr>
                <w:rFonts w:cstheme="minorHAnsi"/>
                <w:color w:val="000000" w:themeColor="text1"/>
              </w:rPr>
              <w:t>HMA</w:t>
            </w:r>
          </w:p>
        </w:tc>
        <w:tc>
          <w:tcPr>
            <w:tcW w:w="1200" w:type="pct"/>
            <w:noWrap/>
            <w:hideMark/>
          </w:tcPr>
          <w:p w14:paraId="5DD18C44" w14:textId="77777777" w:rsidR="00CD4A53" w:rsidRPr="000F7621" w:rsidRDefault="00CD4A53" w:rsidP="00CD4A53">
            <w:pPr>
              <w:jc w:val="center"/>
              <w:rPr>
                <w:rFonts w:cstheme="minorHAnsi"/>
                <w:color w:val="000000" w:themeColor="text1"/>
              </w:rPr>
            </w:pPr>
            <w:r w:rsidRPr="000F7621">
              <w:rPr>
                <w:rFonts w:cstheme="minorHAnsi"/>
                <w:color w:val="000000" w:themeColor="text1"/>
              </w:rPr>
              <w:t>24</w:t>
            </w:r>
          </w:p>
        </w:tc>
        <w:tc>
          <w:tcPr>
            <w:tcW w:w="708" w:type="pct"/>
            <w:noWrap/>
            <w:hideMark/>
          </w:tcPr>
          <w:p w14:paraId="4AFEF84D" w14:textId="77777777" w:rsidR="00CD4A53" w:rsidRPr="000F7621" w:rsidRDefault="00CD4A53" w:rsidP="00CD4A53">
            <w:pPr>
              <w:jc w:val="center"/>
              <w:rPr>
                <w:rFonts w:cstheme="minorHAnsi"/>
                <w:color w:val="000000" w:themeColor="text1"/>
              </w:rPr>
            </w:pPr>
            <w:r w:rsidRPr="000F7621">
              <w:rPr>
                <w:rFonts w:cstheme="minorHAnsi"/>
                <w:color w:val="000000" w:themeColor="text1"/>
              </w:rPr>
              <w:t>0.22</w:t>
            </w:r>
          </w:p>
        </w:tc>
        <w:tc>
          <w:tcPr>
            <w:tcW w:w="571" w:type="pct"/>
            <w:noWrap/>
            <w:hideMark/>
          </w:tcPr>
          <w:p w14:paraId="32887585" w14:textId="77777777" w:rsidR="00CD4A53" w:rsidRPr="000F7621" w:rsidRDefault="00CD4A53" w:rsidP="00CD4A53">
            <w:pPr>
              <w:jc w:val="center"/>
              <w:rPr>
                <w:rFonts w:cstheme="minorHAnsi"/>
                <w:color w:val="000000" w:themeColor="text1"/>
              </w:rPr>
            </w:pPr>
            <w:r w:rsidRPr="000F7621">
              <w:rPr>
                <w:rFonts w:cstheme="minorHAnsi"/>
                <w:color w:val="000000" w:themeColor="text1"/>
              </w:rPr>
              <w:t>0.15</w:t>
            </w:r>
          </w:p>
        </w:tc>
        <w:tc>
          <w:tcPr>
            <w:tcW w:w="589" w:type="pct"/>
            <w:noWrap/>
            <w:hideMark/>
          </w:tcPr>
          <w:p w14:paraId="38113719" w14:textId="77777777" w:rsidR="00CD4A53" w:rsidRPr="000F7621" w:rsidRDefault="00CD4A53" w:rsidP="00CD4A53">
            <w:pPr>
              <w:jc w:val="center"/>
              <w:rPr>
                <w:rFonts w:cstheme="minorHAnsi"/>
                <w:color w:val="000000" w:themeColor="text1"/>
              </w:rPr>
            </w:pPr>
            <w:r w:rsidRPr="000F7621">
              <w:rPr>
                <w:rFonts w:cstheme="minorHAnsi"/>
                <w:color w:val="000000" w:themeColor="text1"/>
              </w:rPr>
              <w:t>0.31</w:t>
            </w:r>
          </w:p>
        </w:tc>
      </w:tr>
      <w:tr w:rsidR="00BA5C75" w:rsidRPr="00BA5C75" w14:paraId="3D4FAF85" w14:textId="77777777" w:rsidTr="00310F97">
        <w:trPr>
          <w:trHeight w:val="338"/>
        </w:trPr>
        <w:tc>
          <w:tcPr>
            <w:tcW w:w="258" w:type="pct"/>
            <w:noWrap/>
            <w:hideMark/>
          </w:tcPr>
          <w:p w14:paraId="2AF7D5A2" w14:textId="77777777" w:rsidR="00CD4A53" w:rsidRPr="000F7621" w:rsidRDefault="00CD4A53" w:rsidP="00CD4A53">
            <w:pPr>
              <w:rPr>
                <w:rFonts w:cstheme="minorHAnsi"/>
                <w:color w:val="000000" w:themeColor="text1"/>
              </w:rPr>
            </w:pPr>
            <w:r w:rsidRPr="000F7621">
              <w:rPr>
                <w:rFonts w:cstheme="minorHAnsi"/>
                <w:color w:val="000000" w:themeColor="text1"/>
              </w:rPr>
              <w:t>3</w:t>
            </w:r>
          </w:p>
        </w:tc>
        <w:tc>
          <w:tcPr>
            <w:tcW w:w="1674" w:type="pct"/>
            <w:noWrap/>
            <w:hideMark/>
          </w:tcPr>
          <w:p w14:paraId="00CB6885" w14:textId="1514FA2C" w:rsidR="00CD4A53" w:rsidRPr="000F7621" w:rsidRDefault="00CD4A53" w:rsidP="00CD4A53">
            <w:pPr>
              <w:rPr>
                <w:rFonts w:cstheme="minorHAnsi"/>
                <w:color w:val="000000" w:themeColor="text1"/>
              </w:rPr>
            </w:pPr>
            <w:r w:rsidRPr="000F7621">
              <w:rPr>
                <w:rFonts w:cstheme="minorHAnsi"/>
                <w:color w:val="000000" w:themeColor="text1"/>
              </w:rPr>
              <w:t>HMA plus Venetolcax</w:t>
            </w:r>
          </w:p>
        </w:tc>
        <w:tc>
          <w:tcPr>
            <w:tcW w:w="1200" w:type="pct"/>
            <w:noWrap/>
            <w:hideMark/>
          </w:tcPr>
          <w:p w14:paraId="1675606E" w14:textId="77777777" w:rsidR="00CD4A53" w:rsidRPr="000F7621" w:rsidRDefault="00CD4A53" w:rsidP="00CD4A53">
            <w:pPr>
              <w:jc w:val="center"/>
              <w:rPr>
                <w:rFonts w:cstheme="minorHAnsi"/>
                <w:color w:val="000000" w:themeColor="text1"/>
              </w:rPr>
            </w:pPr>
            <w:r w:rsidRPr="000F7621">
              <w:rPr>
                <w:rFonts w:cstheme="minorHAnsi"/>
                <w:color w:val="000000" w:themeColor="text1"/>
              </w:rPr>
              <w:t>12</w:t>
            </w:r>
          </w:p>
        </w:tc>
        <w:tc>
          <w:tcPr>
            <w:tcW w:w="708" w:type="pct"/>
            <w:noWrap/>
            <w:hideMark/>
          </w:tcPr>
          <w:p w14:paraId="30011296" w14:textId="77777777" w:rsidR="00CD4A53" w:rsidRPr="000F7621" w:rsidRDefault="00CD4A53" w:rsidP="00CD4A53">
            <w:pPr>
              <w:jc w:val="center"/>
              <w:rPr>
                <w:rFonts w:cstheme="minorHAnsi"/>
                <w:color w:val="000000" w:themeColor="text1"/>
              </w:rPr>
            </w:pPr>
            <w:r w:rsidRPr="000F7621">
              <w:rPr>
                <w:rFonts w:cstheme="minorHAnsi"/>
                <w:color w:val="000000" w:themeColor="text1"/>
              </w:rPr>
              <w:t>0.40</w:t>
            </w:r>
          </w:p>
        </w:tc>
        <w:tc>
          <w:tcPr>
            <w:tcW w:w="571" w:type="pct"/>
            <w:noWrap/>
            <w:hideMark/>
          </w:tcPr>
          <w:p w14:paraId="3432D36E" w14:textId="77777777" w:rsidR="00CD4A53" w:rsidRPr="000F7621" w:rsidRDefault="00CD4A53" w:rsidP="00CD4A53">
            <w:pPr>
              <w:jc w:val="center"/>
              <w:rPr>
                <w:rFonts w:cstheme="minorHAnsi"/>
                <w:color w:val="000000" w:themeColor="text1"/>
              </w:rPr>
            </w:pPr>
            <w:r w:rsidRPr="000F7621">
              <w:rPr>
                <w:rFonts w:cstheme="minorHAnsi"/>
                <w:color w:val="000000" w:themeColor="text1"/>
              </w:rPr>
              <w:t>0.27</w:t>
            </w:r>
          </w:p>
        </w:tc>
        <w:tc>
          <w:tcPr>
            <w:tcW w:w="589" w:type="pct"/>
            <w:noWrap/>
            <w:hideMark/>
          </w:tcPr>
          <w:p w14:paraId="1CE5F75F" w14:textId="77777777" w:rsidR="00CD4A53" w:rsidRPr="000F7621" w:rsidRDefault="00CD4A53" w:rsidP="00CD4A53">
            <w:pPr>
              <w:jc w:val="center"/>
              <w:rPr>
                <w:rFonts w:cstheme="minorHAnsi"/>
                <w:color w:val="000000" w:themeColor="text1"/>
              </w:rPr>
            </w:pPr>
            <w:r w:rsidRPr="000F7621">
              <w:rPr>
                <w:rFonts w:cstheme="minorHAnsi"/>
                <w:color w:val="000000" w:themeColor="text1"/>
              </w:rPr>
              <w:t>0.60</w:t>
            </w:r>
          </w:p>
        </w:tc>
      </w:tr>
      <w:tr w:rsidR="00C650CB" w:rsidRPr="00BA5C75" w14:paraId="1C24C69D" w14:textId="77777777" w:rsidTr="00310F97">
        <w:trPr>
          <w:trHeight w:val="338"/>
        </w:trPr>
        <w:tc>
          <w:tcPr>
            <w:tcW w:w="258" w:type="pct"/>
            <w:noWrap/>
            <w:hideMark/>
          </w:tcPr>
          <w:p w14:paraId="350D65C2" w14:textId="77777777" w:rsidR="00CD4A53" w:rsidRPr="000F7621" w:rsidRDefault="00CD4A53" w:rsidP="00CD4A53">
            <w:pPr>
              <w:rPr>
                <w:rFonts w:cstheme="minorHAnsi"/>
                <w:color w:val="000000" w:themeColor="text1"/>
              </w:rPr>
            </w:pPr>
            <w:r w:rsidRPr="000F7621">
              <w:rPr>
                <w:rFonts w:cstheme="minorHAnsi"/>
                <w:color w:val="000000" w:themeColor="text1"/>
              </w:rPr>
              <w:t>4</w:t>
            </w:r>
          </w:p>
        </w:tc>
        <w:tc>
          <w:tcPr>
            <w:tcW w:w="1674" w:type="pct"/>
            <w:noWrap/>
            <w:hideMark/>
          </w:tcPr>
          <w:p w14:paraId="5E059CF0" w14:textId="60CE1D9C" w:rsidR="00CD4A53" w:rsidRPr="000F7621" w:rsidRDefault="00CD4A53" w:rsidP="00CD4A53">
            <w:pPr>
              <w:rPr>
                <w:rFonts w:cstheme="minorHAnsi"/>
                <w:color w:val="000000" w:themeColor="text1"/>
              </w:rPr>
            </w:pPr>
            <w:r w:rsidRPr="000F7621">
              <w:rPr>
                <w:rFonts w:cstheme="minorHAnsi"/>
                <w:color w:val="000000" w:themeColor="text1"/>
              </w:rPr>
              <w:t>HMA plus Venetolcax</w:t>
            </w:r>
          </w:p>
        </w:tc>
        <w:tc>
          <w:tcPr>
            <w:tcW w:w="1200" w:type="pct"/>
            <w:noWrap/>
            <w:hideMark/>
          </w:tcPr>
          <w:p w14:paraId="18629EBF" w14:textId="77777777" w:rsidR="00CD4A53" w:rsidRPr="000F7621" w:rsidRDefault="00CD4A53" w:rsidP="00CD4A53">
            <w:pPr>
              <w:jc w:val="center"/>
              <w:rPr>
                <w:rFonts w:cstheme="minorHAnsi"/>
                <w:color w:val="000000" w:themeColor="text1"/>
              </w:rPr>
            </w:pPr>
            <w:r w:rsidRPr="000F7621">
              <w:rPr>
                <w:rFonts w:cstheme="minorHAnsi"/>
                <w:color w:val="000000" w:themeColor="text1"/>
              </w:rPr>
              <w:t>24</w:t>
            </w:r>
          </w:p>
        </w:tc>
        <w:tc>
          <w:tcPr>
            <w:tcW w:w="708" w:type="pct"/>
            <w:noWrap/>
            <w:hideMark/>
          </w:tcPr>
          <w:p w14:paraId="1A70CD05" w14:textId="77777777" w:rsidR="00CD4A53" w:rsidRPr="000F7621" w:rsidRDefault="00CD4A53" w:rsidP="00CD4A53">
            <w:pPr>
              <w:jc w:val="center"/>
              <w:rPr>
                <w:rFonts w:cstheme="minorHAnsi"/>
                <w:color w:val="000000" w:themeColor="text1"/>
              </w:rPr>
            </w:pPr>
            <w:r w:rsidRPr="000F7621">
              <w:rPr>
                <w:rFonts w:cstheme="minorHAnsi"/>
                <w:color w:val="000000" w:themeColor="text1"/>
              </w:rPr>
              <w:t>0.21</w:t>
            </w:r>
          </w:p>
        </w:tc>
        <w:tc>
          <w:tcPr>
            <w:tcW w:w="571" w:type="pct"/>
            <w:noWrap/>
            <w:hideMark/>
          </w:tcPr>
          <w:p w14:paraId="7476052A" w14:textId="77777777" w:rsidR="00CD4A53" w:rsidRPr="000F7621" w:rsidRDefault="00CD4A53" w:rsidP="00CD4A53">
            <w:pPr>
              <w:jc w:val="center"/>
              <w:rPr>
                <w:rFonts w:cstheme="minorHAnsi"/>
                <w:color w:val="000000" w:themeColor="text1"/>
              </w:rPr>
            </w:pPr>
            <w:r w:rsidRPr="000F7621">
              <w:rPr>
                <w:rFonts w:cstheme="minorHAnsi"/>
                <w:color w:val="000000" w:themeColor="text1"/>
              </w:rPr>
              <w:t>0.11</w:t>
            </w:r>
          </w:p>
        </w:tc>
        <w:tc>
          <w:tcPr>
            <w:tcW w:w="589" w:type="pct"/>
            <w:noWrap/>
            <w:hideMark/>
          </w:tcPr>
          <w:p w14:paraId="6EB11FFB" w14:textId="77777777" w:rsidR="00CD4A53" w:rsidRPr="000F7621" w:rsidRDefault="00CD4A53" w:rsidP="00CD4A53">
            <w:pPr>
              <w:jc w:val="center"/>
              <w:rPr>
                <w:rFonts w:cstheme="minorHAnsi"/>
                <w:color w:val="000000" w:themeColor="text1"/>
              </w:rPr>
            </w:pPr>
            <w:r w:rsidRPr="000F7621">
              <w:rPr>
                <w:rFonts w:cstheme="minorHAnsi"/>
                <w:color w:val="000000" w:themeColor="text1"/>
              </w:rPr>
              <w:t>0.41</w:t>
            </w:r>
          </w:p>
        </w:tc>
      </w:tr>
    </w:tbl>
    <w:p w14:paraId="6C4C5640" w14:textId="4795D71A" w:rsidR="00DA078B" w:rsidRPr="000F7621" w:rsidRDefault="00DA078B" w:rsidP="000763A0">
      <w:pPr>
        <w:rPr>
          <w:rFonts w:cstheme="minorHAnsi"/>
          <w:color w:val="000000" w:themeColor="text1"/>
        </w:rPr>
      </w:pPr>
    </w:p>
    <w:p w14:paraId="09A78737" w14:textId="7AFB07BB" w:rsidR="000B215D" w:rsidRPr="000F7621" w:rsidRDefault="000B215D" w:rsidP="00A675A2">
      <w:pPr>
        <w:rPr>
          <w:rFonts w:cstheme="minorHAnsi"/>
          <w:color w:val="000000" w:themeColor="text1"/>
        </w:rPr>
      </w:pPr>
    </w:p>
    <w:p w14:paraId="6BA998DE" w14:textId="39DA0705" w:rsidR="000B215D" w:rsidRPr="00E70DD9" w:rsidRDefault="00DD25BA" w:rsidP="4D0486C2">
      <w:pPr>
        <w:pStyle w:val="Caption"/>
        <w:keepNext/>
        <w:rPr>
          <w:color w:val="auto"/>
          <w:sz w:val="22"/>
          <w:szCs w:val="22"/>
        </w:rPr>
      </w:pPr>
      <w:r w:rsidRPr="000F7621">
        <w:rPr>
          <w:color w:val="000000" w:themeColor="text1"/>
          <w:sz w:val="22"/>
          <w:szCs w:val="22"/>
        </w:rPr>
        <w:t>e</w:t>
      </w:r>
      <w:r w:rsidR="677A6907" w:rsidRPr="000F7621">
        <w:rPr>
          <w:color w:val="000000" w:themeColor="text1"/>
          <w:sz w:val="22"/>
          <w:szCs w:val="22"/>
        </w:rPr>
        <w:t>Table</w:t>
      </w:r>
      <w:r w:rsidR="000B215D" w:rsidRPr="000F7621">
        <w:rPr>
          <w:color w:val="000000" w:themeColor="text1"/>
          <w:sz w:val="22"/>
          <w:szCs w:val="22"/>
        </w:rPr>
        <w:t xml:space="preserve"> </w:t>
      </w:r>
      <w:bookmarkStart w:id="6" w:name="_Hlk86152229"/>
      <w:r w:rsidR="00BA5C75" w:rsidRPr="000F7621">
        <w:rPr>
          <w:color w:val="000000" w:themeColor="text1"/>
          <w:sz w:val="22"/>
          <w:szCs w:val="22"/>
        </w:rPr>
        <w:t>4</w:t>
      </w:r>
      <w:r w:rsidR="00406BC4" w:rsidRPr="000F7621">
        <w:rPr>
          <w:color w:val="000000" w:themeColor="text1"/>
          <w:sz w:val="22"/>
          <w:szCs w:val="22"/>
        </w:rPr>
        <w:t xml:space="preserve">. </w:t>
      </w:r>
      <w:r w:rsidR="000B215D" w:rsidRPr="000F7621">
        <w:rPr>
          <w:color w:val="000000" w:themeColor="text1"/>
          <w:sz w:val="22"/>
          <w:szCs w:val="22"/>
        </w:rPr>
        <w:t xml:space="preserve">Adjusted </w:t>
      </w:r>
      <w:r w:rsidR="000B215D" w:rsidRPr="4D0486C2">
        <w:rPr>
          <w:color w:val="auto"/>
          <w:sz w:val="22"/>
          <w:szCs w:val="22"/>
        </w:rPr>
        <w:t xml:space="preserve">Event-free Survival at months 12 and 24  for AML patients treated with HMA vs. HMA plus </w:t>
      </w:r>
      <w:r w:rsidR="006C550D" w:rsidRPr="4D0486C2">
        <w:rPr>
          <w:color w:val="auto"/>
          <w:sz w:val="22"/>
          <w:szCs w:val="22"/>
        </w:rPr>
        <w:t>Venetoclax</w:t>
      </w:r>
      <w:bookmarkEnd w:id="6"/>
    </w:p>
    <w:tbl>
      <w:tblPr>
        <w:tblStyle w:val="TableGrid"/>
        <w:tblW w:w="5000" w:type="pct"/>
        <w:tblLook w:val="04A0" w:firstRow="1" w:lastRow="0" w:firstColumn="1" w:lastColumn="0" w:noHBand="0" w:noVBand="1"/>
      </w:tblPr>
      <w:tblGrid>
        <w:gridCol w:w="769"/>
        <w:gridCol w:w="5045"/>
        <w:gridCol w:w="1525"/>
        <w:gridCol w:w="2126"/>
        <w:gridCol w:w="1715"/>
        <w:gridCol w:w="1770"/>
      </w:tblGrid>
      <w:tr w:rsidR="00310F97" w:rsidRPr="00E70DD9" w14:paraId="0167040F" w14:textId="77777777" w:rsidTr="00310F97">
        <w:trPr>
          <w:trHeight w:val="290"/>
        </w:trPr>
        <w:tc>
          <w:tcPr>
            <w:tcW w:w="300" w:type="pct"/>
            <w:noWrap/>
            <w:hideMark/>
          </w:tcPr>
          <w:p w14:paraId="0BB37230" w14:textId="77777777" w:rsidR="00310F97" w:rsidRPr="00E70DD9" w:rsidRDefault="00310F97" w:rsidP="00310F97">
            <w:pPr>
              <w:rPr>
                <w:rFonts w:cstheme="minorHAnsi"/>
              </w:rPr>
            </w:pPr>
          </w:p>
        </w:tc>
        <w:tc>
          <w:tcPr>
            <w:tcW w:w="1951" w:type="pct"/>
            <w:noWrap/>
            <w:hideMark/>
          </w:tcPr>
          <w:p w14:paraId="7E3059D9" w14:textId="77777777" w:rsidR="00310F97" w:rsidRPr="00E70DD9" w:rsidRDefault="00310F97" w:rsidP="00310F97">
            <w:pPr>
              <w:rPr>
                <w:rFonts w:cstheme="minorHAnsi"/>
              </w:rPr>
            </w:pPr>
            <w:r w:rsidRPr="00E70DD9">
              <w:rPr>
                <w:rFonts w:cstheme="minorHAnsi"/>
              </w:rPr>
              <w:t>strata</w:t>
            </w:r>
          </w:p>
        </w:tc>
        <w:tc>
          <w:tcPr>
            <w:tcW w:w="573" w:type="pct"/>
            <w:noWrap/>
            <w:hideMark/>
          </w:tcPr>
          <w:p w14:paraId="1FF3E5CD" w14:textId="2CB455F1" w:rsidR="00310F97" w:rsidRPr="00E70DD9" w:rsidRDefault="00310F97" w:rsidP="00310F97">
            <w:pPr>
              <w:jc w:val="center"/>
              <w:rPr>
                <w:rFonts w:cstheme="minorHAnsi"/>
              </w:rPr>
            </w:pPr>
            <w:r w:rsidRPr="00E70DD9">
              <w:rPr>
                <w:rFonts w:cstheme="minorHAnsi"/>
              </w:rPr>
              <w:t>Time (months)</w:t>
            </w:r>
          </w:p>
        </w:tc>
        <w:tc>
          <w:tcPr>
            <w:tcW w:w="824" w:type="pct"/>
            <w:noWrap/>
            <w:hideMark/>
          </w:tcPr>
          <w:p w14:paraId="6AC3A8A3" w14:textId="67F5A55A" w:rsidR="00310F97" w:rsidRPr="00E70DD9" w:rsidRDefault="00310F97" w:rsidP="00310F97">
            <w:pPr>
              <w:jc w:val="center"/>
              <w:rPr>
                <w:rFonts w:cstheme="minorHAnsi"/>
              </w:rPr>
            </w:pPr>
            <w:r>
              <w:rPr>
                <w:rFonts w:cstheme="minorHAnsi"/>
              </w:rPr>
              <w:t>S</w:t>
            </w:r>
            <w:r w:rsidRPr="00E70DD9">
              <w:rPr>
                <w:rFonts w:cstheme="minorHAnsi"/>
              </w:rPr>
              <w:t>urvival</w:t>
            </w:r>
          </w:p>
        </w:tc>
        <w:tc>
          <w:tcPr>
            <w:tcW w:w="665" w:type="pct"/>
            <w:noWrap/>
            <w:hideMark/>
          </w:tcPr>
          <w:p w14:paraId="6F2953C6" w14:textId="74BE2690" w:rsidR="00310F97" w:rsidRPr="00E70DD9" w:rsidRDefault="00310F97" w:rsidP="00310F97">
            <w:pPr>
              <w:jc w:val="center"/>
              <w:rPr>
                <w:rFonts w:cstheme="minorHAnsi"/>
              </w:rPr>
            </w:pPr>
            <w:r w:rsidRPr="00E70DD9">
              <w:rPr>
                <w:rFonts w:cstheme="minorHAnsi"/>
              </w:rPr>
              <w:t>Lower</w:t>
            </w:r>
            <w:r>
              <w:rPr>
                <w:rFonts w:cstheme="minorHAnsi"/>
              </w:rPr>
              <w:t xml:space="preserve"> CI</w:t>
            </w:r>
          </w:p>
        </w:tc>
        <w:tc>
          <w:tcPr>
            <w:tcW w:w="686" w:type="pct"/>
            <w:noWrap/>
            <w:hideMark/>
          </w:tcPr>
          <w:p w14:paraId="1F7FB59D" w14:textId="7F02081D" w:rsidR="00310F97" w:rsidRPr="00E70DD9" w:rsidRDefault="00310F97" w:rsidP="00310F97">
            <w:pPr>
              <w:jc w:val="center"/>
              <w:rPr>
                <w:rFonts w:cstheme="minorHAnsi"/>
              </w:rPr>
            </w:pPr>
            <w:r w:rsidRPr="00E70DD9">
              <w:rPr>
                <w:rFonts w:cstheme="minorHAnsi"/>
              </w:rPr>
              <w:t>Upper</w:t>
            </w:r>
            <w:r>
              <w:rPr>
                <w:rFonts w:cstheme="minorHAnsi"/>
              </w:rPr>
              <w:t xml:space="preserve"> CI</w:t>
            </w:r>
          </w:p>
        </w:tc>
      </w:tr>
      <w:tr w:rsidR="005B2E55" w:rsidRPr="00E70DD9" w14:paraId="5E9BF4D7" w14:textId="77777777" w:rsidTr="00310F97">
        <w:trPr>
          <w:trHeight w:val="290"/>
        </w:trPr>
        <w:tc>
          <w:tcPr>
            <w:tcW w:w="300" w:type="pct"/>
            <w:noWrap/>
            <w:hideMark/>
          </w:tcPr>
          <w:p w14:paraId="68135384" w14:textId="77777777" w:rsidR="000B215D" w:rsidRPr="00E70DD9" w:rsidRDefault="000B215D" w:rsidP="000B215D">
            <w:pPr>
              <w:rPr>
                <w:rFonts w:cstheme="minorHAnsi"/>
              </w:rPr>
            </w:pPr>
            <w:r w:rsidRPr="00E70DD9">
              <w:rPr>
                <w:rFonts w:cstheme="minorHAnsi"/>
              </w:rPr>
              <w:t>1</w:t>
            </w:r>
          </w:p>
        </w:tc>
        <w:tc>
          <w:tcPr>
            <w:tcW w:w="1951" w:type="pct"/>
            <w:noWrap/>
            <w:hideMark/>
          </w:tcPr>
          <w:p w14:paraId="4877E544" w14:textId="0672A212" w:rsidR="000B215D" w:rsidRPr="00E70DD9" w:rsidRDefault="000B215D" w:rsidP="000B215D">
            <w:pPr>
              <w:rPr>
                <w:rFonts w:cstheme="minorHAnsi"/>
              </w:rPr>
            </w:pPr>
            <w:r w:rsidRPr="00E70DD9">
              <w:rPr>
                <w:rFonts w:cstheme="minorHAnsi"/>
              </w:rPr>
              <w:t>HMA</w:t>
            </w:r>
          </w:p>
        </w:tc>
        <w:tc>
          <w:tcPr>
            <w:tcW w:w="573" w:type="pct"/>
            <w:noWrap/>
            <w:hideMark/>
          </w:tcPr>
          <w:p w14:paraId="3AA33FBD" w14:textId="77777777" w:rsidR="000B215D" w:rsidRPr="00E70DD9" w:rsidRDefault="000B215D" w:rsidP="00310F97">
            <w:pPr>
              <w:jc w:val="center"/>
              <w:rPr>
                <w:rFonts w:cstheme="minorHAnsi"/>
              </w:rPr>
            </w:pPr>
            <w:r w:rsidRPr="00E70DD9">
              <w:rPr>
                <w:rFonts w:cstheme="minorHAnsi"/>
              </w:rPr>
              <w:t>12</w:t>
            </w:r>
          </w:p>
        </w:tc>
        <w:tc>
          <w:tcPr>
            <w:tcW w:w="824" w:type="pct"/>
            <w:noWrap/>
            <w:hideMark/>
          </w:tcPr>
          <w:p w14:paraId="23D10DED" w14:textId="77777777" w:rsidR="000B215D" w:rsidRPr="00E70DD9" w:rsidRDefault="000B215D" w:rsidP="00310F97">
            <w:pPr>
              <w:jc w:val="center"/>
              <w:rPr>
                <w:rFonts w:cstheme="minorHAnsi"/>
              </w:rPr>
            </w:pPr>
            <w:r w:rsidRPr="00E70DD9">
              <w:rPr>
                <w:rFonts w:cstheme="minorHAnsi"/>
              </w:rPr>
              <w:t>0.23</w:t>
            </w:r>
          </w:p>
        </w:tc>
        <w:tc>
          <w:tcPr>
            <w:tcW w:w="665" w:type="pct"/>
            <w:noWrap/>
            <w:hideMark/>
          </w:tcPr>
          <w:p w14:paraId="261015E4" w14:textId="77777777" w:rsidR="000B215D" w:rsidRPr="00E70DD9" w:rsidRDefault="000B215D" w:rsidP="00310F97">
            <w:pPr>
              <w:jc w:val="center"/>
              <w:rPr>
                <w:rFonts w:cstheme="minorHAnsi"/>
              </w:rPr>
            </w:pPr>
            <w:r w:rsidRPr="00E70DD9">
              <w:rPr>
                <w:rFonts w:cstheme="minorHAnsi"/>
              </w:rPr>
              <w:t>0.16</w:t>
            </w:r>
          </w:p>
        </w:tc>
        <w:tc>
          <w:tcPr>
            <w:tcW w:w="686" w:type="pct"/>
            <w:noWrap/>
            <w:hideMark/>
          </w:tcPr>
          <w:p w14:paraId="522488AB" w14:textId="77777777" w:rsidR="000B215D" w:rsidRPr="00E70DD9" w:rsidRDefault="000B215D" w:rsidP="00310F97">
            <w:pPr>
              <w:jc w:val="center"/>
              <w:rPr>
                <w:rFonts w:cstheme="minorHAnsi"/>
              </w:rPr>
            </w:pPr>
            <w:r w:rsidRPr="00E70DD9">
              <w:rPr>
                <w:rFonts w:cstheme="minorHAnsi"/>
              </w:rPr>
              <w:t>0.32</w:t>
            </w:r>
          </w:p>
        </w:tc>
      </w:tr>
      <w:tr w:rsidR="005B2E55" w:rsidRPr="00E70DD9" w14:paraId="6A294319" w14:textId="77777777" w:rsidTr="00310F97">
        <w:trPr>
          <w:trHeight w:val="290"/>
        </w:trPr>
        <w:tc>
          <w:tcPr>
            <w:tcW w:w="300" w:type="pct"/>
            <w:noWrap/>
            <w:hideMark/>
          </w:tcPr>
          <w:p w14:paraId="200CCB74" w14:textId="77777777" w:rsidR="000B215D" w:rsidRPr="00E70DD9" w:rsidRDefault="000B215D" w:rsidP="000B215D">
            <w:pPr>
              <w:rPr>
                <w:rFonts w:cstheme="minorHAnsi"/>
              </w:rPr>
            </w:pPr>
            <w:r w:rsidRPr="00E70DD9">
              <w:rPr>
                <w:rFonts w:cstheme="minorHAnsi"/>
              </w:rPr>
              <w:t>2</w:t>
            </w:r>
          </w:p>
        </w:tc>
        <w:tc>
          <w:tcPr>
            <w:tcW w:w="1951" w:type="pct"/>
            <w:noWrap/>
            <w:hideMark/>
          </w:tcPr>
          <w:p w14:paraId="25E5D179" w14:textId="76C0481B" w:rsidR="000B215D" w:rsidRPr="00E70DD9" w:rsidRDefault="000B215D" w:rsidP="000B215D">
            <w:pPr>
              <w:rPr>
                <w:rFonts w:cstheme="minorHAnsi"/>
              </w:rPr>
            </w:pPr>
            <w:r w:rsidRPr="00E70DD9">
              <w:rPr>
                <w:rFonts w:cstheme="minorHAnsi"/>
              </w:rPr>
              <w:t>HMA</w:t>
            </w:r>
          </w:p>
        </w:tc>
        <w:tc>
          <w:tcPr>
            <w:tcW w:w="573" w:type="pct"/>
            <w:noWrap/>
            <w:hideMark/>
          </w:tcPr>
          <w:p w14:paraId="7CA1C880" w14:textId="77777777" w:rsidR="000B215D" w:rsidRPr="00E70DD9" w:rsidRDefault="000B215D" w:rsidP="00310F97">
            <w:pPr>
              <w:jc w:val="center"/>
              <w:rPr>
                <w:rFonts w:cstheme="minorHAnsi"/>
              </w:rPr>
            </w:pPr>
            <w:r w:rsidRPr="00E70DD9">
              <w:rPr>
                <w:rFonts w:cstheme="minorHAnsi"/>
              </w:rPr>
              <w:t>24</w:t>
            </w:r>
          </w:p>
        </w:tc>
        <w:tc>
          <w:tcPr>
            <w:tcW w:w="824" w:type="pct"/>
            <w:noWrap/>
            <w:hideMark/>
          </w:tcPr>
          <w:p w14:paraId="6595C385" w14:textId="77777777" w:rsidR="000B215D" w:rsidRPr="00E70DD9" w:rsidRDefault="000B215D" w:rsidP="00310F97">
            <w:pPr>
              <w:jc w:val="center"/>
              <w:rPr>
                <w:rFonts w:cstheme="minorHAnsi"/>
              </w:rPr>
            </w:pPr>
            <w:r w:rsidRPr="00E70DD9">
              <w:rPr>
                <w:rFonts w:cstheme="minorHAnsi"/>
              </w:rPr>
              <w:t>0.13</w:t>
            </w:r>
          </w:p>
        </w:tc>
        <w:tc>
          <w:tcPr>
            <w:tcW w:w="665" w:type="pct"/>
            <w:noWrap/>
            <w:hideMark/>
          </w:tcPr>
          <w:p w14:paraId="3D7AAA3F" w14:textId="77777777" w:rsidR="000B215D" w:rsidRPr="00E70DD9" w:rsidRDefault="000B215D" w:rsidP="00310F97">
            <w:pPr>
              <w:jc w:val="center"/>
              <w:rPr>
                <w:rFonts w:cstheme="minorHAnsi"/>
              </w:rPr>
            </w:pPr>
            <w:r w:rsidRPr="00E70DD9">
              <w:rPr>
                <w:rFonts w:cstheme="minorHAnsi"/>
              </w:rPr>
              <w:t>0.08</w:t>
            </w:r>
          </w:p>
        </w:tc>
        <w:tc>
          <w:tcPr>
            <w:tcW w:w="686" w:type="pct"/>
            <w:noWrap/>
            <w:hideMark/>
          </w:tcPr>
          <w:p w14:paraId="25E20011" w14:textId="77777777" w:rsidR="000B215D" w:rsidRPr="00E70DD9" w:rsidRDefault="000B215D" w:rsidP="00310F97">
            <w:pPr>
              <w:jc w:val="center"/>
              <w:rPr>
                <w:rFonts w:cstheme="minorHAnsi"/>
              </w:rPr>
            </w:pPr>
            <w:r w:rsidRPr="00E70DD9">
              <w:rPr>
                <w:rFonts w:cstheme="minorHAnsi"/>
              </w:rPr>
              <w:t>0.22</w:t>
            </w:r>
          </w:p>
        </w:tc>
      </w:tr>
      <w:tr w:rsidR="005B2E55" w:rsidRPr="00E70DD9" w14:paraId="59480191" w14:textId="77777777" w:rsidTr="00310F97">
        <w:trPr>
          <w:trHeight w:val="290"/>
        </w:trPr>
        <w:tc>
          <w:tcPr>
            <w:tcW w:w="300" w:type="pct"/>
            <w:noWrap/>
            <w:hideMark/>
          </w:tcPr>
          <w:p w14:paraId="4BFFF564" w14:textId="77777777" w:rsidR="000B215D" w:rsidRPr="00E70DD9" w:rsidRDefault="000B215D" w:rsidP="000B215D">
            <w:pPr>
              <w:rPr>
                <w:rFonts w:cstheme="minorHAnsi"/>
              </w:rPr>
            </w:pPr>
            <w:r w:rsidRPr="00E70DD9">
              <w:rPr>
                <w:rFonts w:cstheme="minorHAnsi"/>
              </w:rPr>
              <w:t>3</w:t>
            </w:r>
          </w:p>
        </w:tc>
        <w:tc>
          <w:tcPr>
            <w:tcW w:w="1951" w:type="pct"/>
            <w:noWrap/>
            <w:hideMark/>
          </w:tcPr>
          <w:p w14:paraId="3575D8F7" w14:textId="499B1D28" w:rsidR="000B215D" w:rsidRPr="00E70DD9" w:rsidRDefault="000B215D" w:rsidP="000B215D">
            <w:pPr>
              <w:rPr>
                <w:rFonts w:cstheme="minorHAnsi"/>
              </w:rPr>
            </w:pPr>
            <w:r w:rsidRPr="00E70DD9">
              <w:rPr>
                <w:rFonts w:cstheme="minorHAnsi"/>
              </w:rPr>
              <w:t>HMA plus Venetolcax</w:t>
            </w:r>
          </w:p>
        </w:tc>
        <w:tc>
          <w:tcPr>
            <w:tcW w:w="573" w:type="pct"/>
            <w:noWrap/>
            <w:hideMark/>
          </w:tcPr>
          <w:p w14:paraId="05115B31" w14:textId="77777777" w:rsidR="000B215D" w:rsidRPr="00E70DD9" w:rsidRDefault="000B215D" w:rsidP="00310F97">
            <w:pPr>
              <w:jc w:val="center"/>
              <w:rPr>
                <w:rFonts w:cstheme="minorHAnsi"/>
              </w:rPr>
            </w:pPr>
            <w:r w:rsidRPr="00E70DD9">
              <w:rPr>
                <w:rFonts w:cstheme="minorHAnsi"/>
              </w:rPr>
              <w:t>12</w:t>
            </w:r>
          </w:p>
        </w:tc>
        <w:tc>
          <w:tcPr>
            <w:tcW w:w="824" w:type="pct"/>
            <w:noWrap/>
            <w:hideMark/>
          </w:tcPr>
          <w:p w14:paraId="05E42A04" w14:textId="77777777" w:rsidR="000B215D" w:rsidRPr="00E70DD9" w:rsidRDefault="000B215D" w:rsidP="00310F97">
            <w:pPr>
              <w:jc w:val="center"/>
              <w:rPr>
                <w:rFonts w:cstheme="minorHAnsi"/>
              </w:rPr>
            </w:pPr>
            <w:r w:rsidRPr="00E70DD9">
              <w:rPr>
                <w:rFonts w:cstheme="minorHAnsi"/>
              </w:rPr>
              <w:t>0.28</w:t>
            </w:r>
          </w:p>
        </w:tc>
        <w:tc>
          <w:tcPr>
            <w:tcW w:w="665" w:type="pct"/>
            <w:noWrap/>
            <w:hideMark/>
          </w:tcPr>
          <w:p w14:paraId="1D2C8C4F" w14:textId="77777777" w:rsidR="000B215D" w:rsidRPr="00E70DD9" w:rsidRDefault="000B215D" w:rsidP="00310F97">
            <w:pPr>
              <w:jc w:val="center"/>
              <w:rPr>
                <w:rFonts w:cstheme="minorHAnsi"/>
              </w:rPr>
            </w:pPr>
            <w:r w:rsidRPr="00E70DD9">
              <w:rPr>
                <w:rFonts w:cstheme="minorHAnsi"/>
              </w:rPr>
              <w:t>0.17</w:t>
            </w:r>
          </w:p>
        </w:tc>
        <w:tc>
          <w:tcPr>
            <w:tcW w:w="686" w:type="pct"/>
            <w:noWrap/>
            <w:hideMark/>
          </w:tcPr>
          <w:p w14:paraId="510F76A9" w14:textId="77777777" w:rsidR="000B215D" w:rsidRPr="00E70DD9" w:rsidRDefault="000B215D" w:rsidP="00310F97">
            <w:pPr>
              <w:jc w:val="center"/>
              <w:rPr>
                <w:rFonts w:cstheme="minorHAnsi"/>
              </w:rPr>
            </w:pPr>
            <w:r w:rsidRPr="00E70DD9">
              <w:rPr>
                <w:rFonts w:cstheme="minorHAnsi"/>
              </w:rPr>
              <w:t>0.48</w:t>
            </w:r>
          </w:p>
        </w:tc>
      </w:tr>
      <w:tr w:rsidR="005B2E55" w:rsidRPr="00E70DD9" w14:paraId="4F6A7A3F" w14:textId="77777777" w:rsidTr="00310F97">
        <w:trPr>
          <w:trHeight w:val="290"/>
        </w:trPr>
        <w:tc>
          <w:tcPr>
            <w:tcW w:w="300" w:type="pct"/>
            <w:noWrap/>
            <w:hideMark/>
          </w:tcPr>
          <w:p w14:paraId="3A70FF27" w14:textId="3CBC2404" w:rsidR="000B215D" w:rsidRPr="00E70DD9" w:rsidRDefault="000B215D" w:rsidP="000B215D">
            <w:pPr>
              <w:rPr>
                <w:rFonts w:cstheme="minorHAnsi"/>
              </w:rPr>
            </w:pPr>
          </w:p>
        </w:tc>
        <w:tc>
          <w:tcPr>
            <w:tcW w:w="1951" w:type="pct"/>
            <w:noWrap/>
            <w:hideMark/>
          </w:tcPr>
          <w:p w14:paraId="1BF94F17" w14:textId="5EBA705B" w:rsidR="000B215D" w:rsidRPr="00E70DD9" w:rsidRDefault="000B215D" w:rsidP="000B215D">
            <w:pPr>
              <w:rPr>
                <w:rFonts w:cstheme="minorHAnsi"/>
              </w:rPr>
            </w:pPr>
            <w:r w:rsidRPr="00E70DD9">
              <w:rPr>
                <w:rFonts w:cstheme="minorHAnsi"/>
              </w:rPr>
              <w:t>HMA plus Venetolcax</w:t>
            </w:r>
          </w:p>
        </w:tc>
        <w:tc>
          <w:tcPr>
            <w:tcW w:w="573" w:type="pct"/>
            <w:noWrap/>
            <w:hideMark/>
          </w:tcPr>
          <w:p w14:paraId="465BE99D" w14:textId="77777777" w:rsidR="000B215D" w:rsidRPr="00E70DD9" w:rsidRDefault="000B215D" w:rsidP="00310F97">
            <w:pPr>
              <w:jc w:val="center"/>
              <w:rPr>
                <w:rFonts w:cstheme="minorHAnsi"/>
              </w:rPr>
            </w:pPr>
            <w:r w:rsidRPr="00E70DD9">
              <w:rPr>
                <w:rFonts w:cstheme="minorHAnsi"/>
              </w:rPr>
              <w:t>24</w:t>
            </w:r>
          </w:p>
        </w:tc>
        <w:tc>
          <w:tcPr>
            <w:tcW w:w="824" w:type="pct"/>
            <w:noWrap/>
            <w:hideMark/>
          </w:tcPr>
          <w:p w14:paraId="4F1E1815" w14:textId="77777777" w:rsidR="000B215D" w:rsidRPr="00E70DD9" w:rsidRDefault="000B215D" w:rsidP="00310F97">
            <w:pPr>
              <w:jc w:val="center"/>
              <w:rPr>
                <w:rFonts w:cstheme="minorHAnsi"/>
              </w:rPr>
            </w:pPr>
            <w:r w:rsidRPr="00E70DD9">
              <w:rPr>
                <w:rFonts w:cstheme="minorHAnsi"/>
              </w:rPr>
              <w:t>0.22</w:t>
            </w:r>
          </w:p>
        </w:tc>
        <w:tc>
          <w:tcPr>
            <w:tcW w:w="665" w:type="pct"/>
            <w:noWrap/>
            <w:hideMark/>
          </w:tcPr>
          <w:p w14:paraId="508EB49F" w14:textId="77777777" w:rsidR="000B215D" w:rsidRPr="00E70DD9" w:rsidRDefault="000B215D" w:rsidP="00310F97">
            <w:pPr>
              <w:jc w:val="center"/>
              <w:rPr>
                <w:rFonts w:cstheme="minorHAnsi"/>
              </w:rPr>
            </w:pPr>
            <w:r w:rsidRPr="00E70DD9">
              <w:rPr>
                <w:rFonts w:cstheme="minorHAnsi"/>
              </w:rPr>
              <w:t>0.12</w:t>
            </w:r>
          </w:p>
        </w:tc>
        <w:tc>
          <w:tcPr>
            <w:tcW w:w="686" w:type="pct"/>
            <w:noWrap/>
            <w:hideMark/>
          </w:tcPr>
          <w:p w14:paraId="0DB40D2F" w14:textId="77777777" w:rsidR="000B215D" w:rsidRPr="00E70DD9" w:rsidRDefault="000B215D" w:rsidP="00310F97">
            <w:pPr>
              <w:jc w:val="center"/>
              <w:rPr>
                <w:rFonts w:cstheme="minorHAnsi"/>
              </w:rPr>
            </w:pPr>
            <w:r w:rsidRPr="00E70DD9">
              <w:rPr>
                <w:rFonts w:cstheme="minorHAnsi"/>
              </w:rPr>
              <w:t>0.42</w:t>
            </w:r>
          </w:p>
        </w:tc>
      </w:tr>
    </w:tbl>
    <w:p w14:paraId="04AB2C71" w14:textId="4E66D4E9" w:rsidR="00DD25BA" w:rsidRDefault="00DD25BA" w:rsidP="009D2BD6"/>
    <w:p w14:paraId="5A02C722" w14:textId="040605DD" w:rsidR="009D2BD6" w:rsidRDefault="009D2BD6" w:rsidP="009D2BD6"/>
    <w:p w14:paraId="761B9100" w14:textId="1FD2A55A" w:rsidR="009D2BD6" w:rsidRDefault="009D2BD6" w:rsidP="009D2BD6"/>
    <w:p w14:paraId="6F1E4369" w14:textId="51B57288" w:rsidR="009D2BD6" w:rsidRDefault="009D2BD6" w:rsidP="009D2BD6"/>
    <w:p w14:paraId="442D61E8" w14:textId="436B2B10" w:rsidR="009D2BD6" w:rsidRDefault="009D2BD6" w:rsidP="009D2BD6">
      <w:pPr>
        <w:rPr>
          <w:rFonts w:eastAsiaTheme="majorEastAsia"/>
          <w:color w:val="2F5496" w:themeColor="accent1" w:themeShade="BF"/>
          <w:sz w:val="28"/>
          <w:szCs w:val="28"/>
        </w:rPr>
      </w:pPr>
    </w:p>
    <w:p w14:paraId="015FD956" w14:textId="7EE4F03B" w:rsidR="009D2BD6" w:rsidRDefault="009D2BD6" w:rsidP="009D2BD6">
      <w:pPr>
        <w:rPr>
          <w:rFonts w:eastAsiaTheme="majorEastAsia"/>
          <w:color w:val="2F5496" w:themeColor="accent1" w:themeShade="BF"/>
          <w:sz w:val="28"/>
          <w:szCs w:val="28"/>
        </w:rPr>
      </w:pPr>
    </w:p>
    <w:p w14:paraId="2FE0F5BB" w14:textId="77777777" w:rsidR="009D2BD6" w:rsidRDefault="009D2BD6" w:rsidP="009D2BD6">
      <w:pPr>
        <w:rPr>
          <w:rFonts w:eastAsiaTheme="majorEastAsia"/>
          <w:color w:val="2F5496" w:themeColor="accent1" w:themeShade="BF"/>
          <w:sz w:val="28"/>
          <w:szCs w:val="28"/>
        </w:rPr>
      </w:pPr>
    </w:p>
    <w:p w14:paraId="7731BF9F" w14:textId="77777777" w:rsidR="009D2BD6" w:rsidRDefault="009D2BD6" w:rsidP="009D2BD6">
      <w:pPr>
        <w:keepNext/>
        <w:keepLines/>
        <w:spacing w:before="240" w:after="0"/>
        <w:outlineLvl w:val="0"/>
        <w:rPr>
          <w:rFonts w:eastAsiaTheme="majorEastAsia" w:cstheme="minorHAnsi"/>
          <w:color w:val="2F5496" w:themeColor="accent1" w:themeShade="BF"/>
          <w:sz w:val="28"/>
          <w:szCs w:val="28"/>
        </w:rPr>
      </w:pPr>
    </w:p>
    <w:p w14:paraId="413E931A" w14:textId="468BAB27" w:rsidR="009D2BD6" w:rsidRDefault="00DD25BA" w:rsidP="009D2BD6">
      <w:pPr>
        <w:keepNext/>
        <w:keepLines/>
        <w:spacing w:before="240" w:after="0"/>
        <w:outlineLvl w:val="0"/>
        <w:rPr>
          <w:rFonts w:eastAsiaTheme="majorEastAsia" w:cstheme="minorHAnsi"/>
          <w:color w:val="2F5496" w:themeColor="accent1" w:themeShade="BF"/>
          <w:sz w:val="28"/>
          <w:szCs w:val="28"/>
        </w:rPr>
      </w:pPr>
      <w:bookmarkStart w:id="7" w:name="_Toc96864834"/>
      <w:r>
        <w:rPr>
          <w:rFonts w:eastAsiaTheme="majorEastAsia" w:cstheme="minorHAnsi"/>
          <w:color w:val="2F5496" w:themeColor="accent1" w:themeShade="BF"/>
          <w:sz w:val="28"/>
          <w:szCs w:val="28"/>
        </w:rPr>
        <w:t>Azacitidine</w:t>
      </w:r>
      <w:r w:rsidRPr="00E70DD9">
        <w:rPr>
          <w:rFonts w:eastAsiaTheme="majorEastAsia" w:cstheme="minorHAnsi"/>
          <w:color w:val="2F5496" w:themeColor="accent1" w:themeShade="BF"/>
          <w:sz w:val="28"/>
          <w:szCs w:val="28"/>
        </w:rPr>
        <w:t xml:space="preserve"> vs. </w:t>
      </w:r>
      <w:r>
        <w:rPr>
          <w:rFonts w:eastAsiaTheme="majorEastAsia" w:cstheme="minorHAnsi"/>
          <w:color w:val="2F5496" w:themeColor="accent1" w:themeShade="BF"/>
          <w:sz w:val="28"/>
          <w:szCs w:val="28"/>
        </w:rPr>
        <w:t>Azacitidine</w:t>
      </w:r>
      <w:r w:rsidRPr="00E70DD9">
        <w:rPr>
          <w:rFonts w:eastAsiaTheme="majorEastAsia" w:cstheme="minorHAnsi"/>
          <w:color w:val="2F5496" w:themeColor="accent1" w:themeShade="BF"/>
          <w:sz w:val="28"/>
          <w:szCs w:val="28"/>
        </w:rPr>
        <w:t xml:space="preserve"> with </w:t>
      </w:r>
      <w:r>
        <w:rPr>
          <w:rFonts w:eastAsiaTheme="majorEastAsia" w:cstheme="minorHAnsi"/>
          <w:color w:val="2F5496" w:themeColor="accent1" w:themeShade="BF"/>
          <w:sz w:val="28"/>
          <w:szCs w:val="28"/>
        </w:rPr>
        <w:t>Venetoclax</w:t>
      </w:r>
      <w:bookmarkEnd w:id="7"/>
    </w:p>
    <w:p w14:paraId="202A5DE7" w14:textId="77777777" w:rsidR="009D2BD6" w:rsidRDefault="009D2BD6" w:rsidP="009D2BD6"/>
    <w:p w14:paraId="36A1EBEF" w14:textId="6263CED0" w:rsidR="00DD25BA" w:rsidRPr="009D2BD6" w:rsidRDefault="00DD25BA" w:rsidP="009D2BD6">
      <w:pPr>
        <w:rPr>
          <w:rFonts w:eastAsiaTheme="majorEastAsia"/>
          <w:i/>
          <w:iCs/>
          <w:color w:val="2F5496" w:themeColor="accent1" w:themeShade="BF"/>
          <w:sz w:val="28"/>
          <w:szCs w:val="28"/>
        </w:rPr>
      </w:pPr>
      <w:r w:rsidRPr="009D2BD6">
        <w:rPr>
          <w:i/>
          <w:iCs/>
        </w:rPr>
        <w:t>eFigure 2.  Covariate balance before and after propensity score weighting</w:t>
      </w:r>
    </w:p>
    <w:p w14:paraId="4E9E305A" w14:textId="16CC2FE8" w:rsidR="009D2BD6" w:rsidRDefault="009D2BD6" w:rsidP="00DD25BA">
      <w:pPr>
        <w:rPr>
          <w:noProof/>
        </w:rPr>
      </w:pPr>
      <w:r>
        <w:rPr>
          <w:noProof/>
        </w:rPr>
        <w:drawing>
          <wp:inline distT="0" distB="0" distL="0" distR="0" wp14:anchorId="325697F2" wp14:editId="3F0FEF63">
            <wp:extent cx="6527321" cy="4324350"/>
            <wp:effectExtent l="0" t="0" r="6985" b="0"/>
            <wp:docPr id="1028057519" name="Picture 10280575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6540650" cy="4333181"/>
                    </a:xfrm>
                    <a:prstGeom prst="rect">
                      <a:avLst/>
                    </a:prstGeom>
                  </pic:spPr>
                </pic:pic>
              </a:graphicData>
            </a:graphic>
          </wp:inline>
        </w:drawing>
      </w:r>
    </w:p>
    <w:p w14:paraId="491B3DE2" w14:textId="2F523C7E" w:rsidR="009D2BD6" w:rsidRDefault="009D2BD6" w:rsidP="009D2BD6"/>
    <w:p w14:paraId="00E78538" w14:textId="28801BA1" w:rsidR="009D2BD6" w:rsidRDefault="009D2BD6" w:rsidP="009D2BD6"/>
    <w:p w14:paraId="55B0B818" w14:textId="77777777" w:rsidR="009D2BD6" w:rsidRPr="000F7621" w:rsidRDefault="009D2BD6" w:rsidP="009D2BD6">
      <w:pPr>
        <w:rPr>
          <w:color w:val="000000" w:themeColor="text1"/>
        </w:rPr>
      </w:pPr>
    </w:p>
    <w:p w14:paraId="5A876B07" w14:textId="4D729AF9" w:rsidR="00DD25BA" w:rsidRPr="000F7621" w:rsidRDefault="00DD25BA" w:rsidP="00DD25BA">
      <w:pPr>
        <w:pStyle w:val="Caption"/>
        <w:keepNext/>
        <w:rPr>
          <w:color w:val="000000" w:themeColor="text1"/>
          <w:sz w:val="22"/>
          <w:szCs w:val="22"/>
        </w:rPr>
      </w:pPr>
      <w:r w:rsidRPr="000F7621">
        <w:rPr>
          <w:color w:val="000000" w:themeColor="text1"/>
          <w:sz w:val="22"/>
          <w:szCs w:val="22"/>
        </w:rPr>
        <w:t xml:space="preserve">eTable </w:t>
      </w:r>
      <w:r w:rsidR="00BA5C75" w:rsidRPr="000F7621">
        <w:rPr>
          <w:color w:val="000000" w:themeColor="text1"/>
          <w:sz w:val="22"/>
          <w:szCs w:val="22"/>
        </w:rPr>
        <w:t>5</w:t>
      </w:r>
      <w:r w:rsidRPr="000F7621">
        <w:rPr>
          <w:color w:val="000000" w:themeColor="text1"/>
          <w:sz w:val="22"/>
          <w:szCs w:val="22"/>
        </w:rPr>
        <w:t xml:space="preserve"> </w:t>
      </w:r>
      <w:r w:rsidRPr="00BA5C75">
        <w:rPr>
          <w:color w:val="000000" w:themeColor="text1"/>
          <w:sz w:val="22"/>
          <w:szCs w:val="22"/>
        </w:rPr>
        <w:t>Adjusted Event-free Survival at months 12 and 24  for AML patients treated with Azacitidine vs. Azacitidine plus Venetoclax</w:t>
      </w:r>
    </w:p>
    <w:tbl>
      <w:tblPr>
        <w:tblStyle w:val="TableGrid"/>
        <w:tblW w:w="5000" w:type="pct"/>
        <w:tblLook w:val="04A0" w:firstRow="1" w:lastRow="0" w:firstColumn="1" w:lastColumn="0" w:noHBand="0" w:noVBand="1"/>
      </w:tblPr>
      <w:tblGrid>
        <w:gridCol w:w="1356"/>
        <w:gridCol w:w="4666"/>
        <w:gridCol w:w="2430"/>
        <w:gridCol w:w="1527"/>
        <w:gridCol w:w="1610"/>
        <w:gridCol w:w="1351"/>
      </w:tblGrid>
      <w:tr w:rsidR="00310F97" w14:paraId="7524F814" w14:textId="77777777" w:rsidTr="00310F97">
        <w:trPr>
          <w:trHeight w:val="285"/>
        </w:trPr>
        <w:tc>
          <w:tcPr>
            <w:tcW w:w="524" w:type="pct"/>
            <w:tcBorders>
              <w:top w:val="single" w:sz="8" w:space="0" w:color="auto"/>
              <w:left w:val="single" w:sz="8" w:space="0" w:color="auto"/>
              <w:bottom w:val="single" w:sz="8" w:space="0" w:color="auto"/>
              <w:right w:val="single" w:sz="8" w:space="0" w:color="auto"/>
            </w:tcBorders>
          </w:tcPr>
          <w:p w14:paraId="1821D977" w14:textId="77777777" w:rsidR="00310F97" w:rsidRDefault="00310F97" w:rsidP="00310F97"/>
        </w:tc>
        <w:tc>
          <w:tcPr>
            <w:tcW w:w="1803" w:type="pct"/>
            <w:tcBorders>
              <w:top w:val="single" w:sz="8" w:space="0" w:color="auto"/>
              <w:left w:val="single" w:sz="8" w:space="0" w:color="auto"/>
              <w:bottom w:val="single" w:sz="8" w:space="0" w:color="auto"/>
              <w:right w:val="single" w:sz="8" w:space="0" w:color="auto"/>
            </w:tcBorders>
          </w:tcPr>
          <w:p w14:paraId="65A06F9D" w14:textId="77777777" w:rsidR="00310F97" w:rsidRDefault="00310F97" w:rsidP="00310F97">
            <w:r w:rsidRPr="06A1B8C2">
              <w:rPr>
                <w:rFonts w:ascii="Calibri" w:eastAsia="Calibri" w:hAnsi="Calibri" w:cs="Calibri"/>
              </w:rPr>
              <w:t>strata</w:t>
            </w:r>
          </w:p>
        </w:tc>
        <w:tc>
          <w:tcPr>
            <w:tcW w:w="939" w:type="pct"/>
            <w:tcBorders>
              <w:top w:val="single" w:sz="8" w:space="0" w:color="auto"/>
              <w:left w:val="single" w:sz="8" w:space="0" w:color="auto"/>
              <w:bottom w:val="single" w:sz="8" w:space="0" w:color="auto"/>
              <w:right w:val="single" w:sz="8" w:space="0" w:color="auto"/>
            </w:tcBorders>
          </w:tcPr>
          <w:p w14:paraId="56E6BB84" w14:textId="7140CB16" w:rsidR="00310F97" w:rsidRDefault="00310F97" w:rsidP="00310F97">
            <w:pPr>
              <w:jc w:val="center"/>
            </w:pPr>
            <w:r w:rsidRPr="00E70DD9">
              <w:rPr>
                <w:rFonts w:cstheme="minorHAnsi"/>
              </w:rPr>
              <w:t>Time (months)</w:t>
            </w:r>
          </w:p>
        </w:tc>
        <w:tc>
          <w:tcPr>
            <w:tcW w:w="590" w:type="pct"/>
            <w:tcBorders>
              <w:top w:val="single" w:sz="8" w:space="0" w:color="auto"/>
              <w:left w:val="single" w:sz="8" w:space="0" w:color="auto"/>
              <w:bottom w:val="single" w:sz="8" w:space="0" w:color="auto"/>
              <w:right w:val="single" w:sz="8" w:space="0" w:color="auto"/>
            </w:tcBorders>
          </w:tcPr>
          <w:p w14:paraId="6CB49CDA" w14:textId="0FD2E843" w:rsidR="00310F97" w:rsidRDefault="00310F97" w:rsidP="00310F97">
            <w:pPr>
              <w:jc w:val="center"/>
            </w:pPr>
            <w:r>
              <w:rPr>
                <w:rFonts w:cstheme="minorHAnsi"/>
              </w:rPr>
              <w:t>S</w:t>
            </w:r>
            <w:r w:rsidRPr="00E70DD9">
              <w:rPr>
                <w:rFonts w:cstheme="minorHAnsi"/>
              </w:rPr>
              <w:t>urvival</w:t>
            </w:r>
          </w:p>
        </w:tc>
        <w:tc>
          <w:tcPr>
            <w:tcW w:w="622" w:type="pct"/>
            <w:tcBorders>
              <w:top w:val="single" w:sz="8" w:space="0" w:color="auto"/>
              <w:left w:val="single" w:sz="8" w:space="0" w:color="auto"/>
              <w:bottom w:val="single" w:sz="8" w:space="0" w:color="auto"/>
              <w:right w:val="single" w:sz="8" w:space="0" w:color="auto"/>
            </w:tcBorders>
          </w:tcPr>
          <w:p w14:paraId="67F25898" w14:textId="0DA785BB" w:rsidR="00310F97" w:rsidRDefault="00310F97" w:rsidP="00310F97">
            <w:pPr>
              <w:jc w:val="center"/>
            </w:pPr>
            <w:r w:rsidRPr="00E70DD9">
              <w:rPr>
                <w:rFonts w:cstheme="minorHAnsi"/>
              </w:rPr>
              <w:t>Lower</w:t>
            </w:r>
            <w:r>
              <w:rPr>
                <w:rFonts w:cstheme="minorHAnsi"/>
              </w:rPr>
              <w:t xml:space="preserve"> CI</w:t>
            </w:r>
          </w:p>
        </w:tc>
        <w:tc>
          <w:tcPr>
            <w:tcW w:w="522" w:type="pct"/>
            <w:tcBorders>
              <w:top w:val="single" w:sz="8" w:space="0" w:color="auto"/>
              <w:left w:val="single" w:sz="8" w:space="0" w:color="auto"/>
              <w:bottom w:val="single" w:sz="8" w:space="0" w:color="auto"/>
              <w:right w:val="single" w:sz="8" w:space="0" w:color="auto"/>
            </w:tcBorders>
          </w:tcPr>
          <w:p w14:paraId="573DB3BB" w14:textId="22FCA801" w:rsidR="00310F97" w:rsidRDefault="00310F97" w:rsidP="00310F97">
            <w:pPr>
              <w:jc w:val="center"/>
            </w:pPr>
            <w:r w:rsidRPr="00E70DD9">
              <w:rPr>
                <w:rFonts w:cstheme="minorHAnsi"/>
              </w:rPr>
              <w:t>Upper</w:t>
            </w:r>
            <w:r>
              <w:rPr>
                <w:rFonts w:cstheme="minorHAnsi"/>
              </w:rPr>
              <w:t xml:space="preserve"> CI</w:t>
            </w:r>
          </w:p>
        </w:tc>
      </w:tr>
      <w:tr w:rsidR="00DD25BA" w14:paraId="63FFEBAE" w14:textId="77777777" w:rsidTr="00310F97">
        <w:trPr>
          <w:trHeight w:val="285"/>
        </w:trPr>
        <w:tc>
          <w:tcPr>
            <w:tcW w:w="524" w:type="pct"/>
            <w:tcBorders>
              <w:top w:val="single" w:sz="8" w:space="0" w:color="auto"/>
              <w:left w:val="single" w:sz="8" w:space="0" w:color="auto"/>
              <w:bottom w:val="single" w:sz="8" w:space="0" w:color="auto"/>
              <w:right w:val="single" w:sz="8" w:space="0" w:color="auto"/>
            </w:tcBorders>
          </w:tcPr>
          <w:p w14:paraId="264E0DBB" w14:textId="77777777" w:rsidR="00DD25BA" w:rsidRDefault="00DD25BA" w:rsidP="00442EB0">
            <w:r w:rsidRPr="06A1B8C2">
              <w:rPr>
                <w:rFonts w:ascii="Calibri" w:eastAsia="Calibri" w:hAnsi="Calibri" w:cs="Calibri"/>
              </w:rPr>
              <w:t>1</w:t>
            </w:r>
          </w:p>
        </w:tc>
        <w:tc>
          <w:tcPr>
            <w:tcW w:w="1803" w:type="pct"/>
            <w:tcBorders>
              <w:top w:val="single" w:sz="8" w:space="0" w:color="auto"/>
              <w:left w:val="single" w:sz="8" w:space="0" w:color="auto"/>
              <w:bottom w:val="single" w:sz="8" w:space="0" w:color="auto"/>
              <w:right w:val="single" w:sz="8" w:space="0" w:color="auto"/>
            </w:tcBorders>
          </w:tcPr>
          <w:p w14:paraId="1B717928" w14:textId="77777777" w:rsidR="00DD25BA" w:rsidRDefault="00DD25BA" w:rsidP="00442EB0">
            <w:r w:rsidRPr="06A1B8C2">
              <w:rPr>
                <w:rFonts w:ascii="Calibri" w:eastAsia="Calibri" w:hAnsi="Calibri" w:cs="Calibri"/>
              </w:rPr>
              <w:t>Azacitdine plus Venetolcax</w:t>
            </w:r>
          </w:p>
        </w:tc>
        <w:tc>
          <w:tcPr>
            <w:tcW w:w="939" w:type="pct"/>
            <w:tcBorders>
              <w:top w:val="single" w:sz="8" w:space="0" w:color="auto"/>
              <w:left w:val="single" w:sz="8" w:space="0" w:color="auto"/>
              <w:bottom w:val="single" w:sz="8" w:space="0" w:color="auto"/>
              <w:right w:val="single" w:sz="8" w:space="0" w:color="auto"/>
            </w:tcBorders>
          </w:tcPr>
          <w:p w14:paraId="6B41AC2D" w14:textId="77777777" w:rsidR="00DD25BA" w:rsidRDefault="00DD25BA" w:rsidP="00442EB0">
            <w:pPr>
              <w:jc w:val="center"/>
            </w:pPr>
            <w:r w:rsidRPr="06A1B8C2">
              <w:rPr>
                <w:rFonts w:ascii="Calibri" w:eastAsia="Calibri" w:hAnsi="Calibri" w:cs="Calibri"/>
              </w:rPr>
              <w:t>12</w:t>
            </w:r>
          </w:p>
        </w:tc>
        <w:tc>
          <w:tcPr>
            <w:tcW w:w="590" w:type="pct"/>
            <w:tcBorders>
              <w:top w:val="single" w:sz="8" w:space="0" w:color="auto"/>
              <w:left w:val="single" w:sz="8" w:space="0" w:color="auto"/>
              <w:bottom w:val="single" w:sz="8" w:space="0" w:color="auto"/>
              <w:right w:val="single" w:sz="8" w:space="0" w:color="auto"/>
            </w:tcBorders>
          </w:tcPr>
          <w:p w14:paraId="51772079" w14:textId="77777777" w:rsidR="00DD25BA" w:rsidRDefault="00DD25BA" w:rsidP="00442EB0">
            <w:pPr>
              <w:jc w:val="center"/>
            </w:pPr>
            <w:r w:rsidRPr="06A1B8C2">
              <w:rPr>
                <w:rFonts w:ascii="Calibri" w:eastAsia="Calibri" w:hAnsi="Calibri" w:cs="Calibri"/>
              </w:rPr>
              <w:t>0.40</w:t>
            </w:r>
          </w:p>
        </w:tc>
        <w:tc>
          <w:tcPr>
            <w:tcW w:w="622" w:type="pct"/>
            <w:tcBorders>
              <w:top w:val="single" w:sz="8" w:space="0" w:color="auto"/>
              <w:left w:val="single" w:sz="8" w:space="0" w:color="auto"/>
              <w:bottom w:val="single" w:sz="8" w:space="0" w:color="auto"/>
              <w:right w:val="single" w:sz="8" w:space="0" w:color="auto"/>
            </w:tcBorders>
          </w:tcPr>
          <w:p w14:paraId="6225B1F9" w14:textId="77777777" w:rsidR="00DD25BA" w:rsidRDefault="00DD25BA" w:rsidP="00442EB0">
            <w:pPr>
              <w:jc w:val="center"/>
            </w:pPr>
            <w:r w:rsidRPr="06A1B8C2">
              <w:rPr>
                <w:rFonts w:ascii="Calibri" w:eastAsia="Calibri" w:hAnsi="Calibri" w:cs="Calibri"/>
              </w:rPr>
              <w:t>0.21</w:t>
            </w:r>
          </w:p>
        </w:tc>
        <w:tc>
          <w:tcPr>
            <w:tcW w:w="522" w:type="pct"/>
            <w:tcBorders>
              <w:top w:val="single" w:sz="8" w:space="0" w:color="auto"/>
              <w:left w:val="single" w:sz="8" w:space="0" w:color="auto"/>
              <w:bottom w:val="single" w:sz="8" w:space="0" w:color="auto"/>
              <w:right w:val="single" w:sz="8" w:space="0" w:color="auto"/>
            </w:tcBorders>
          </w:tcPr>
          <w:p w14:paraId="5B298C80" w14:textId="77777777" w:rsidR="00DD25BA" w:rsidRDefault="00DD25BA" w:rsidP="00442EB0">
            <w:pPr>
              <w:jc w:val="center"/>
            </w:pPr>
            <w:r w:rsidRPr="06A1B8C2">
              <w:rPr>
                <w:rFonts w:ascii="Calibri" w:eastAsia="Calibri" w:hAnsi="Calibri" w:cs="Calibri"/>
              </w:rPr>
              <w:t>0.77</w:t>
            </w:r>
          </w:p>
        </w:tc>
      </w:tr>
      <w:tr w:rsidR="00DD25BA" w14:paraId="6285CB60" w14:textId="77777777" w:rsidTr="00310F97">
        <w:trPr>
          <w:trHeight w:val="285"/>
        </w:trPr>
        <w:tc>
          <w:tcPr>
            <w:tcW w:w="524" w:type="pct"/>
            <w:tcBorders>
              <w:top w:val="single" w:sz="8" w:space="0" w:color="auto"/>
              <w:left w:val="single" w:sz="8" w:space="0" w:color="auto"/>
              <w:bottom w:val="single" w:sz="8" w:space="0" w:color="auto"/>
              <w:right w:val="single" w:sz="8" w:space="0" w:color="auto"/>
            </w:tcBorders>
          </w:tcPr>
          <w:p w14:paraId="6C01629A" w14:textId="77777777" w:rsidR="00DD25BA" w:rsidRDefault="00DD25BA" w:rsidP="00442EB0">
            <w:r w:rsidRPr="06A1B8C2">
              <w:rPr>
                <w:rFonts w:ascii="Calibri" w:eastAsia="Calibri" w:hAnsi="Calibri" w:cs="Calibri"/>
              </w:rPr>
              <w:t>2</w:t>
            </w:r>
          </w:p>
        </w:tc>
        <w:tc>
          <w:tcPr>
            <w:tcW w:w="1803" w:type="pct"/>
            <w:tcBorders>
              <w:top w:val="single" w:sz="8" w:space="0" w:color="auto"/>
              <w:left w:val="single" w:sz="8" w:space="0" w:color="auto"/>
              <w:bottom w:val="single" w:sz="8" w:space="0" w:color="auto"/>
              <w:right w:val="single" w:sz="8" w:space="0" w:color="auto"/>
            </w:tcBorders>
          </w:tcPr>
          <w:p w14:paraId="0C309979" w14:textId="77777777" w:rsidR="00DD25BA" w:rsidRDefault="00DD25BA" w:rsidP="00442EB0">
            <w:r w:rsidRPr="06A1B8C2">
              <w:rPr>
                <w:rFonts w:ascii="Calibri" w:eastAsia="Calibri" w:hAnsi="Calibri" w:cs="Calibri"/>
              </w:rPr>
              <w:t>Azacitdine plus Venetolcax</w:t>
            </w:r>
          </w:p>
        </w:tc>
        <w:tc>
          <w:tcPr>
            <w:tcW w:w="939" w:type="pct"/>
            <w:tcBorders>
              <w:top w:val="single" w:sz="8" w:space="0" w:color="auto"/>
              <w:left w:val="single" w:sz="8" w:space="0" w:color="auto"/>
              <w:bottom w:val="single" w:sz="8" w:space="0" w:color="auto"/>
              <w:right w:val="single" w:sz="8" w:space="0" w:color="auto"/>
            </w:tcBorders>
          </w:tcPr>
          <w:p w14:paraId="3F7C5D3F" w14:textId="77777777" w:rsidR="00DD25BA" w:rsidRDefault="00DD25BA" w:rsidP="00442EB0">
            <w:pPr>
              <w:jc w:val="center"/>
            </w:pPr>
            <w:r w:rsidRPr="06A1B8C2">
              <w:rPr>
                <w:rFonts w:ascii="Calibri" w:eastAsia="Calibri" w:hAnsi="Calibri" w:cs="Calibri"/>
              </w:rPr>
              <w:t>24</w:t>
            </w:r>
          </w:p>
        </w:tc>
        <w:tc>
          <w:tcPr>
            <w:tcW w:w="590" w:type="pct"/>
            <w:tcBorders>
              <w:top w:val="single" w:sz="8" w:space="0" w:color="auto"/>
              <w:left w:val="single" w:sz="8" w:space="0" w:color="auto"/>
              <w:bottom w:val="single" w:sz="8" w:space="0" w:color="auto"/>
              <w:right w:val="single" w:sz="8" w:space="0" w:color="auto"/>
            </w:tcBorders>
          </w:tcPr>
          <w:p w14:paraId="21120CC2" w14:textId="77777777" w:rsidR="00DD25BA" w:rsidRDefault="00DD25BA" w:rsidP="00442EB0">
            <w:pPr>
              <w:jc w:val="center"/>
            </w:pPr>
            <w:r w:rsidRPr="06A1B8C2">
              <w:rPr>
                <w:rFonts w:ascii="Calibri" w:eastAsia="Calibri" w:hAnsi="Calibri" w:cs="Calibri"/>
              </w:rPr>
              <w:t>0.40</w:t>
            </w:r>
          </w:p>
        </w:tc>
        <w:tc>
          <w:tcPr>
            <w:tcW w:w="622" w:type="pct"/>
            <w:tcBorders>
              <w:top w:val="single" w:sz="8" w:space="0" w:color="auto"/>
              <w:left w:val="single" w:sz="8" w:space="0" w:color="auto"/>
              <w:bottom w:val="single" w:sz="8" w:space="0" w:color="auto"/>
              <w:right w:val="single" w:sz="8" w:space="0" w:color="auto"/>
            </w:tcBorders>
          </w:tcPr>
          <w:p w14:paraId="4C804445" w14:textId="77777777" w:rsidR="00DD25BA" w:rsidRDefault="00DD25BA" w:rsidP="00442EB0">
            <w:pPr>
              <w:jc w:val="center"/>
            </w:pPr>
            <w:r w:rsidRPr="06A1B8C2">
              <w:rPr>
                <w:rFonts w:ascii="Calibri" w:eastAsia="Calibri" w:hAnsi="Calibri" w:cs="Calibri"/>
              </w:rPr>
              <w:t>0.21</w:t>
            </w:r>
          </w:p>
        </w:tc>
        <w:tc>
          <w:tcPr>
            <w:tcW w:w="522" w:type="pct"/>
            <w:tcBorders>
              <w:top w:val="single" w:sz="8" w:space="0" w:color="auto"/>
              <w:left w:val="single" w:sz="8" w:space="0" w:color="auto"/>
              <w:bottom w:val="single" w:sz="8" w:space="0" w:color="auto"/>
              <w:right w:val="single" w:sz="8" w:space="0" w:color="auto"/>
            </w:tcBorders>
          </w:tcPr>
          <w:p w14:paraId="6FC7E414" w14:textId="77777777" w:rsidR="00DD25BA" w:rsidRDefault="00DD25BA" w:rsidP="00442EB0">
            <w:pPr>
              <w:jc w:val="center"/>
            </w:pPr>
            <w:r w:rsidRPr="06A1B8C2">
              <w:rPr>
                <w:rFonts w:ascii="Calibri" w:eastAsia="Calibri" w:hAnsi="Calibri" w:cs="Calibri"/>
              </w:rPr>
              <w:t>0.77</w:t>
            </w:r>
          </w:p>
        </w:tc>
      </w:tr>
      <w:tr w:rsidR="00DD25BA" w14:paraId="7FA45AB5" w14:textId="77777777" w:rsidTr="00310F97">
        <w:trPr>
          <w:trHeight w:val="285"/>
        </w:trPr>
        <w:tc>
          <w:tcPr>
            <w:tcW w:w="524" w:type="pct"/>
            <w:tcBorders>
              <w:top w:val="single" w:sz="8" w:space="0" w:color="auto"/>
              <w:left w:val="single" w:sz="8" w:space="0" w:color="auto"/>
              <w:bottom w:val="single" w:sz="8" w:space="0" w:color="auto"/>
              <w:right w:val="single" w:sz="8" w:space="0" w:color="auto"/>
            </w:tcBorders>
          </w:tcPr>
          <w:p w14:paraId="41D8024F" w14:textId="77777777" w:rsidR="00DD25BA" w:rsidRDefault="00DD25BA" w:rsidP="00442EB0">
            <w:r w:rsidRPr="06A1B8C2">
              <w:rPr>
                <w:rFonts w:ascii="Calibri" w:eastAsia="Calibri" w:hAnsi="Calibri" w:cs="Calibri"/>
              </w:rPr>
              <w:t>3</w:t>
            </w:r>
          </w:p>
        </w:tc>
        <w:tc>
          <w:tcPr>
            <w:tcW w:w="1803" w:type="pct"/>
            <w:tcBorders>
              <w:top w:val="single" w:sz="8" w:space="0" w:color="auto"/>
              <w:left w:val="single" w:sz="8" w:space="0" w:color="auto"/>
              <w:bottom w:val="single" w:sz="8" w:space="0" w:color="auto"/>
              <w:right w:val="single" w:sz="8" w:space="0" w:color="auto"/>
            </w:tcBorders>
          </w:tcPr>
          <w:p w14:paraId="16DD61C6" w14:textId="77777777" w:rsidR="00DD25BA" w:rsidRDefault="00DD25BA" w:rsidP="00442EB0">
            <w:r w:rsidRPr="06A1B8C2">
              <w:rPr>
                <w:rFonts w:ascii="Calibri" w:eastAsia="Calibri" w:hAnsi="Calibri" w:cs="Calibri"/>
              </w:rPr>
              <w:t>Azactidine</w:t>
            </w:r>
          </w:p>
        </w:tc>
        <w:tc>
          <w:tcPr>
            <w:tcW w:w="939" w:type="pct"/>
            <w:tcBorders>
              <w:top w:val="single" w:sz="8" w:space="0" w:color="auto"/>
              <w:left w:val="single" w:sz="8" w:space="0" w:color="auto"/>
              <w:bottom w:val="single" w:sz="8" w:space="0" w:color="auto"/>
              <w:right w:val="single" w:sz="8" w:space="0" w:color="auto"/>
            </w:tcBorders>
          </w:tcPr>
          <w:p w14:paraId="45FCB0F0" w14:textId="77777777" w:rsidR="00DD25BA" w:rsidRDefault="00DD25BA" w:rsidP="00442EB0">
            <w:pPr>
              <w:jc w:val="center"/>
            </w:pPr>
            <w:r w:rsidRPr="06A1B8C2">
              <w:rPr>
                <w:rFonts w:ascii="Calibri" w:eastAsia="Calibri" w:hAnsi="Calibri" w:cs="Calibri"/>
              </w:rPr>
              <w:t>12</w:t>
            </w:r>
          </w:p>
        </w:tc>
        <w:tc>
          <w:tcPr>
            <w:tcW w:w="590" w:type="pct"/>
            <w:tcBorders>
              <w:top w:val="single" w:sz="8" w:space="0" w:color="auto"/>
              <w:left w:val="single" w:sz="8" w:space="0" w:color="auto"/>
              <w:bottom w:val="single" w:sz="8" w:space="0" w:color="auto"/>
              <w:right w:val="single" w:sz="8" w:space="0" w:color="auto"/>
            </w:tcBorders>
          </w:tcPr>
          <w:p w14:paraId="0A1CB005" w14:textId="77777777" w:rsidR="00DD25BA" w:rsidRDefault="00DD25BA" w:rsidP="00442EB0">
            <w:pPr>
              <w:jc w:val="center"/>
            </w:pPr>
            <w:r w:rsidRPr="06A1B8C2">
              <w:rPr>
                <w:rFonts w:ascii="Calibri" w:eastAsia="Calibri" w:hAnsi="Calibri" w:cs="Calibri"/>
              </w:rPr>
              <w:t>0.18</w:t>
            </w:r>
          </w:p>
        </w:tc>
        <w:tc>
          <w:tcPr>
            <w:tcW w:w="622" w:type="pct"/>
            <w:tcBorders>
              <w:top w:val="single" w:sz="8" w:space="0" w:color="auto"/>
              <w:left w:val="single" w:sz="8" w:space="0" w:color="auto"/>
              <w:bottom w:val="single" w:sz="8" w:space="0" w:color="auto"/>
              <w:right w:val="single" w:sz="8" w:space="0" w:color="auto"/>
            </w:tcBorders>
          </w:tcPr>
          <w:p w14:paraId="09997893" w14:textId="77777777" w:rsidR="00DD25BA" w:rsidRDefault="00DD25BA" w:rsidP="00442EB0">
            <w:pPr>
              <w:jc w:val="center"/>
            </w:pPr>
            <w:r w:rsidRPr="06A1B8C2">
              <w:rPr>
                <w:rFonts w:ascii="Calibri" w:eastAsia="Calibri" w:hAnsi="Calibri" w:cs="Calibri"/>
              </w:rPr>
              <w:t>0.08</w:t>
            </w:r>
          </w:p>
        </w:tc>
        <w:tc>
          <w:tcPr>
            <w:tcW w:w="522" w:type="pct"/>
            <w:tcBorders>
              <w:top w:val="single" w:sz="8" w:space="0" w:color="auto"/>
              <w:left w:val="single" w:sz="8" w:space="0" w:color="auto"/>
              <w:bottom w:val="single" w:sz="8" w:space="0" w:color="auto"/>
              <w:right w:val="single" w:sz="8" w:space="0" w:color="auto"/>
            </w:tcBorders>
          </w:tcPr>
          <w:p w14:paraId="5FB36130" w14:textId="77777777" w:rsidR="00DD25BA" w:rsidRDefault="00DD25BA" w:rsidP="00442EB0">
            <w:pPr>
              <w:jc w:val="center"/>
            </w:pPr>
            <w:r w:rsidRPr="06A1B8C2">
              <w:rPr>
                <w:rFonts w:ascii="Calibri" w:eastAsia="Calibri" w:hAnsi="Calibri" w:cs="Calibri"/>
              </w:rPr>
              <w:t>0.43</w:t>
            </w:r>
          </w:p>
        </w:tc>
      </w:tr>
      <w:tr w:rsidR="00DD25BA" w14:paraId="28482F51" w14:textId="77777777" w:rsidTr="00310F97">
        <w:trPr>
          <w:trHeight w:val="285"/>
        </w:trPr>
        <w:tc>
          <w:tcPr>
            <w:tcW w:w="524" w:type="pct"/>
            <w:tcBorders>
              <w:top w:val="single" w:sz="8" w:space="0" w:color="auto"/>
              <w:left w:val="single" w:sz="8" w:space="0" w:color="auto"/>
              <w:bottom w:val="single" w:sz="8" w:space="0" w:color="auto"/>
              <w:right w:val="single" w:sz="8" w:space="0" w:color="auto"/>
            </w:tcBorders>
          </w:tcPr>
          <w:p w14:paraId="5F38BDA6" w14:textId="77777777" w:rsidR="00DD25BA" w:rsidRDefault="00DD25BA" w:rsidP="00442EB0">
            <w:r w:rsidRPr="06A1B8C2">
              <w:rPr>
                <w:rFonts w:ascii="Calibri" w:eastAsia="Calibri" w:hAnsi="Calibri" w:cs="Calibri"/>
              </w:rPr>
              <w:t>4</w:t>
            </w:r>
          </w:p>
        </w:tc>
        <w:tc>
          <w:tcPr>
            <w:tcW w:w="1803" w:type="pct"/>
            <w:tcBorders>
              <w:top w:val="single" w:sz="8" w:space="0" w:color="auto"/>
              <w:left w:val="single" w:sz="8" w:space="0" w:color="auto"/>
              <w:bottom w:val="single" w:sz="8" w:space="0" w:color="auto"/>
              <w:right w:val="single" w:sz="8" w:space="0" w:color="auto"/>
            </w:tcBorders>
          </w:tcPr>
          <w:p w14:paraId="1ED078BA" w14:textId="77777777" w:rsidR="00DD25BA" w:rsidRDefault="00DD25BA" w:rsidP="00442EB0">
            <w:r w:rsidRPr="06A1B8C2">
              <w:rPr>
                <w:rFonts w:ascii="Calibri" w:eastAsia="Calibri" w:hAnsi="Calibri" w:cs="Calibri"/>
              </w:rPr>
              <w:t>Azactidine</w:t>
            </w:r>
          </w:p>
        </w:tc>
        <w:tc>
          <w:tcPr>
            <w:tcW w:w="939" w:type="pct"/>
            <w:tcBorders>
              <w:top w:val="single" w:sz="8" w:space="0" w:color="auto"/>
              <w:left w:val="single" w:sz="8" w:space="0" w:color="auto"/>
              <w:bottom w:val="single" w:sz="8" w:space="0" w:color="auto"/>
              <w:right w:val="single" w:sz="8" w:space="0" w:color="auto"/>
            </w:tcBorders>
          </w:tcPr>
          <w:p w14:paraId="3EB42EDE" w14:textId="77777777" w:rsidR="00DD25BA" w:rsidRDefault="00DD25BA" w:rsidP="00442EB0">
            <w:pPr>
              <w:jc w:val="center"/>
            </w:pPr>
            <w:r w:rsidRPr="06A1B8C2">
              <w:rPr>
                <w:rFonts w:ascii="Calibri" w:eastAsia="Calibri" w:hAnsi="Calibri" w:cs="Calibri"/>
              </w:rPr>
              <w:t>24</w:t>
            </w:r>
          </w:p>
        </w:tc>
        <w:tc>
          <w:tcPr>
            <w:tcW w:w="590" w:type="pct"/>
            <w:tcBorders>
              <w:top w:val="single" w:sz="8" w:space="0" w:color="auto"/>
              <w:left w:val="single" w:sz="8" w:space="0" w:color="auto"/>
              <w:bottom w:val="single" w:sz="8" w:space="0" w:color="auto"/>
              <w:right w:val="single" w:sz="8" w:space="0" w:color="auto"/>
            </w:tcBorders>
          </w:tcPr>
          <w:p w14:paraId="2176D670" w14:textId="77777777" w:rsidR="00DD25BA" w:rsidRDefault="00DD25BA" w:rsidP="00442EB0">
            <w:pPr>
              <w:jc w:val="center"/>
            </w:pPr>
            <w:r w:rsidRPr="06A1B8C2">
              <w:rPr>
                <w:rFonts w:ascii="Calibri" w:eastAsia="Calibri" w:hAnsi="Calibri" w:cs="Calibri"/>
              </w:rPr>
              <w:t>0.10</w:t>
            </w:r>
          </w:p>
        </w:tc>
        <w:tc>
          <w:tcPr>
            <w:tcW w:w="622" w:type="pct"/>
            <w:tcBorders>
              <w:top w:val="single" w:sz="8" w:space="0" w:color="auto"/>
              <w:left w:val="single" w:sz="8" w:space="0" w:color="auto"/>
              <w:bottom w:val="single" w:sz="8" w:space="0" w:color="auto"/>
              <w:right w:val="single" w:sz="8" w:space="0" w:color="auto"/>
            </w:tcBorders>
          </w:tcPr>
          <w:p w14:paraId="670D4DB8" w14:textId="77777777" w:rsidR="00DD25BA" w:rsidRDefault="00DD25BA" w:rsidP="00442EB0">
            <w:pPr>
              <w:jc w:val="center"/>
            </w:pPr>
            <w:r w:rsidRPr="06A1B8C2">
              <w:rPr>
                <w:rFonts w:ascii="Calibri" w:eastAsia="Calibri" w:hAnsi="Calibri" w:cs="Calibri"/>
              </w:rPr>
              <w:t>0.03</w:t>
            </w:r>
          </w:p>
        </w:tc>
        <w:tc>
          <w:tcPr>
            <w:tcW w:w="522" w:type="pct"/>
            <w:tcBorders>
              <w:top w:val="single" w:sz="8" w:space="0" w:color="auto"/>
              <w:left w:val="single" w:sz="8" w:space="0" w:color="auto"/>
              <w:bottom w:val="single" w:sz="8" w:space="0" w:color="auto"/>
              <w:right w:val="single" w:sz="8" w:space="0" w:color="auto"/>
            </w:tcBorders>
          </w:tcPr>
          <w:p w14:paraId="046B6D2E" w14:textId="77777777" w:rsidR="00DD25BA" w:rsidRDefault="00DD25BA" w:rsidP="00442EB0">
            <w:pPr>
              <w:jc w:val="center"/>
            </w:pPr>
            <w:r w:rsidRPr="06A1B8C2">
              <w:rPr>
                <w:rFonts w:ascii="Calibri" w:eastAsia="Calibri" w:hAnsi="Calibri" w:cs="Calibri"/>
              </w:rPr>
              <w:t>0.30</w:t>
            </w:r>
          </w:p>
        </w:tc>
      </w:tr>
    </w:tbl>
    <w:p w14:paraId="744BF357" w14:textId="193A1373" w:rsidR="00DD25BA" w:rsidRPr="00E70DD9" w:rsidRDefault="00DD25BA" w:rsidP="00DD25BA">
      <w:pPr>
        <w:pStyle w:val="Caption"/>
        <w:keepNext/>
        <w:rPr>
          <w:color w:val="000000" w:themeColor="text1"/>
          <w:sz w:val="22"/>
          <w:szCs w:val="22"/>
        </w:rPr>
      </w:pPr>
      <w:r>
        <w:rPr>
          <w:color w:val="000000" w:themeColor="text1"/>
          <w:sz w:val="22"/>
          <w:szCs w:val="22"/>
        </w:rPr>
        <w:lastRenderedPageBreak/>
        <w:t>e</w:t>
      </w:r>
      <w:r w:rsidRPr="4D0486C2">
        <w:rPr>
          <w:color w:val="000000" w:themeColor="text1"/>
          <w:sz w:val="22"/>
          <w:szCs w:val="22"/>
        </w:rPr>
        <w:t xml:space="preserve">Figure </w:t>
      </w:r>
      <w:r w:rsidR="007C67F1">
        <w:rPr>
          <w:color w:val="000000" w:themeColor="text1"/>
          <w:sz w:val="22"/>
          <w:szCs w:val="22"/>
        </w:rPr>
        <w:t>3</w:t>
      </w:r>
      <w:r w:rsidRPr="4D0486C2">
        <w:rPr>
          <w:color w:val="000000" w:themeColor="text1"/>
          <w:sz w:val="22"/>
          <w:szCs w:val="22"/>
        </w:rPr>
        <w:t>: Propensity score-adjusted Event-free  Survival for AML patients treated with Azacitidine vs. Azacitidine plus Venetoclax</w:t>
      </w:r>
    </w:p>
    <w:p w14:paraId="20C3444C" w14:textId="77777777" w:rsidR="00DD25BA" w:rsidRPr="00E70DD9" w:rsidRDefault="00DD25BA" w:rsidP="00DD25BA">
      <w:pPr>
        <w:rPr>
          <w:rFonts w:cstheme="minorHAnsi"/>
        </w:rPr>
      </w:pPr>
      <w:r w:rsidRPr="00E70DD9">
        <w:rPr>
          <w:rFonts w:cstheme="minorHAnsi"/>
          <w:noProof/>
        </w:rPr>
        <w:drawing>
          <wp:inline distT="0" distB="0" distL="0" distR="0" wp14:anchorId="3C286312" wp14:editId="4A4CD89F">
            <wp:extent cx="7214178" cy="5410200"/>
            <wp:effectExtent l="0" t="0" r="635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7224213" cy="5417726"/>
                    </a:xfrm>
                    <a:prstGeom prst="rect">
                      <a:avLst/>
                    </a:prstGeom>
                  </pic:spPr>
                </pic:pic>
              </a:graphicData>
            </a:graphic>
          </wp:inline>
        </w:drawing>
      </w:r>
    </w:p>
    <w:p w14:paraId="664359A6" w14:textId="77777777" w:rsidR="007C67F1" w:rsidRDefault="007C67F1" w:rsidP="007C67F1">
      <w:pPr>
        <w:pStyle w:val="Caption"/>
        <w:keepNext/>
        <w:rPr>
          <w:color w:val="000000" w:themeColor="text1"/>
          <w:sz w:val="22"/>
          <w:szCs w:val="22"/>
        </w:rPr>
      </w:pPr>
    </w:p>
    <w:p w14:paraId="40D32A58" w14:textId="40B02942" w:rsidR="007C67F1" w:rsidRPr="00505F3E" w:rsidRDefault="007C67F1" w:rsidP="007C67F1">
      <w:pPr>
        <w:pStyle w:val="Caption"/>
        <w:keepNext/>
        <w:rPr>
          <w:color w:val="000000" w:themeColor="text1"/>
          <w:sz w:val="22"/>
          <w:szCs w:val="22"/>
        </w:rPr>
      </w:pPr>
      <w:r>
        <w:rPr>
          <w:color w:val="000000" w:themeColor="text1"/>
          <w:sz w:val="22"/>
          <w:szCs w:val="22"/>
        </w:rPr>
        <w:t>e</w:t>
      </w:r>
      <w:r w:rsidRPr="4D0486C2">
        <w:rPr>
          <w:color w:val="000000" w:themeColor="text1"/>
          <w:sz w:val="22"/>
          <w:szCs w:val="22"/>
        </w:rPr>
        <w:t xml:space="preserve">Table </w:t>
      </w:r>
      <w:r w:rsidR="00BA5C75">
        <w:rPr>
          <w:color w:val="000000" w:themeColor="text1"/>
          <w:sz w:val="22"/>
          <w:szCs w:val="22"/>
        </w:rPr>
        <w:t>6</w:t>
      </w:r>
      <w:r w:rsidRPr="4D0486C2">
        <w:rPr>
          <w:color w:val="000000" w:themeColor="text1"/>
          <w:sz w:val="22"/>
          <w:szCs w:val="22"/>
        </w:rPr>
        <w:t>. Adjusted Overall Survival at months 12 and 24  for AML patients treated with Azacitidine vs. Azacitidine plus Venetoclax</w:t>
      </w:r>
    </w:p>
    <w:tbl>
      <w:tblPr>
        <w:tblStyle w:val="TableGrid"/>
        <w:tblW w:w="5000" w:type="pct"/>
        <w:tblLook w:val="04A0" w:firstRow="1" w:lastRow="0" w:firstColumn="1" w:lastColumn="0" w:noHBand="0" w:noVBand="1"/>
      </w:tblPr>
      <w:tblGrid>
        <w:gridCol w:w="710"/>
        <w:gridCol w:w="3606"/>
        <w:gridCol w:w="2156"/>
        <w:gridCol w:w="2156"/>
        <w:gridCol w:w="2156"/>
        <w:gridCol w:w="2156"/>
      </w:tblGrid>
      <w:tr w:rsidR="007C67F1" w14:paraId="17345EA3" w14:textId="77777777" w:rsidTr="006F6AF5">
        <w:trPr>
          <w:trHeight w:val="379"/>
        </w:trPr>
        <w:tc>
          <w:tcPr>
            <w:tcW w:w="274" w:type="pct"/>
            <w:tcBorders>
              <w:top w:val="single" w:sz="8" w:space="0" w:color="auto"/>
              <w:left w:val="single" w:sz="8" w:space="0" w:color="auto"/>
              <w:bottom w:val="single" w:sz="8" w:space="0" w:color="auto"/>
              <w:right w:val="single" w:sz="8" w:space="0" w:color="auto"/>
            </w:tcBorders>
          </w:tcPr>
          <w:p w14:paraId="000C412C" w14:textId="77777777" w:rsidR="007C67F1" w:rsidRDefault="007C67F1" w:rsidP="006F6AF5"/>
        </w:tc>
        <w:tc>
          <w:tcPr>
            <w:tcW w:w="1393" w:type="pct"/>
            <w:tcBorders>
              <w:top w:val="single" w:sz="8" w:space="0" w:color="auto"/>
              <w:left w:val="single" w:sz="8" w:space="0" w:color="auto"/>
              <w:bottom w:val="single" w:sz="8" w:space="0" w:color="auto"/>
              <w:right w:val="single" w:sz="8" w:space="0" w:color="auto"/>
            </w:tcBorders>
          </w:tcPr>
          <w:p w14:paraId="712CE83C" w14:textId="77777777" w:rsidR="007C67F1" w:rsidRDefault="007C67F1" w:rsidP="006F6AF5">
            <w:r w:rsidRPr="06A1B8C2">
              <w:rPr>
                <w:rFonts w:ascii="Calibri" w:eastAsia="Calibri" w:hAnsi="Calibri" w:cs="Calibri"/>
              </w:rPr>
              <w:t>strata</w:t>
            </w:r>
          </w:p>
        </w:tc>
        <w:tc>
          <w:tcPr>
            <w:tcW w:w="833" w:type="pct"/>
            <w:tcBorders>
              <w:top w:val="single" w:sz="8" w:space="0" w:color="auto"/>
              <w:left w:val="single" w:sz="8" w:space="0" w:color="auto"/>
              <w:bottom w:val="single" w:sz="8" w:space="0" w:color="auto"/>
              <w:right w:val="single" w:sz="8" w:space="0" w:color="auto"/>
            </w:tcBorders>
          </w:tcPr>
          <w:p w14:paraId="62D628ED" w14:textId="77777777" w:rsidR="007C67F1" w:rsidRPr="00310F97" w:rsidRDefault="007C67F1" w:rsidP="006F6AF5">
            <w:pPr>
              <w:jc w:val="center"/>
            </w:pPr>
            <w:r w:rsidRPr="00310F97">
              <w:rPr>
                <w:rFonts w:cstheme="minorHAnsi"/>
              </w:rPr>
              <w:t>Time (months)</w:t>
            </w:r>
          </w:p>
        </w:tc>
        <w:tc>
          <w:tcPr>
            <w:tcW w:w="833" w:type="pct"/>
            <w:tcBorders>
              <w:top w:val="single" w:sz="8" w:space="0" w:color="auto"/>
              <w:left w:val="single" w:sz="8" w:space="0" w:color="auto"/>
              <w:bottom w:val="single" w:sz="8" w:space="0" w:color="auto"/>
              <w:right w:val="single" w:sz="8" w:space="0" w:color="auto"/>
            </w:tcBorders>
          </w:tcPr>
          <w:p w14:paraId="4CECFF90" w14:textId="77777777" w:rsidR="007C67F1" w:rsidRPr="00310F97" w:rsidRDefault="007C67F1" w:rsidP="006F6AF5">
            <w:pPr>
              <w:jc w:val="center"/>
            </w:pPr>
            <w:r w:rsidRPr="00310F97">
              <w:rPr>
                <w:rFonts w:cstheme="minorHAnsi"/>
              </w:rPr>
              <w:t>Survival</w:t>
            </w:r>
          </w:p>
        </w:tc>
        <w:tc>
          <w:tcPr>
            <w:tcW w:w="833" w:type="pct"/>
            <w:tcBorders>
              <w:top w:val="single" w:sz="8" w:space="0" w:color="auto"/>
              <w:left w:val="single" w:sz="8" w:space="0" w:color="auto"/>
              <w:bottom w:val="single" w:sz="8" w:space="0" w:color="auto"/>
              <w:right w:val="single" w:sz="8" w:space="0" w:color="auto"/>
            </w:tcBorders>
          </w:tcPr>
          <w:p w14:paraId="3B150DA1" w14:textId="77777777" w:rsidR="007C67F1" w:rsidRPr="00310F97" w:rsidRDefault="007C67F1" w:rsidP="006F6AF5">
            <w:pPr>
              <w:jc w:val="center"/>
            </w:pPr>
            <w:r w:rsidRPr="00310F97">
              <w:rPr>
                <w:rFonts w:cstheme="minorHAnsi"/>
              </w:rPr>
              <w:t>Lower CI</w:t>
            </w:r>
          </w:p>
        </w:tc>
        <w:tc>
          <w:tcPr>
            <w:tcW w:w="833" w:type="pct"/>
            <w:tcBorders>
              <w:top w:val="single" w:sz="8" w:space="0" w:color="auto"/>
              <w:left w:val="single" w:sz="8" w:space="0" w:color="auto"/>
              <w:bottom w:val="single" w:sz="8" w:space="0" w:color="auto"/>
              <w:right w:val="single" w:sz="8" w:space="0" w:color="auto"/>
            </w:tcBorders>
          </w:tcPr>
          <w:p w14:paraId="31B8BCEB" w14:textId="77777777" w:rsidR="007C67F1" w:rsidRPr="00310F97" w:rsidRDefault="007C67F1" w:rsidP="006F6AF5">
            <w:pPr>
              <w:jc w:val="center"/>
            </w:pPr>
            <w:r w:rsidRPr="00310F97">
              <w:rPr>
                <w:rFonts w:cstheme="minorHAnsi"/>
              </w:rPr>
              <w:t>Upper CI</w:t>
            </w:r>
          </w:p>
        </w:tc>
      </w:tr>
      <w:tr w:rsidR="007C67F1" w14:paraId="407B6252" w14:textId="77777777" w:rsidTr="006F6AF5">
        <w:trPr>
          <w:trHeight w:val="379"/>
        </w:trPr>
        <w:tc>
          <w:tcPr>
            <w:tcW w:w="274" w:type="pct"/>
            <w:tcBorders>
              <w:top w:val="single" w:sz="8" w:space="0" w:color="auto"/>
              <w:left w:val="single" w:sz="8" w:space="0" w:color="auto"/>
              <w:bottom w:val="single" w:sz="8" w:space="0" w:color="auto"/>
              <w:right w:val="single" w:sz="8" w:space="0" w:color="auto"/>
            </w:tcBorders>
          </w:tcPr>
          <w:p w14:paraId="4F1F4FD5" w14:textId="77777777" w:rsidR="007C67F1" w:rsidRDefault="007C67F1" w:rsidP="006F6AF5">
            <w:r w:rsidRPr="06A1B8C2">
              <w:rPr>
                <w:rFonts w:ascii="Calibri" w:eastAsia="Calibri" w:hAnsi="Calibri" w:cs="Calibri"/>
              </w:rPr>
              <w:t>1</w:t>
            </w:r>
          </w:p>
        </w:tc>
        <w:tc>
          <w:tcPr>
            <w:tcW w:w="1393" w:type="pct"/>
            <w:tcBorders>
              <w:top w:val="single" w:sz="8" w:space="0" w:color="auto"/>
              <w:left w:val="single" w:sz="8" w:space="0" w:color="auto"/>
              <w:bottom w:val="single" w:sz="8" w:space="0" w:color="auto"/>
              <w:right w:val="single" w:sz="8" w:space="0" w:color="auto"/>
            </w:tcBorders>
          </w:tcPr>
          <w:p w14:paraId="7F467631" w14:textId="77777777" w:rsidR="007C67F1" w:rsidRDefault="007C67F1" w:rsidP="006F6AF5">
            <w:r w:rsidRPr="06A1B8C2">
              <w:rPr>
                <w:rFonts w:ascii="Calibri" w:eastAsia="Calibri" w:hAnsi="Calibri" w:cs="Calibri"/>
              </w:rPr>
              <w:t>Azacitdine plus Venetolcax</w:t>
            </w:r>
          </w:p>
        </w:tc>
        <w:tc>
          <w:tcPr>
            <w:tcW w:w="833" w:type="pct"/>
            <w:tcBorders>
              <w:top w:val="single" w:sz="8" w:space="0" w:color="auto"/>
              <w:left w:val="single" w:sz="8" w:space="0" w:color="auto"/>
              <w:bottom w:val="single" w:sz="8" w:space="0" w:color="auto"/>
              <w:right w:val="single" w:sz="8" w:space="0" w:color="auto"/>
            </w:tcBorders>
          </w:tcPr>
          <w:p w14:paraId="4D313182" w14:textId="77777777" w:rsidR="007C67F1" w:rsidRPr="00310F97" w:rsidRDefault="007C67F1" w:rsidP="006F6AF5">
            <w:pPr>
              <w:jc w:val="center"/>
            </w:pPr>
            <w:r w:rsidRPr="00310F97">
              <w:rPr>
                <w:rFonts w:ascii="Calibri" w:eastAsia="Calibri" w:hAnsi="Calibri" w:cs="Calibri"/>
              </w:rPr>
              <w:t>12</w:t>
            </w:r>
          </w:p>
        </w:tc>
        <w:tc>
          <w:tcPr>
            <w:tcW w:w="833" w:type="pct"/>
            <w:tcBorders>
              <w:top w:val="single" w:sz="8" w:space="0" w:color="auto"/>
              <w:left w:val="single" w:sz="8" w:space="0" w:color="auto"/>
              <w:bottom w:val="single" w:sz="8" w:space="0" w:color="auto"/>
              <w:right w:val="single" w:sz="8" w:space="0" w:color="auto"/>
            </w:tcBorders>
          </w:tcPr>
          <w:p w14:paraId="73451DDE" w14:textId="77777777" w:rsidR="007C67F1" w:rsidRPr="00310F97" w:rsidRDefault="007C67F1" w:rsidP="006F6AF5">
            <w:pPr>
              <w:jc w:val="center"/>
            </w:pPr>
            <w:r w:rsidRPr="00310F97">
              <w:rPr>
                <w:rFonts w:ascii="Calibri" w:eastAsia="Calibri" w:hAnsi="Calibri" w:cs="Calibri"/>
              </w:rPr>
              <w:t>0.65</w:t>
            </w:r>
          </w:p>
        </w:tc>
        <w:tc>
          <w:tcPr>
            <w:tcW w:w="833" w:type="pct"/>
            <w:tcBorders>
              <w:top w:val="single" w:sz="8" w:space="0" w:color="auto"/>
              <w:left w:val="single" w:sz="8" w:space="0" w:color="auto"/>
              <w:bottom w:val="single" w:sz="8" w:space="0" w:color="auto"/>
              <w:right w:val="single" w:sz="8" w:space="0" w:color="auto"/>
            </w:tcBorders>
          </w:tcPr>
          <w:p w14:paraId="3D97BF17" w14:textId="77777777" w:rsidR="007C67F1" w:rsidRPr="00310F97" w:rsidRDefault="007C67F1" w:rsidP="006F6AF5">
            <w:pPr>
              <w:jc w:val="center"/>
            </w:pPr>
            <w:r w:rsidRPr="00310F97">
              <w:rPr>
                <w:rFonts w:ascii="Calibri" w:eastAsia="Calibri" w:hAnsi="Calibri" w:cs="Calibri"/>
              </w:rPr>
              <w:t>0.46</w:t>
            </w:r>
          </w:p>
        </w:tc>
        <w:tc>
          <w:tcPr>
            <w:tcW w:w="833" w:type="pct"/>
            <w:tcBorders>
              <w:top w:val="single" w:sz="8" w:space="0" w:color="auto"/>
              <w:left w:val="single" w:sz="8" w:space="0" w:color="auto"/>
              <w:bottom w:val="single" w:sz="8" w:space="0" w:color="auto"/>
              <w:right w:val="single" w:sz="8" w:space="0" w:color="auto"/>
            </w:tcBorders>
          </w:tcPr>
          <w:p w14:paraId="018AAF80" w14:textId="77777777" w:rsidR="007C67F1" w:rsidRPr="00310F97" w:rsidRDefault="007C67F1" w:rsidP="006F6AF5">
            <w:pPr>
              <w:jc w:val="center"/>
            </w:pPr>
            <w:r w:rsidRPr="00310F97">
              <w:rPr>
                <w:rFonts w:ascii="Calibri" w:eastAsia="Calibri" w:hAnsi="Calibri" w:cs="Calibri"/>
              </w:rPr>
              <w:t>0.91</w:t>
            </w:r>
          </w:p>
        </w:tc>
      </w:tr>
      <w:tr w:rsidR="007C67F1" w14:paraId="457C930D" w14:textId="77777777" w:rsidTr="006F6AF5">
        <w:trPr>
          <w:trHeight w:val="379"/>
        </w:trPr>
        <w:tc>
          <w:tcPr>
            <w:tcW w:w="274" w:type="pct"/>
            <w:tcBorders>
              <w:top w:val="single" w:sz="8" w:space="0" w:color="auto"/>
              <w:left w:val="single" w:sz="8" w:space="0" w:color="auto"/>
              <w:bottom w:val="single" w:sz="8" w:space="0" w:color="auto"/>
              <w:right w:val="single" w:sz="8" w:space="0" w:color="auto"/>
            </w:tcBorders>
          </w:tcPr>
          <w:p w14:paraId="5877ACB2" w14:textId="77777777" w:rsidR="007C67F1" w:rsidRDefault="007C67F1" w:rsidP="006F6AF5">
            <w:r w:rsidRPr="06A1B8C2">
              <w:rPr>
                <w:rFonts w:ascii="Calibri" w:eastAsia="Calibri" w:hAnsi="Calibri" w:cs="Calibri"/>
              </w:rPr>
              <w:t>2</w:t>
            </w:r>
          </w:p>
        </w:tc>
        <w:tc>
          <w:tcPr>
            <w:tcW w:w="1393" w:type="pct"/>
            <w:tcBorders>
              <w:top w:val="single" w:sz="8" w:space="0" w:color="auto"/>
              <w:left w:val="single" w:sz="8" w:space="0" w:color="auto"/>
              <w:bottom w:val="single" w:sz="8" w:space="0" w:color="auto"/>
              <w:right w:val="single" w:sz="8" w:space="0" w:color="auto"/>
            </w:tcBorders>
          </w:tcPr>
          <w:p w14:paraId="022903DB" w14:textId="77777777" w:rsidR="007C67F1" w:rsidRDefault="007C67F1" w:rsidP="006F6AF5">
            <w:r w:rsidRPr="06A1B8C2">
              <w:rPr>
                <w:rFonts w:ascii="Calibri" w:eastAsia="Calibri" w:hAnsi="Calibri" w:cs="Calibri"/>
              </w:rPr>
              <w:t>Azacitdine plus Venetolcax</w:t>
            </w:r>
          </w:p>
        </w:tc>
        <w:tc>
          <w:tcPr>
            <w:tcW w:w="833" w:type="pct"/>
            <w:tcBorders>
              <w:top w:val="single" w:sz="8" w:space="0" w:color="auto"/>
              <w:left w:val="single" w:sz="8" w:space="0" w:color="auto"/>
              <w:bottom w:val="single" w:sz="8" w:space="0" w:color="auto"/>
              <w:right w:val="single" w:sz="8" w:space="0" w:color="auto"/>
            </w:tcBorders>
          </w:tcPr>
          <w:p w14:paraId="7A859E34" w14:textId="77777777" w:rsidR="007C67F1" w:rsidRPr="00310F97" w:rsidRDefault="007C67F1" w:rsidP="006F6AF5">
            <w:pPr>
              <w:jc w:val="center"/>
            </w:pPr>
            <w:r w:rsidRPr="00310F97">
              <w:rPr>
                <w:rFonts w:ascii="Calibri" w:eastAsia="Calibri" w:hAnsi="Calibri" w:cs="Calibri"/>
              </w:rPr>
              <w:t>24</w:t>
            </w:r>
          </w:p>
        </w:tc>
        <w:tc>
          <w:tcPr>
            <w:tcW w:w="833" w:type="pct"/>
            <w:tcBorders>
              <w:top w:val="single" w:sz="8" w:space="0" w:color="auto"/>
              <w:left w:val="single" w:sz="8" w:space="0" w:color="auto"/>
              <w:bottom w:val="single" w:sz="8" w:space="0" w:color="auto"/>
              <w:right w:val="single" w:sz="8" w:space="0" w:color="auto"/>
            </w:tcBorders>
          </w:tcPr>
          <w:p w14:paraId="73133331" w14:textId="77777777" w:rsidR="007C67F1" w:rsidRPr="00310F97" w:rsidRDefault="007C67F1" w:rsidP="006F6AF5">
            <w:pPr>
              <w:jc w:val="center"/>
            </w:pPr>
            <w:r w:rsidRPr="00310F97">
              <w:rPr>
                <w:rFonts w:ascii="Calibri" w:eastAsia="Calibri" w:hAnsi="Calibri" w:cs="Calibri"/>
              </w:rPr>
              <w:t>0.39</w:t>
            </w:r>
          </w:p>
        </w:tc>
        <w:tc>
          <w:tcPr>
            <w:tcW w:w="833" w:type="pct"/>
            <w:tcBorders>
              <w:top w:val="single" w:sz="8" w:space="0" w:color="auto"/>
              <w:left w:val="single" w:sz="8" w:space="0" w:color="auto"/>
              <w:bottom w:val="single" w:sz="8" w:space="0" w:color="auto"/>
              <w:right w:val="single" w:sz="8" w:space="0" w:color="auto"/>
            </w:tcBorders>
          </w:tcPr>
          <w:p w14:paraId="429FCAC6" w14:textId="77777777" w:rsidR="007C67F1" w:rsidRPr="00310F97" w:rsidRDefault="007C67F1" w:rsidP="006F6AF5">
            <w:pPr>
              <w:jc w:val="center"/>
            </w:pPr>
            <w:r w:rsidRPr="00310F97">
              <w:rPr>
                <w:rFonts w:ascii="Calibri" w:eastAsia="Calibri" w:hAnsi="Calibri" w:cs="Calibri"/>
              </w:rPr>
              <w:t>0.20</w:t>
            </w:r>
          </w:p>
        </w:tc>
        <w:tc>
          <w:tcPr>
            <w:tcW w:w="833" w:type="pct"/>
            <w:tcBorders>
              <w:top w:val="single" w:sz="8" w:space="0" w:color="auto"/>
              <w:left w:val="single" w:sz="8" w:space="0" w:color="auto"/>
              <w:bottom w:val="single" w:sz="8" w:space="0" w:color="auto"/>
              <w:right w:val="single" w:sz="8" w:space="0" w:color="auto"/>
            </w:tcBorders>
          </w:tcPr>
          <w:p w14:paraId="0732DE08" w14:textId="77777777" w:rsidR="007C67F1" w:rsidRPr="00310F97" w:rsidRDefault="007C67F1" w:rsidP="006F6AF5">
            <w:pPr>
              <w:jc w:val="center"/>
            </w:pPr>
            <w:r w:rsidRPr="00310F97">
              <w:rPr>
                <w:rFonts w:ascii="Calibri" w:eastAsia="Calibri" w:hAnsi="Calibri" w:cs="Calibri"/>
              </w:rPr>
              <w:t>0.78</w:t>
            </w:r>
          </w:p>
        </w:tc>
      </w:tr>
      <w:tr w:rsidR="007C67F1" w14:paraId="77ED0D99" w14:textId="77777777" w:rsidTr="006F6AF5">
        <w:trPr>
          <w:trHeight w:val="379"/>
        </w:trPr>
        <w:tc>
          <w:tcPr>
            <w:tcW w:w="274" w:type="pct"/>
            <w:tcBorders>
              <w:top w:val="single" w:sz="8" w:space="0" w:color="auto"/>
              <w:left w:val="single" w:sz="8" w:space="0" w:color="auto"/>
              <w:bottom w:val="single" w:sz="8" w:space="0" w:color="auto"/>
              <w:right w:val="single" w:sz="8" w:space="0" w:color="auto"/>
            </w:tcBorders>
          </w:tcPr>
          <w:p w14:paraId="572231C3" w14:textId="77777777" w:rsidR="007C67F1" w:rsidRDefault="007C67F1" w:rsidP="006F6AF5">
            <w:r w:rsidRPr="06A1B8C2">
              <w:rPr>
                <w:rFonts w:ascii="Calibri" w:eastAsia="Calibri" w:hAnsi="Calibri" w:cs="Calibri"/>
              </w:rPr>
              <w:t>3</w:t>
            </w:r>
          </w:p>
        </w:tc>
        <w:tc>
          <w:tcPr>
            <w:tcW w:w="1393" w:type="pct"/>
            <w:tcBorders>
              <w:top w:val="single" w:sz="8" w:space="0" w:color="auto"/>
              <w:left w:val="single" w:sz="8" w:space="0" w:color="auto"/>
              <w:bottom w:val="single" w:sz="8" w:space="0" w:color="auto"/>
              <w:right w:val="single" w:sz="8" w:space="0" w:color="auto"/>
            </w:tcBorders>
          </w:tcPr>
          <w:p w14:paraId="55DBF016" w14:textId="77777777" w:rsidR="007C67F1" w:rsidRDefault="007C67F1" w:rsidP="006F6AF5">
            <w:r w:rsidRPr="06A1B8C2">
              <w:rPr>
                <w:rFonts w:ascii="Calibri" w:eastAsia="Calibri" w:hAnsi="Calibri" w:cs="Calibri"/>
              </w:rPr>
              <w:t>Azactidine</w:t>
            </w:r>
          </w:p>
        </w:tc>
        <w:tc>
          <w:tcPr>
            <w:tcW w:w="833" w:type="pct"/>
            <w:tcBorders>
              <w:top w:val="single" w:sz="8" w:space="0" w:color="auto"/>
              <w:left w:val="single" w:sz="8" w:space="0" w:color="auto"/>
              <w:bottom w:val="single" w:sz="8" w:space="0" w:color="auto"/>
              <w:right w:val="single" w:sz="8" w:space="0" w:color="auto"/>
            </w:tcBorders>
          </w:tcPr>
          <w:p w14:paraId="71966B8F" w14:textId="77777777" w:rsidR="007C67F1" w:rsidRPr="00310F97" w:rsidRDefault="007C67F1" w:rsidP="006F6AF5">
            <w:pPr>
              <w:jc w:val="center"/>
            </w:pPr>
            <w:r w:rsidRPr="00310F97">
              <w:rPr>
                <w:rFonts w:ascii="Calibri" w:eastAsia="Calibri" w:hAnsi="Calibri" w:cs="Calibri"/>
              </w:rPr>
              <w:t>12</w:t>
            </w:r>
          </w:p>
        </w:tc>
        <w:tc>
          <w:tcPr>
            <w:tcW w:w="833" w:type="pct"/>
            <w:tcBorders>
              <w:top w:val="single" w:sz="8" w:space="0" w:color="auto"/>
              <w:left w:val="single" w:sz="8" w:space="0" w:color="auto"/>
              <w:bottom w:val="single" w:sz="8" w:space="0" w:color="auto"/>
              <w:right w:val="single" w:sz="8" w:space="0" w:color="auto"/>
            </w:tcBorders>
          </w:tcPr>
          <w:p w14:paraId="32A9388C" w14:textId="77777777" w:rsidR="007C67F1" w:rsidRPr="00310F97" w:rsidRDefault="007C67F1" w:rsidP="006F6AF5">
            <w:pPr>
              <w:jc w:val="center"/>
            </w:pPr>
            <w:r w:rsidRPr="00310F97">
              <w:rPr>
                <w:rFonts w:ascii="Calibri" w:eastAsia="Calibri" w:hAnsi="Calibri" w:cs="Calibri"/>
              </w:rPr>
              <w:t>0.41</w:t>
            </w:r>
          </w:p>
        </w:tc>
        <w:tc>
          <w:tcPr>
            <w:tcW w:w="833" w:type="pct"/>
            <w:tcBorders>
              <w:top w:val="single" w:sz="8" w:space="0" w:color="auto"/>
              <w:left w:val="single" w:sz="8" w:space="0" w:color="auto"/>
              <w:bottom w:val="single" w:sz="8" w:space="0" w:color="auto"/>
              <w:right w:val="single" w:sz="8" w:space="0" w:color="auto"/>
            </w:tcBorders>
          </w:tcPr>
          <w:p w14:paraId="20EB2668" w14:textId="77777777" w:rsidR="007C67F1" w:rsidRPr="00310F97" w:rsidRDefault="007C67F1" w:rsidP="006F6AF5">
            <w:pPr>
              <w:jc w:val="center"/>
            </w:pPr>
            <w:r w:rsidRPr="00310F97">
              <w:rPr>
                <w:rFonts w:ascii="Calibri" w:eastAsia="Calibri" w:hAnsi="Calibri" w:cs="Calibri"/>
              </w:rPr>
              <w:t>0.26</w:t>
            </w:r>
          </w:p>
        </w:tc>
        <w:tc>
          <w:tcPr>
            <w:tcW w:w="833" w:type="pct"/>
            <w:tcBorders>
              <w:top w:val="single" w:sz="8" w:space="0" w:color="auto"/>
              <w:left w:val="single" w:sz="8" w:space="0" w:color="auto"/>
              <w:bottom w:val="single" w:sz="8" w:space="0" w:color="auto"/>
              <w:right w:val="single" w:sz="8" w:space="0" w:color="auto"/>
            </w:tcBorders>
          </w:tcPr>
          <w:p w14:paraId="782D2B8F" w14:textId="77777777" w:rsidR="007C67F1" w:rsidRPr="00310F97" w:rsidRDefault="007C67F1" w:rsidP="006F6AF5">
            <w:pPr>
              <w:jc w:val="center"/>
            </w:pPr>
            <w:r w:rsidRPr="00310F97">
              <w:rPr>
                <w:rFonts w:ascii="Calibri" w:eastAsia="Calibri" w:hAnsi="Calibri" w:cs="Calibri"/>
              </w:rPr>
              <w:t>0.64</w:t>
            </w:r>
          </w:p>
        </w:tc>
      </w:tr>
      <w:tr w:rsidR="007C67F1" w14:paraId="2FCA5B35" w14:textId="77777777" w:rsidTr="006F6AF5">
        <w:trPr>
          <w:trHeight w:val="379"/>
        </w:trPr>
        <w:tc>
          <w:tcPr>
            <w:tcW w:w="274" w:type="pct"/>
            <w:tcBorders>
              <w:top w:val="single" w:sz="8" w:space="0" w:color="auto"/>
              <w:left w:val="single" w:sz="8" w:space="0" w:color="auto"/>
              <w:bottom w:val="single" w:sz="8" w:space="0" w:color="auto"/>
              <w:right w:val="single" w:sz="8" w:space="0" w:color="auto"/>
            </w:tcBorders>
          </w:tcPr>
          <w:p w14:paraId="5C2FA223" w14:textId="77777777" w:rsidR="007C67F1" w:rsidRDefault="007C67F1" w:rsidP="006F6AF5">
            <w:r w:rsidRPr="06A1B8C2">
              <w:rPr>
                <w:rFonts w:ascii="Calibri" w:eastAsia="Calibri" w:hAnsi="Calibri" w:cs="Calibri"/>
              </w:rPr>
              <w:t>4</w:t>
            </w:r>
          </w:p>
        </w:tc>
        <w:tc>
          <w:tcPr>
            <w:tcW w:w="1393" w:type="pct"/>
            <w:tcBorders>
              <w:top w:val="single" w:sz="8" w:space="0" w:color="auto"/>
              <w:left w:val="single" w:sz="8" w:space="0" w:color="auto"/>
              <w:bottom w:val="single" w:sz="8" w:space="0" w:color="auto"/>
              <w:right w:val="single" w:sz="8" w:space="0" w:color="auto"/>
            </w:tcBorders>
          </w:tcPr>
          <w:p w14:paraId="2A6C06C9" w14:textId="77777777" w:rsidR="007C67F1" w:rsidRDefault="007C67F1" w:rsidP="006F6AF5">
            <w:r w:rsidRPr="06A1B8C2">
              <w:rPr>
                <w:rFonts w:ascii="Calibri" w:eastAsia="Calibri" w:hAnsi="Calibri" w:cs="Calibri"/>
              </w:rPr>
              <w:t>Azactidine</w:t>
            </w:r>
          </w:p>
        </w:tc>
        <w:tc>
          <w:tcPr>
            <w:tcW w:w="833" w:type="pct"/>
            <w:tcBorders>
              <w:top w:val="single" w:sz="8" w:space="0" w:color="auto"/>
              <w:left w:val="single" w:sz="8" w:space="0" w:color="auto"/>
              <w:bottom w:val="single" w:sz="8" w:space="0" w:color="auto"/>
              <w:right w:val="single" w:sz="8" w:space="0" w:color="auto"/>
            </w:tcBorders>
          </w:tcPr>
          <w:p w14:paraId="0D4D2058" w14:textId="77777777" w:rsidR="007C67F1" w:rsidRPr="00310F97" w:rsidRDefault="007C67F1" w:rsidP="006F6AF5">
            <w:pPr>
              <w:jc w:val="center"/>
            </w:pPr>
            <w:r w:rsidRPr="00310F97">
              <w:rPr>
                <w:rFonts w:ascii="Calibri" w:eastAsia="Calibri" w:hAnsi="Calibri" w:cs="Calibri"/>
              </w:rPr>
              <w:t>24</w:t>
            </w:r>
          </w:p>
        </w:tc>
        <w:tc>
          <w:tcPr>
            <w:tcW w:w="833" w:type="pct"/>
            <w:tcBorders>
              <w:top w:val="single" w:sz="8" w:space="0" w:color="auto"/>
              <w:left w:val="single" w:sz="8" w:space="0" w:color="auto"/>
              <w:bottom w:val="single" w:sz="8" w:space="0" w:color="auto"/>
              <w:right w:val="single" w:sz="8" w:space="0" w:color="auto"/>
            </w:tcBorders>
          </w:tcPr>
          <w:p w14:paraId="62DE82D8" w14:textId="77777777" w:rsidR="007C67F1" w:rsidRPr="00310F97" w:rsidRDefault="007C67F1" w:rsidP="006F6AF5">
            <w:pPr>
              <w:jc w:val="center"/>
            </w:pPr>
            <w:r w:rsidRPr="00310F97">
              <w:rPr>
                <w:rFonts w:ascii="Calibri" w:eastAsia="Calibri" w:hAnsi="Calibri" w:cs="Calibri"/>
              </w:rPr>
              <w:t>0.28</w:t>
            </w:r>
          </w:p>
        </w:tc>
        <w:tc>
          <w:tcPr>
            <w:tcW w:w="833" w:type="pct"/>
            <w:tcBorders>
              <w:top w:val="single" w:sz="8" w:space="0" w:color="auto"/>
              <w:left w:val="single" w:sz="8" w:space="0" w:color="auto"/>
              <w:bottom w:val="single" w:sz="8" w:space="0" w:color="auto"/>
              <w:right w:val="single" w:sz="8" w:space="0" w:color="auto"/>
            </w:tcBorders>
          </w:tcPr>
          <w:p w14:paraId="0D4E7F20" w14:textId="77777777" w:rsidR="007C67F1" w:rsidRPr="00310F97" w:rsidRDefault="007C67F1" w:rsidP="006F6AF5">
            <w:pPr>
              <w:jc w:val="center"/>
            </w:pPr>
            <w:r w:rsidRPr="00310F97">
              <w:rPr>
                <w:rFonts w:ascii="Calibri" w:eastAsia="Calibri" w:hAnsi="Calibri" w:cs="Calibri"/>
              </w:rPr>
              <w:t>0.15</w:t>
            </w:r>
          </w:p>
        </w:tc>
        <w:tc>
          <w:tcPr>
            <w:tcW w:w="833" w:type="pct"/>
            <w:tcBorders>
              <w:top w:val="single" w:sz="8" w:space="0" w:color="auto"/>
              <w:left w:val="single" w:sz="8" w:space="0" w:color="auto"/>
              <w:bottom w:val="single" w:sz="8" w:space="0" w:color="auto"/>
              <w:right w:val="single" w:sz="8" w:space="0" w:color="auto"/>
            </w:tcBorders>
          </w:tcPr>
          <w:p w14:paraId="176F9C42" w14:textId="77777777" w:rsidR="007C67F1" w:rsidRPr="00310F97" w:rsidRDefault="007C67F1" w:rsidP="006F6AF5">
            <w:pPr>
              <w:jc w:val="center"/>
            </w:pPr>
            <w:r w:rsidRPr="00310F97">
              <w:rPr>
                <w:rFonts w:ascii="Calibri" w:eastAsia="Calibri" w:hAnsi="Calibri" w:cs="Calibri"/>
              </w:rPr>
              <w:t>0.53</w:t>
            </w:r>
          </w:p>
        </w:tc>
      </w:tr>
    </w:tbl>
    <w:p w14:paraId="0119C1D2" w14:textId="77777777" w:rsidR="007C67F1" w:rsidRDefault="007C67F1" w:rsidP="007C67F1">
      <w:pPr>
        <w:pStyle w:val="Caption"/>
        <w:keepNext/>
        <w:rPr>
          <w:color w:val="000000" w:themeColor="text1"/>
          <w:sz w:val="22"/>
          <w:szCs w:val="22"/>
        </w:rPr>
      </w:pPr>
    </w:p>
    <w:p w14:paraId="542D464B" w14:textId="77777777" w:rsidR="007C67F1" w:rsidRDefault="007C67F1" w:rsidP="007C67F1">
      <w:pPr>
        <w:pStyle w:val="Caption"/>
        <w:keepNext/>
        <w:rPr>
          <w:color w:val="000000" w:themeColor="text1"/>
          <w:sz w:val="22"/>
          <w:szCs w:val="22"/>
        </w:rPr>
      </w:pPr>
    </w:p>
    <w:p w14:paraId="67EE7D24" w14:textId="05730452" w:rsidR="007C67F1" w:rsidRPr="00E70DD9" w:rsidRDefault="007C67F1" w:rsidP="007C67F1">
      <w:pPr>
        <w:pStyle w:val="Caption"/>
        <w:keepNext/>
        <w:rPr>
          <w:color w:val="000000" w:themeColor="text1"/>
          <w:sz w:val="22"/>
          <w:szCs w:val="22"/>
        </w:rPr>
      </w:pPr>
      <w:r w:rsidRPr="4D0486C2">
        <w:rPr>
          <w:color w:val="000000" w:themeColor="text1"/>
          <w:sz w:val="22"/>
          <w:szCs w:val="22"/>
        </w:rPr>
        <w:t xml:space="preserve">eFigure </w:t>
      </w:r>
      <w:r>
        <w:rPr>
          <w:color w:val="000000" w:themeColor="text1"/>
          <w:sz w:val="22"/>
          <w:szCs w:val="22"/>
        </w:rPr>
        <w:t>4</w:t>
      </w:r>
      <w:r w:rsidRPr="4D0486C2">
        <w:rPr>
          <w:color w:val="000000" w:themeColor="text1"/>
          <w:sz w:val="22"/>
          <w:szCs w:val="22"/>
        </w:rPr>
        <w:t>: Propensity score-adjusted Overall  Survival for AML patients treated with Azacitidine vs. Azacitidine plus Venetoclax</w:t>
      </w:r>
    </w:p>
    <w:p w14:paraId="25353125" w14:textId="695D9191" w:rsidR="00DD25BA" w:rsidRPr="007C67F1" w:rsidRDefault="007C67F1" w:rsidP="007C67F1">
      <w:r>
        <w:rPr>
          <w:noProof/>
        </w:rPr>
        <w:drawing>
          <wp:inline distT="0" distB="0" distL="0" distR="0" wp14:anchorId="1A563CF4" wp14:editId="796D18CE">
            <wp:extent cx="7466642" cy="4946650"/>
            <wp:effectExtent l="0" t="0" r="1270" b="6350"/>
            <wp:docPr id="1232338450" name="Picture 12323384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extLst>
                        <a:ext uri="{28A0092B-C50C-407E-A947-70E740481C1C}">
                          <a14:useLocalDpi xmlns:a14="http://schemas.microsoft.com/office/drawing/2010/main" val="0"/>
                        </a:ext>
                      </a:extLst>
                    </a:blip>
                    <a:stretch>
                      <a:fillRect/>
                    </a:stretch>
                  </pic:blipFill>
                  <pic:spPr>
                    <a:xfrm>
                      <a:off x="0" y="0"/>
                      <a:ext cx="7479933" cy="4955455"/>
                    </a:xfrm>
                    <a:prstGeom prst="rect">
                      <a:avLst/>
                    </a:prstGeom>
                  </pic:spPr>
                </pic:pic>
              </a:graphicData>
            </a:graphic>
          </wp:inline>
        </w:drawing>
      </w:r>
    </w:p>
    <w:p w14:paraId="6C74BFEB" w14:textId="539C1096" w:rsidR="00974F09" w:rsidRPr="00E70DD9" w:rsidRDefault="00974F09" w:rsidP="00974F09">
      <w:pPr>
        <w:pStyle w:val="Heading1"/>
        <w:rPr>
          <w:rFonts w:asciiTheme="minorHAnsi" w:hAnsiTheme="minorHAnsi" w:cstheme="minorHAnsi"/>
          <w:sz w:val="28"/>
          <w:szCs w:val="28"/>
        </w:rPr>
      </w:pPr>
      <w:bookmarkStart w:id="8" w:name="_Toc96864835"/>
      <w:r w:rsidRPr="00E70DD9">
        <w:rPr>
          <w:rFonts w:asciiTheme="minorHAnsi" w:hAnsiTheme="minorHAnsi" w:cstheme="minorHAnsi"/>
          <w:sz w:val="28"/>
          <w:szCs w:val="28"/>
        </w:rPr>
        <w:lastRenderedPageBreak/>
        <w:t xml:space="preserve">Decitabine vs. Decitabine with </w:t>
      </w:r>
      <w:r w:rsidR="006C550D">
        <w:rPr>
          <w:rFonts w:asciiTheme="minorHAnsi" w:hAnsiTheme="minorHAnsi" w:cstheme="minorHAnsi"/>
          <w:sz w:val="28"/>
          <w:szCs w:val="28"/>
        </w:rPr>
        <w:t>Venetoclax</w:t>
      </w:r>
      <w:bookmarkEnd w:id="8"/>
    </w:p>
    <w:p w14:paraId="349052AA" w14:textId="77777777" w:rsidR="00F108BD" w:rsidRPr="00F108BD" w:rsidRDefault="00F108BD" w:rsidP="00F108BD"/>
    <w:p w14:paraId="1FC00C37" w14:textId="74B07D0E" w:rsidR="00F108BD" w:rsidRPr="00F108BD" w:rsidRDefault="00F108BD" w:rsidP="00F108BD">
      <w:pPr>
        <w:keepNext/>
        <w:spacing w:after="200" w:line="240" w:lineRule="auto"/>
        <w:rPr>
          <w:i/>
          <w:iCs/>
        </w:rPr>
      </w:pPr>
      <w:r w:rsidRPr="00F108BD">
        <w:rPr>
          <w:i/>
          <w:iCs/>
        </w:rPr>
        <w:t xml:space="preserve">eTable </w:t>
      </w:r>
      <w:r w:rsidR="00BA5C75">
        <w:rPr>
          <w:i/>
          <w:iCs/>
        </w:rPr>
        <w:t>7</w:t>
      </w:r>
      <w:r w:rsidRPr="00F108BD">
        <w:rPr>
          <w:i/>
          <w:iCs/>
        </w:rPr>
        <w:t>. Decitabine doses and schedules</w:t>
      </w:r>
    </w:p>
    <w:tbl>
      <w:tblPr>
        <w:tblStyle w:val="TableGrid"/>
        <w:tblW w:w="7668" w:type="dxa"/>
        <w:tblLook w:val="04A0" w:firstRow="1" w:lastRow="0" w:firstColumn="1" w:lastColumn="0" w:noHBand="0" w:noVBand="1"/>
      </w:tblPr>
      <w:tblGrid>
        <w:gridCol w:w="4779"/>
        <w:gridCol w:w="1298"/>
        <w:gridCol w:w="1591"/>
      </w:tblGrid>
      <w:tr w:rsidR="00F108BD" w:rsidRPr="00F108BD" w14:paraId="2DF1DA01" w14:textId="77777777" w:rsidTr="000F7621">
        <w:trPr>
          <w:trHeight w:val="293"/>
        </w:trPr>
        <w:tc>
          <w:tcPr>
            <w:tcW w:w="4779" w:type="dxa"/>
            <w:noWrap/>
          </w:tcPr>
          <w:p w14:paraId="25A16642" w14:textId="77777777" w:rsidR="00F108BD" w:rsidRPr="00F108BD" w:rsidRDefault="00F108BD" w:rsidP="00F108BD">
            <w:pPr>
              <w:rPr>
                <w:rFonts w:cstheme="minorHAnsi"/>
              </w:rPr>
            </w:pPr>
            <w:r w:rsidRPr="00F108BD">
              <w:rPr>
                <w:rFonts w:cstheme="minorHAnsi"/>
              </w:rPr>
              <w:t>Dose</w:t>
            </w:r>
          </w:p>
        </w:tc>
        <w:tc>
          <w:tcPr>
            <w:tcW w:w="1298" w:type="dxa"/>
            <w:noWrap/>
          </w:tcPr>
          <w:p w14:paraId="3BDCC85F" w14:textId="77777777" w:rsidR="00F108BD" w:rsidRPr="00F108BD" w:rsidRDefault="00F108BD" w:rsidP="00F108BD">
            <w:pPr>
              <w:jc w:val="center"/>
              <w:rPr>
                <w:rFonts w:cstheme="minorHAnsi"/>
              </w:rPr>
            </w:pPr>
            <w:r w:rsidRPr="00F108BD">
              <w:rPr>
                <w:rFonts w:cstheme="minorHAnsi"/>
              </w:rPr>
              <w:t>Number</w:t>
            </w:r>
          </w:p>
        </w:tc>
        <w:tc>
          <w:tcPr>
            <w:tcW w:w="1591" w:type="dxa"/>
            <w:noWrap/>
          </w:tcPr>
          <w:p w14:paraId="1FFFA88D" w14:textId="61B4A13C" w:rsidR="00F108BD" w:rsidRPr="00F108BD" w:rsidRDefault="001A6A88" w:rsidP="00F108BD">
            <w:pPr>
              <w:jc w:val="center"/>
              <w:rPr>
                <w:rFonts w:cstheme="minorHAnsi"/>
              </w:rPr>
            </w:pPr>
            <w:r>
              <w:rPr>
                <w:rFonts w:cstheme="minorHAnsi"/>
              </w:rPr>
              <w:t>Proportion</w:t>
            </w:r>
          </w:p>
        </w:tc>
      </w:tr>
      <w:tr w:rsidR="00F108BD" w:rsidRPr="00F108BD" w14:paraId="3BD7388D" w14:textId="77777777" w:rsidTr="000F7621">
        <w:trPr>
          <w:trHeight w:val="293"/>
        </w:trPr>
        <w:tc>
          <w:tcPr>
            <w:tcW w:w="4779" w:type="dxa"/>
            <w:noWrap/>
            <w:hideMark/>
          </w:tcPr>
          <w:p w14:paraId="3245155B" w14:textId="77777777" w:rsidR="00F108BD" w:rsidRPr="00F108BD" w:rsidRDefault="00F108BD" w:rsidP="00F108BD">
            <w:pPr>
              <w:rPr>
                <w:rFonts w:cstheme="minorHAnsi"/>
              </w:rPr>
            </w:pPr>
            <w:r w:rsidRPr="00F108BD">
              <w:rPr>
                <w:rFonts w:cstheme="minorHAnsi"/>
              </w:rPr>
              <w:t>Decitabine 20 mg/m</w:t>
            </w:r>
            <w:r w:rsidRPr="00F108BD">
              <w:rPr>
                <w:rFonts w:cstheme="minorHAnsi"/>
                <w:vertAlign w:val="superscript"/>
              </w:rPr>
              <w:t>2</w:t>
            </w:r>
            <w:r w:rsidRPr="00F108BD">
              <w:rPr>
                <w:rFonts w:cstheme="minorHAnsi"/>
              </w:rPr>
              <w:t xml:space="preserve"> for five days</w:t>
            </w:r>
          </w:p>
        </w:tc>
        <w:tc>
          <w:tcPr>
            <w:tcW w:w="1298" w:type="dxa"/>
            <w:noWrap/>
            <w:hideMark/>
          </w:tcPr>
          <w:p w14:paraId="1F51185B" w14:textId="77777777" w:rsidR="00F108BD" w:rsidRPr="00F108BD" w:rsidRDefault="00F108BD" w:rsidP="00F108BD">
            <w:pPr>
              <w:jc w:val="center"/>
              <w:rPr>
                <w:rFonts w:cstheme="minorHAnsi"/>
              </w:rPr>
            </w:pPr>
            <w:r w:rsidRPr="00F108BD">
              <w:rPr>
                <w:rFonts w:cstheme="minorHAnsi"/>
              </w:rPr>
              <w:t>7</w:t>
            </w:r>
          </w:p>
        </w:tc>
        <w:tc>
          <w:tcPr>
            <w:tcW w:w="1591" w:type="dxa"/>
            <w:noWrap/>
            <w:vAlign w:val="bottom"/>
            <w:hideMark/>
          </w:tcPr>
          <w:p w14:paraId="05201BCD" w14:textId="77777777" w:rsidR="00F108BD" w:rsidRPr="00F108BD" w:rsidRDefault="00F108BD" w:rsidP="00F108BD">
            <w:pPr>
              <w:jc w:val="center"/>
              <w:rPr>
                <w:rFonts w:cstheme="minorHAnsi"/>
              </w:rPr>
            </w:pPr>
            <w:r w:rsidRPr="00F108BD">
              <w:rPr>
                <w:rFonts w:ascii="Calibri" w:hAnsi="Calibri" w:cs="Calibri"/>
                <w:color w:val="000000"/>
              </w:rPr>
              <w:t>0.08</w:t>
            </w:r>
          </w:p>
        </w:tc>
      </w:tr>
      <w:tr w:rsidR="00F108BD" w:rsidRPr="00F108BD" w14:paraId="5F884846" w14:textId="77777777" w:rsidTr="000F7621">
        <w:trPr>
          <w:trHeight w:val="293"/>
        </w:trPr>
        <w:tc>
          <w:tcPr>
            <w:tcW w:w="4779" w:type="dxa"/>
            <w:noWrap/>
            <w:hideMark/>
          </w:tcPr>
          <w:p w14:paraId="4AA15216" w14:textId="77777777" w:rsidR="00F108BD" w:rsidRPr="00F108BD" w:rsidRDefault="00F108BD" w:rsidP="00F108BD">
            <w:pPr>
              <w:rPr>
                <w:rFonts w:cstheme="minorHAnsi"/>
              </w:rPr>
            </w:pPr>
            <w:r w:rsidRPr="00F108BD">
              <w:rPr>
                <w:rFonts w:cstheme="minorHAnsi"/>
              </w:rPr>
              <w:t>Decitabine 10 mg/m</w:t>
            </w:r>
            <w:r w:rsidRPr="00F108BD">
              <w:rPr>
                <w:rFonts w:cstheme="minorHAnsi"/>
                <w:vertAlign w:val="superscript"/>
              </w:rPr>
              <w:t>2</w:t>
            </w:r>
            <w:r w:rsidRPr="00F108BD">
              <w:rPr>
                <w:rFonts w:cstheme="minorHAnsi"/>
              </w:rPr>
              <w:t xml:space="preserve"> for ten days</w:t>
            </w:r>
          </w:p>
        </w:tc>
        <w:tc>
          <w:tcPr>
            <w:tcW w:w="1298" w:type="dxa"/>
            <w:noWrap/>
            <w:hideMark/>
          </w:tcPr>
          <w:p w14:paraId="29D7002B" w14:textId="77777777" w:rsidR="00F108BD" w:rsidRPr="00F108BD" w:rsidRDefault="00F108BD" w:rsidP="00F108BD">
            <w:pPr>
              <w:jc w:val="center"/>
              <w:rPr>
                <w:rFonts w:cstheme="minorHAnsi"/>
              </w:rPr>
            </w:pPr>
            <w:r w:rsidRPr="00F108BD">
              <w:rPr>
                <w:rFonts w:cstheme="minorHAnsi"/>
              </w:rPr>
              <w:t>21</w:t>
            </w:r>
          </w:p>
        </w:tc>
        <w:tc>
          <w:tcPr>
            <w:tcW w:w="1591" w:type="dxa"/>
            <w:noWrap/>
            <w:vAlign w:val="bottom"/>
            <w:hideMark/>
          </w:tcPr>
          <w:p w14:paraId="382E33DC" w14:textId="77777777" w:rsidR="00F108BD" w:rsidRPr="00F108BD" w:rsidRDefault="00F108BD" w:rsidP="00F108BD">
            <w:pPr>
              <w:jc w:val="center"/>
              <w:rPr>
                <w:rFonts w:cstheme="minorHAnsi"/>
              </w:rPr>
            </w:pPr>
            <w:r w:rsidRPr="00F108BD">
              <w:rPr>
                <w:rFonts w:ascii="Calibri" w:hAnsi="Calibri" w:cs="Calibri"/>
                <w:color w:val="000000"/>
              </w:rPr>
              <w:t>0.25</w:t>
            </w:r>
          </w:p>
        </w:tc>
      </w:tr>
      <w:tr w:rsidR="00F108BD" w:rsidRPr="00F108BD" w14:paraId="0A0225B9" w14:textId="77777777" w:rsidTr="000F7621">
        <w:trPr>
          <w:trHeight w:val="293"/>
        </w:trPr>
        <w:tc>
          <w:tcPr>
            <w:tcW w:w="4779" w:type="dxa"/>
            <w:noWrap/>
            <w:hideMark/>
          </w:tcPr>
          <w:p w14:paraId="0A499EF8" w14:textId="77777777" w:rsidR="00F108BD" w:rsidRPr="00F108BD" w:rsidRDefault="00F108BD" w:rsidP="00F108BD">
            <w:pPr>
              <w:rPr>
                <w:rFonts w:cstheme="minorHAnsi"/>
              </w:rPr>
            </w:pPr>
            <w:r w:rsidRPr="00F108BD">
              <w:rPr>
                <w:rFonts w:cstheme="minorHAnsi"/>
              </w:rPr>
              <w:t>Decitabine 10 mg/m</w:t>
            </w:r>
            <w:r w:rsidRPr="00F108BD">
              <w:rPr>
                <w:rFonts w:cstheme="minorHAnsi"/>
                <w:vertAlign w:val="superscript"/>
              </w:rPr>
              <w:t>2</w:t>
            </w:r>
            <w:r w:rsidRPr="00F108BD">
              <w:rPr>
                <w:rFonts w:cstheme="minorHAnsi"/>
              </w:rPr>
              <w:t xml:space="preserve"> for five days</w:t>
            </w:r>
          </w:p>
        </w:tc>
        <w:tc>
          <w:tcPr>
            <w:tcW w:w="1298" w:type="dxa"/>
            <w:noWrap/>
            <w:hideMark/>
          </w:tcPr>
          <w:p w14:paraId="45643509" w14:textId="77777777" w:rsidR="00F108BD" w:rsidRPr="00F108BD" w:rsidRDefault="00F108BD" w:rsidP="00F108BD">
            <w:pPr>
              <w:jc w:val="center"/>
              <w:rPr>
                <w:rFonts w:cstheme="minorHAnsi"/>
              </w:rPr>
            </w:pPr>
            <w:r w:rsidRPr="00F108BD">
              <w:rPr>
                <w:rFonts w:cstheme="minorHAnsi"/>
              </w:rPr>
              <w:t>1</w:t>
            </w:r>
          </w:p>
        </w:tc>
        <w:tc>
          <w:tcPr>
            <w:tcW w:w="1591" w:type="dxa"/>
            <w:noWrap/>
            <w:vAlign w:val="bottom"/>
            <w:hideMark/>
          </w:tcPr>
          <w:p w14:paraId="305362CD" w14:textId="77777777" w:rsidR="00F108BD" w:rsidRPr="00F108BD" w:rsidRDefault="00F108BD" w:rsidP="00F108BD">
            <w:pPr>
              <w:jc w:val="center"/>
              <w:rPr>
                <w:rFonts w:cstheme="minorHAnsi"/>
              </w:rPr>
            </w:pPr>
            <w:r w:rsidRPr="00F108BD">
              <w:rPr>
                <w:rFonts w:ascii="Calibri" w:hAnsi="Calibri" w:cs="Calibri"/>
                <w:color w:val="000000"/>
              </w:rPr>
              <w:t>0.01</w:t>
            </w:r>
          </w:p>
        </w:tc>
      </w:tr>
      <w:tr w:rsidR="00F108BD" w:rsidRPr="00F108BD" w14:paraId="16A4A38B" w14:textId="77777777" w:rsidTr="000F7621">
        <w:trPr>
          <w:trHeight w:val="293"/>
        </w:trPr>
        <w:tc>
          <w:tcPr>
            <w:tcW w:w="4779" w:type="dxa"/>
            <w:noWrap/>
            <w:hideMark/>
          </w:tcPr>
          <w:p w14:paraId="0F6DD61E" w14:textId="77777777" w:rsidR="00F108BD" w:rsidRPr="00F108BD" w:rsidRDefault="00F108BD" w:rsidP="00F108BD">
            <w:pPr>
              <w:rPr>
                <w:rFonts w:cstheme="minorHAnsi"/>
              </w:rPr>
            </w:pPr>
            <w:r w:rsidRPr="00F108BD">
              <w:rPr>
                <w:rFonts w:cstheme="minorHAnsi"/>
              </w:rPr>
              <w:t>Decitabine 20 mg/m</w:t>
            </w:r>
            <w:r w:rsidRPr="00F108BD">
              <w:rPr>
                <w:rFonts w:cstheme="minorHAnsi"/>
                <w:vertAlign w:val="superscript"/>
              </w:rPr>
              <w:t>2</w:t>
            </w:r>
            <w:r w:rsidRPr="00F108BD">
              <w:rPr>
                <w:rFonts w:cstheme="minorHAnsi"/>
              </w:rPr>
              <w:t xml:space="preserve"> for ten days</w:t>
            </w:r>
          </w:p>
        </w:tc>
        <w:tc>
          <w:tcPr>
            <w:tcW w:w="1298" w:type="dxa"/>
            <w:noWrap/>
            <w:hideMark/>
          </w:tcPr>
          <w:p w14:paraId="03BC0150" w14:textId="77777777" w:rsidR="00F108BD" w:rsidRPr="00F108BD" w:rsidRDefault="00F108BD" w:rsidP="00F108BD">
            <w:pPr>
              <w:jc w:val="center"/>
              <w:rPr>
                <w:rFonts w:cstheme="minorHAnsi"/>
              </w:rPr>
            </w:pPr>
            <w:r w:rsidRPr="00F108BD">
              <w:rPr>
                <w:rFonts w:cstheme="minorHAnsi"/>
              </w:rPr>
              <w:t>55</w:t>
            </w:r>
          </w:p>
        </w:tc>
        <w:tc>
          <w:tcPr>
            <w:tcW w:w="1591" w:type="dxa"/>
            <w:noWrap/>
            <w:vAlign w:val="bottom"/>
            <w:hideMark/>
          </w:tcPr>
          <w:p w14:paraId="5E8B0751" w14:textId="77777777" w:rsidR="00F108BD" w:rsidRPr="00F108BD" w:rsidRDefault="00F108BD" w:rsidP="00F108BD">
            <w:pPr>
              <w:jc w:val="center"/>
              <w:rPr>
                <w:rFonts w:cstheme="minorHAnsi"/>
              </w:rPr>
            </w:pPr>
            <w:r w:rsidRPr="00F108BD">
              <w:rPr>
                <w:rFonts w:ascii="Calibri" w:hAnsi="Calibri" w:cs="Calibri"/>
                <w:color w:val="000000"/>
              </w:rPr>
              <w:t>0.65</w:t>
            </w:r>
          </w:p>
        </w:tc>
      </w:tr>
      <w:tr w:rsidR="00F108BD" w:rsidRPr="00F108BD" w14:paraId="46AD2487" w14:textId="77777777" w:rsidTr="000F7621">
        <w:trPr>
          <w:trHeight w:val="293"/>
        </w:trPr>
        <w:tc>
          <w:tcPr>
            <w:tcW w:w="4779" w:type="dxa"/>
            <w:noWrap/>
            <w:hideMark/>
          </w:tcPr>
          <w:p w14:paraId="4522BB4D" w14:textId="77777777" w:rsidR="00F108BD" w:rsidRPr="00F108BD" w:rsidRDefault="00F108BD" w:rsidP="00F108BD">
            <w:pPr>
              <w:rPr>
                <w:rFonts w:cstheme="minorHAnsi"/>
              </w:rPr>
            </w:pPr>
          </w:p>
        </w:tc>
        <w:tc>
          <w:tcPr>
            <w:tcW w:w="1298" w:type="dxa"/>
            <w:noWrap/>
            <w:hideMark/>
          </w:tcPr>
          <w:p w14:paraId="60784E77" w14:textId="77777777" w:rsidR="00F108BD" w:rsidRPr="00F108BD" w:rsidRDefault="00F108BD" w:rsidP="00F108BD">
            <w:pPr>
              <w:jc w:val="center"/>
              <w:rPr>
                <w:rFonts w:cstheme="minorHAnsi"/>
              </w:rPr>
            </w:pPr>
          </w:p>
        </w:tc>
        <w:tc>
          <w:tcPr>
            <w:tcW w:w="1591" w:type="dxa"/>
            <w:noWrap/>
            <w:vAlign w:val="bottom"/>
            <w:hideMark/>
          </w:tcPr>
          <w:p w14:paraId="02670EBD" w14:textId="77777777" w:rsidR="00F108BD" w:rsidRPr="00F108BD" w:rsidRDefault="00F108BD" w:rsidP="00F108BD">
            <w:pPr>
              <w:jc w:val="center"/>
              <w:rPr>
                <w:rFonts w:cstheme="minorHAnsi"/>
              </w:rPr>
            </w:pPr>
          </w:p>
        </w:tc>
      </w:tr>
      <w:tr w:rsidR="00F108BD" w:rsidRPr="00F108BD" w14:paraId="7CA99208" w14:textId="77777777" w:rsidTr="000F7621">
        <w:trPr>
          <w:trHeight w:val="293"/>
        </w:trPr>
        <w:tc>
          <w:tcPr>
            <w:tcW w:w="4779" w:type="dxa"/>
            <w:noWrap/>
            <w:hideMark/>
          </w:tcPr>
          <w:p w14:paraId="7B5F2DE7" w14:textId="77777777" w:rsidR="00F108BD" w:rsidRPr="00F108BD" w:rsidRDefault="00F108BD" w:rsidP="00F108BD">
            <w:pPr>
              <w:rPr>
                <w:rFonts w:cstheme="minorHAnsi"/>
              </w:rPr>
            </w:pPr>
            <w:r w:rsidRPr="00F108BD">
              <w:rPr>
                <w:rFonts w:cstheme="minorHAnsi"/>
              </w:rPr>
              <w:t>Ven + Decitabine 20 mg/m</w:t>
            </w:r>
            <w:r w:rsidRPr="00F108BD">
              <w:rPr>
                <w:rFonts w:cstheme="minorHAnsi"/>
                <w:vertAlign w:val="superscript"/>
              </w:rPr>
              <w:t>2</w:t>
            </w:r>
            <w:r w:rsidRPr="00F108BD">
              <w:rPr>
                <w:rFonts w:cstheme="minorHAnsi"/>
              </w:rPr>
              <w:t xml:space="preserve"> for five days</w:t>
            </w:r>
          </w:p>
        </w:tc>
        <w:tc>
          <w:tcPr>
            <w:tcW w:w="1298" w:type="dxa"/>
            <w:noWrap/>
            <w:hideMark/>
          </w:tcPr>
          <w:p w14:paraId="0D70E61D" w14:textId="77777777" w:rsidR="00F108BD" w:rsidRPr="00F108BD" w:rsidRDefault="00F108BD" w:rsidP="00F108BD">
            <w:pPr>
              <w:jc w:val="center"/>
              <w:rPr>
                <w:rFonts w:cstheme="minorHAnsi"/>
              </w:rPr>
            </w:pPr>
            <w:r w:rsidRPr="00F108BD">
              <w:rPr>
                <w:rFonts w:cstheme="minorHAnsi"/>
              </w:rPr>
              <w:t>3</w:t>
            </w:r>
          </w:p>
        </w:tc>
        <w:tc>
          <w:tcPr>
            <w:tcW w:w="1591" w:type="dxa"/>
            <w:noWrap/>
            <w:vAlign w:val="bottom"/>
            <w:hideMark/>
          </w:tcPr>
          <w:p w14:paraId="3F38AF4A" w14:textId="77777777" w:rsidR="00F108BD" w:rsidRPr="00F108BD" w:rsidRDefault="00F108BD" w:rsidP="00F108BD">
            <w:pPr>
              <w:jc w:val="center"/>
              <w:rPr>
                <w:rFonts w:cstheme="minorHAnsi"/>
              </w:rPr>
            </w:pPr>
            <w:r w:rsidRPr="00F108BD">
              <w:rPr>
                <w:rFonts w:ascii="Calibri" w:hAnsi="Calibri" w:cs="Calibri"/>
                <w:color w:val="000000"/>
              </w:rPr>
              <w:t>0.11</w:t>
            </w:r>
          </w:p>
        </w:tc>
      </w:tr>
      <w:tr w:rsidR="00F108BD" w:rsidRPr="00F108BD" w14:paraId="269F611B" w14:textId="77777777" w:rsidTr="000F7621">
        <w:trPr>
          <w:trHeight w:val="293"/>
        </w:trPr>
        <w:tc>
          <w:tcPr>
            <w:tcW w:w="4779" w:type="dxa"/>
            <w:noWrap/>
            <w:hideMark/>
          </w:tcPr>
          <w:p w14:paraId="1054292E" w14:textId="3BBF53CA" w:rsidR="00F108BD" w:rsidRPr="00F108BD" w:rsidRDefault="00BA5C75" w:rsidP="00F108BD">
            <w:pPr>
              <w:rPr>
                <w:rFonts w:cstheme="minorHAnsi"/>
              </w:rPr>
            </w:pPr>
            <w:r>
              <w:rPr>
                <w:rFonts w:cstheme="minorHAnsi"/>
              </w:rPr>
              <w:t>V</w:t>
            </w:r>
            <w:r w:rsidR="00F108BD" w:rsidRPr="00F108BD">
              <w:rPr>
                <w:rFonts w:cstheme="minorHAnsi"/>
              </w:rPr>
              <w:t xml:space="preserve">en + </w:t>
            </w:r>
            <w:r w:rsidR="001A6A88">
              <w:rPr>
                <w:rFonts w:cstheme="minorHAnsi"/>
              </w:rPr>
              <w:t>D</w:t>
            </w:r>
            <w:r w:rsidR="00F108BD" w:rsidRPr="00F108BD">
              <w:rPr>
                <w:rFonts w:cstheme="minorHAnsi"/>
              </w:rPr>
              <w:t>ecitabine 20 mg/m</w:t>
            </w:r>
            <w:r w:rsidR="00F108BD" w:rsidRPr="00F108BD">
              <w:rPr>
                <w:rFonts w:cstheme="minorHAnsi"/>
                <w:vertAlign w:val="superscript"/>
              </w:rPr>
              <w:t>2</w:t>
            </w:r>
            <w:r w:rsidR="00F108BD" w:rsidRPr="00F108BD">
              <w:rPr>
                <w:rFonts w:cstheme="minorHAnsi"/>
              </w:rPr>
              <w:t xml:space="preserve"> for ten days</w:t>
            </w:r>
          </w:p>
        </w:tc>
        <w:tc>
          <w:tcPr>
            <w:tcW w:w="1298" w:type="dxa"/>
            <w:noWrap/>
            <w:hideMark/>
          </w:tcPr>
          <w:p w14:paraId="07BC8F53" w14:textId="77777777" w:rsidR="00F108BD" w:rsidRPr="00F108BD" w:rsidRDefault="00F108BD" w:rsidP="00F108BD">
            <w:pPr>
              <w:jc w:val="center"/>
              <w:rPr>
                <w:rFonts w:cstheme="minorHAnsi"/>
              </w:rPr>
            </w:pPr>
            <w:r w:rsidRPr="00F108BD">
              <w:rPr>
                <w:rFonts w:cstheme="minorHAnsi"/>
              </w:rPr>
              <w:t>24</w:t>
            </w:r>
          </w:p>
        </w:tc>
        <w:tc>
          <w:tcPr>
            <w:tcW w:w="1591" w:type="dxa"/>
            <w:noWrap/>
            <w:vAlign w:val="bottom"/>
            <w:hideMark/>
          </w:tcPr>
          <w:p w14:paraId="67D30CCF" w14:textId="77777777" w:rsidR="00F108BD" w:rsidRPr="00F108BD" w:rsidRDefault="00F108BD" w:rsidP="00F108BD">
            <w:pPr>
              <w:jc w:val="center"/>
              <w:rPr>
                <w:rFonts w:cstheme="minorHAnsi"/>
              </w:rPr>
            </w:pPr>
            <w:r w:rsidRPr="00F108BD">
              <w:rPr>
                <w:rFonts w:ascii="Calibri" w:hAnsi="Calibri" w:cs="Calibri"/>
                <w:color w:val="000000"/>
              </w:rPr>
              <w:t>0.89</w:t>
            </w:r>
          </w:p>
        </w:tc>
      </w:tr>
    </w:tbl>
    <w:p w14:paraId="2A35BD0A" w14:textId="47CE1A07" w:rsidR="00F108BD" w:rsidRDefault="00F108BD" w:rsidP="00F108BD"/>
    <w:p w14:paraId="48C958AE" w14:textId="06733E01" w:rsidR="00F108BD" w:rsidRDefault="00F108BD" w:rsidP="00F108BD"/>
    <w:p w14:paraId="0E1E6610" w14:textId="28B9CDEE" w:rsidR="00F108BD" w:rsidRDefault="00F108BD" w:rsidP="00F108BD"/>
    <w:p w14:paraId="7B1DF847" w14:textId="4097D1F1" w:rsidR="00F108BD" w:rsidRDefault="00F108BD" w:rsidP="00F108BD"/>
    <w:p w14:paraId="1B5DF1A8" w14:textId="4922EF42" w:rsidR="00F108BD" w:rsidRDefault="00F108BD" w:rsidP="00F108BD"/>
    <w:p w14:paraId="5C418EDE" w14:textId="77777777" w:rsidR="00F108BD" w:rsidRPr="000F7621" w:rsidRDefault="00F108BD" w:rsidP="000F7621"/>
    <w:p w14:paraId="7862DCDB" w14:textId="33F80793" w:rsidR="00BA5DA5" w:rsidRPr="00E70DD9" w:rsidRDefault="74E6DB36" w:rsidP="06A1B8C2">
      <w:pPr>
        <w:pStyle w:val="Caption"/>
        <w:keepNext/>
        <w:rPr>
          <w:color w:val="000000" w:themeColor="text1"/>
          <w:sz w:val="22"/>
          <w:szCs w:val="22"/>
        </w:rPr>
      </w:pPr>
      <w:r w:rsidRPr="06A1B8C2">
        <w:rPr>
          <w:color w:val="000000" w:themeColor="text1"/>
          <w:sz w:val="22"/>
          <w:szCs w:val="22"/>
        </w:rPr>
        <w:lastRenderedPageBreak/>
        <w:t>e</w:t>
      </w:r>
      <w:r w:rsidR="1A7CA703" w:rsidRPr="06A1B8C2">
        <w:rPr>
          <w:color w:val="000000" w:themeColor="text1"/>
          <w:sz w:val="22"/>
          <w:szCs w:val="22"/>
        </w:rPr>
        <w:t xml:space="preserve">Figure </w:t>
      </w:r>
      <w:r w:rsidR="000102A2">
        <w:rPr>
          <w:color w:val="000000" w:themeColor="text1"/>
          <w:sz w:val="22"/>
          <w:szCs w:val="22"/>
        </w:rPr>
        <w:t>5</w:t>
      </w:r>
      <w:r w:rsidR="277FE8B0" w:rsidRPr="06A1B8C2">
        <w:rPr>
          <w:color w:val="000000" w:themeColor="text1"/>
          <w:sz w:val="22"/>
          <w:szCs w:val="22"/>
        </w:rPr>
        <w:t xml:space="preserve">. </w:t>
      </w:r>
      <w:r w:rsidR="1A7CA703" w:rsidRPr="06A1B8C2">
        <w:rPr>
          <w:color w:val="000000" w:themeColor="text1"/>
          <w:sz w:val="22"/>
          <w:szCs w:val="22"/>
        </w:rPr>
        <w:t xml:space="preserve"> Covariate balance before and after propensity score weighting</w:t>
      </w:r>
      <w:r w:rsidR="277FE8B0" w:rsidRPr="06A1B8C2">
        <w:rPr>
          <w:color w:val="000000" w:themeColor="text1"/>
          <w:sz w:val="22"/>
          <w:szCs w:val="22"/>
        </w:rPr>
        <w:t xml:space="preserve"> in DEC vs. DEC-VEN patients</w:t>
      </w:r>
    </w:p>
    <w:p w14:paraId="00B9FCB9" w14:textId="0CC6BFC7" w:rsidR="0068419C" w:rsidRPr="00E70DD9" w:rsidRDefault="2A016661" w:rsidP="06A1B8C2">
      <w:r>
        <w:rPr>
          <w:noProof/>
        </w:rPr>
        <w:drawing>
          <wp:inline distT="0" distB="0" distL="0" distR="0" wp14:anchorId="0763AA2B" wp14:editId="6AB75131">
            <wp:extent cx="6680679" cy="4425950"/>
            <wp:effectExtent l="0" t="0" r="6350" b="0"/>
            <wp:docPr id="1813926330" name="Picture 18139263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extLst>
                        <a:ext uri="{28A0092B-C50C-407E-A947-70E740481C1C}">
                          <a14:useLocalDpi xmlns:a14="http://schemas.microsoft.com/office/drawing/2010/main" val="0"/>
                        </a:ext>
                      </a:extLst>
                    </a:blip>
                    <a:stretch>
                      <a:fillRect/>
                    </a:stretch>
                  </pic:blipFill>
                  <pic:spPr>
                    <a:xfrm>
                      <a:off x="0" y="0"/>
                      <a:ext cx="6691238" cy="4432945"/>
                    </a:xfrm>
                    <a:prstGeom prst="rect">
                      <a:avLst/>
                    </a:prstGeom>
                  </pic:spPr>
                </pic:pic>
              </a:graphicData>
            </a:graphic>
          </wp:inline>
        </w:drawing>
      </w:r>
    </w:p>
    <w:p w14:paraId="3211F84E" w14:textId="52BF894A" w:rsidR="009D3E35" w:rsidRDefault="009D3E35" w:rsidP="000763A0">
      <w:pPr>
        <w:rPr>
          <w:rFonts w:cstheme="minorHAnsi"/>
          <w:color w:val="000000" w:themeColor="text1"/>
        </w:rPr>
      </w:pPr>
    </w:p>
    <w:p w14:paraId="1902CE4D" w14:textId="64D05626" w:rsidR="00F108BD" w:rsidRDefault="00F108BD" w:rsidP="000763A0">
      <w:pPr>
        <w:rPr>
          <w:rFonts w:cstheme="minorHAnsi"/>
          <w:color w:val="000000" w:themeColor="text1"/>
        </w:rPr>
      </w:pPr>
    </w:p>
    <w:p w14:paraId="399AB973" w14:textId="77777777" w:rsidR="00F108BD" w:rsidRPr="00E70DD9" w:rsidRDefault="00F108BD" w:rsidP="000763A0">
      <w:pPr>
        <w:rPr>
          <w:rFonts w:cstheme="minorHAnsi"/>
          <w:color w:val="000000" w:themeColor="text1"/>
        </w:rPr>
      </w:pPr>
    </w:p>
    <w:p w14:paraId="02E871CF" w14:textId="412BAAE8" w:rsidR="00336EBD" w:rsidRPr="00E70DD9" w:rsidRDefault="004B0DD4" w:rsidP="4D0486C2">
      <w:pPr>
        <w:pStyle w:val="Caption"/>
        <w:keepNext/>
        <w:rPr>
          <w:color w:val="000000" w:themeColor="text1"/>
          <w:sz w:val="22"/>
          <w:szCs w:val="22"/>
        </w:rPr>
      </w:pPr>
      <w:r>
        <w:rPr>
          <w:color w:val="000000" w:themeColor="text1"/>
          <w:sz w:val="22"/>
          <w:szCs w:val="22"/>
        </w:rPr>
        <w:lastRenderedPageBreak/>
        <w:t>e</w:t>
      </w:r>
      <w:r w:rsidR="677A6907" w:rsidRPr="4D0486C2">
        <w:rPr>
          <w:color w:val="000000" w:themeColor="text1"/>
          <w:sz w:val="22"/>
          <w:szCs w:val="22"/>
        </w:rPr>
        <w:t>Table</w:t>
      </w:r>
      <w:r w:rsidR="00336EBD" w:rsidRPr="4D0486C2">
        <w:rPr>
          <w:color w:val="000000" w:themeColor="text1"/>
          <w:sz w:val="22"/>
          <w:szCs w:val="22"/>
        </w:rPr>
        <w:t xml:space="preserve"> </w:t>
      </w:r>
      <w:r w:rsidR="002A56F3">
        <w:rPr>
          <w:color w:val="000000" w:themeColor="text1"/>
          <w:sz w:val="22"/>
          <w:szCs w:val="22"/>
        </w:rPr>
        <w:t>8</w:t>
      </w:r>
      <w:r w:rsidR="00336EBD" w:rsidRPr="4D0486C2">
        <w:rPr>
          <w:color w:val="000000" w:themeColor="text1"/>
          <w:sz w:val="22"/>
          <w:szCs w:val="22"/>
        </w:rPr>
        <w:t xml:space="preserve"> </w:t>
      </w:r>
      <w:bookmarkStart w:id="9" w:name="_Hlk86154163"/>
      <w:r w:rsidR="00336EBD" w:rsidRPr="4D0486C2">
        <w:rPr>
          <w:color w:val="000000" w:themeColor="text1"/>
          <w:sz w:val="22"/>
          <w:szCs w:val="22"/>
        </w:rPr>
        <w:t xml:space="preserve">Adjusted Overall Survival at months 12  for AML patients treated with Decitabine vs. Decitabine plus </w:t>
      </w:r>
      <w:r w:rsidR="006C550D" w:rsidRPr="4D0486C2">
        <w:rPr>
          <w:color w:val="000000" w:themeColor="text1"/>
          <w:sz w:val="22"/>
          <w:szCs w:val="22"/>
        </w:rPr>
        <w:t>Venetoclax</w:t>
      </w:r>
      <w:bookmarkEnd w:id="9"/>
    </w:p>
    <w:tbl>
      <w:tblPr>
        <w:tblStyle w:val="TableGrid"/>
        <w:tblW w:w="5000" w:type="pct"/>
        <w:tblLook w:val="04A0" w:firstRow="1" w:lastRow="0" w:firstColumn="1" w:lastColumn="0" w:noHBand="0" w:noVBand="1"/>
      </w:tblPr>
      <w:tblGrid>
        <w:gridCol w:w="1255"/>
        <w:gridCol w:w="4835"/>
        <w:gridCol w:w="1715"/>
        <w:gridCol w:w="1715"/>
        <w:gridCol w:w="1715"/>
        <w:gridCol w:w="1715"/>
      </w:tblGrid>
      <w:tr w:rsidR="00310F97" w:rsidRPr="00E70DD9" w14:paraId="162CD8F4" w14:textId="77777777" w:rsidTr="00310F97">
        <w:trPr>
          <w:trHeight w:val="290"/>
        </w:trPr>
        <w:tc>
          <w:tcPr>
            <w:tcW w:w="485" w:type="pct"/>
            <w:noWrap/>
            <w:hideMark/>
          </w:tcPr>
          <w:p w14:paraId="62BD2763" w14:textId="77777777" w:rsidR="00310F97" w:rsidRPr="00E70DD9" w:rsidRDefault="00310F97" w:rsidP="00310F97">
            <w:pPr>
              <w:rPr>
                <w:rFonts w:cstheme="minorHAnsi"/>
              </w:rPr>
            </w:pPr>
          </w:p>
        </w:tc>
        <w:tc>
          <w:tcPr>
            <w:tcW w:w="1867" w:type="pct"/>
            <w:noWrap/>
            <w:hideMark/>
          </w:tcPr>
          <w:p w14:paraId="0D9CE84B" w14:textId="77777777" w:rsidR="00310F97" w:rsidRPr="00E70DD9" w:rsidRDefault="00310F97" w:rsidP="00310F97">
            <w:pPr>
              <w:rPr>
                <w:rFonts w:cstheme="minorHAnsi"/>
              </w:rPr>
            </w:pPr>
            <w:r w:rsidRPr="00E70DD9">
              <w:rPr>
                <w:rFonts w:cstheme="minorHAnsi"/>
              </w:rPr>
              <w:t>strata</w:t>
            </w:r>
          </w:p>
        </w:tc>
        <w:tc>
          <w:tcPr>
            <w:tcW w:w="662" w:type="pct"/>
            <w:noWrap/>
            <w:hideMark/>
          </w:tcPr>
          <w:p w14:paraId="57884B3A" w14:textId="3B09D5F4" w:rsidR="00310F97" w:rsidRPr="00E70DD9" w:rsidRDefault="00310F97" w:rsidP="00310F97">
            <w:pPr>
              <w:rPr>
                <w:rFonts w:cstheme="minorHAnsi"/>
              </w:rPr>
            </w:pPr>
            <w:r w:rsidRPr="00E70DD9">
              <w:rPr>
                <w:rFonts w:cstheme="minorHAnsi"/>
              </w:rPr>
              <w:t>Time (months)</w:t>
            </w:r>
          </w:p>
        </w:tc>
        <w:tc>
          <w:tcPr>
            <w:tcW w:w="662" w:type="pct"/>
            <w:noWrap/>
            <w:hideMark/>
          </w:tcPr>
          <w:p w14:paraId="22BAE2F0" w14:textId="5A4399CB" w:rsidR="00310F97" w:rsidRPr="00E70DD9" w:rsidRDefault="00310F97" w:rsidP="00310F97">
            <w:pPr>
              <w:jc w:val="center"/>
              <w:rPr>
                <w:rFonts w:cstheme="minorHAnsi"/>
              </w:rPr>
            </w:pPr>
            <w:r>
              <w:rPr>
                <w:rFonts w:cstheme="minorHAnsi"/>
              </w:rPr>
              <w:t>S</w:t>
            </w:r>
            <w:r w:rsidRPr="00E70DD9">
              <w:rPr>
                <w:rFonts w:cstheme="minorHAnsi"/>
              </w:rPr>
              <w:t>urvival</w:t>
            </w:r>
          </w:p>
        </w:tc>
        <w:tc>
          <w:tcPr>
            <w:tcW w:w="662" w:type="pct"/>
            <w:noWrap/>
            <w:hideMark/>
          </w:tcPr>
          <w:p w14:paraId="76A0D61E" w14:textId="5640C5B8" w:rsidR="00310F97" w:rsidRPr="00E70DD9" w:rsidRDefault="00310F97" w:rsidP="00310F97">
            <w:pPr>
              <w:jc w:val="center"/>
              <w:rPr>
                <w:rFonts w:cstheme="minorHAnsi"/>
              </w:rPr>
            </w:pPr>
            <w:r w:rsidRPr="00E70DD9">
              <w:rPr>
                <w:rFonts w:cstheme="minorHAnsi"/>
              </w:rPr>
              <w:t>Lower</w:t>
            </w:r>
            <w:r>
              <w:rPr>
                <w:rFonts w:cstheme="minorHAnsi"/>
              </w:rPr>
              <w:t xml:space="preserve"> CI</w:t>
            </w:r>
          </w:p>
        </w:tc>
        <w:tc>
          <w:tcPr>
            <w:tcW w:w="662" w:type="pct"/>
            <w:noWrap/>
            <w:hideMark/>
          </w:tcPr>
          <w:p w14:paraId="1343414D" w14:textId="021DC6BA" w:rsidR="00310F97" w:rsidRPr="00E70DD9" w:rsidRDefault="00310F97" w:rsidP="00310F97">
            <w:pPr>
              <w:jc w:val="center"/>
              <w:rPr>
                <w:rFonts w:cstheme="minorHAnsi"/>
              </w:rPr>
            </w:pPr>
            <w:r w:rsidRPr="00E70DD9">
              <w:rPr>
                <w:rFonts w:cstheme="minorHAnsi"/>
              </w:rPr>
              <w:t>Upper</w:t>
            </w:r>
            <w:r>
              <w:rPr>
                <w:rFonts w:cstheme="minorHAnsi"/>
              </w:rPr>
              <w:t xml:space="preserve"> CI</w:t>
            </w:r>
          </w:p>
        </w:tc>
      </w:tr>
      <w:tr w:rsidR="00336EBD" w:rsidRPr="00E70DD9" w14:paraId="38947D45" w14:textId="77777777" w:rsidTr="00310F97">
        <w:trPr>
          <w:trHeight w:val="290"/>
        </w:trPr>
        <w:tc>
          <w:tcPr>
            <w:tcW w:w="485" w:type="pct"/>
            <w:noWrap/>
            <w:hideMark/>
          </w:tcPr>
          <w:p w14:paraId="518BC209" w14:textId="77777777" w:rsidR="00336EBD" w:rsidRPr="00E70DD9" w:rsidRDefault="00336EBD" w:rsidP="00336EBD">
            <w:pPr>
              <w:rPr>
                <w:rFonts w:cstheme="minorHAnsi"/>
              </w:rPr>
            </w:pPr>
            <w:r w:rsidRPr="00E70DD9">
              <w:rPr>
                <w:rFonts w:cstheme="minorHAnsi"/>
              </w:rPr>
              <w:t>1</w:t>
            </w:r>
          </w:p>
        </w:tc>
        <w:tc>
          <w:tcPr>
            <w:tcW w:w="1867" w:type="pct"/>
            <w:noWrap/>
            <w:hideMark/>
          </w:tcPr>
          <w:p w14:paraId="799FB25A" w14:textId="77777777" w:rsidR="00336EBD" w:rsidRPr="00E70DD9" w:rsidRDefault="00336EBD" w:rsidP="00336EBD">
            <w:pPr>
              <w:rPr>
                <w:rFonts w:cstheme="minorHAnsi"/>
              </w:rPr>
            </w:pPr>
            <w:r w:rsidRPr="00E70DD9">
              <w:rPr>
                <w:rFonts w:cstheme="minorHAnsi"/>
              </w:rPr>
              <w:t>Decitabine</w:t>
            </w:r>
          </w:p>
        </w:tc>
        <w:tc>
          <w:tcPr>
            <w:tcW w:w="662" w:type="pct"/>
            <w:noWrap/>
            <w:hideMark/>
          </w:tcPr>
          <w:p w14:paraId="7E8A13CA" w14:textId="77777777" w:rsidR="00336EBD" w:rsidRPr="00E70DD9" w:rsidRDefault="00336EBD" w:rsidP="00310F97">
            <w:pPr>
              <w:jc w:val="center"/>
              <w:rPr>
                <w:rFonts w:cstheme="minorHAnsi"/>
              </w:rPr>
            </w:pPr>
            <w:r w:rsidRPr="00E70DD9">
              <w:rPr>
                <w:rFonts w:cstheme="minorHAnsi"/>
              </w:rPr>
              <w:t>12</w:t>
            </w:r>
          </w:p>
        </w:tc>
        <w:tc>
          <w:tcPr>
            <w:tcW w:w="662" w:type="pct"/>
            <w:noWrap/>
            <w:hideMark/>
          </w:tcPr>
          <w:p w14:paraId="12261835" w14:textId="77777777" w:rsidR="00336EBD" w:rsidRPr="00E70DD9" w:rsidRDefault="00336EBD" w:rsidP="00310F97">
            <w:pPr>
              <w:jc w:val="center"/>
              <w:rPr>
                <w:rFonts w:cstheme="minorHAnsi"/>
              </w:rPr>
            </w:pPr>
            <w:r w:rsidRPr="00E70DD9">
              <w:rPr>
                <w:rFonts w:cstheme="minorHAnsi"/>
              </w:rPr>
              <w:t>0.34</w:t>
            </w:r>
          </w:p>
        </w:tc>
        <w:tc>
          <w:tcPr>
            <w:tcW w:w="662" w:type="pct"/>
            <w:noWrap/>
            <w:hideMark/>
          </w:tcPr>
          <w:p w14:paraId="5A7B6B6A" w14:textId="77777777" w:rsidR="00336EBD" w:rsidRPr="00E70DD9" w:rsidRDefault="00336EBD" w:rsidP="00310F97">
            <w:pPr>
              <w:jc w:val="center"/>
              <w:rPr>
                <w:rFonts w:cstheme="minorHAnsi"/>
              </w:rPr>
            </w:pPr>
            <w:r w:rsidRPr="00E70DD9">
              <w:rPr>
                <w:rFonts w:cstheme="minorHAnsi"/>
              </w:rPr>
              <w:t>0.17</w:t>
            </w:r>
          </w:p>
        </w:tc>
        <w:tc>
          <w:tcPr>
            <w:tcW w:w="662" w:type="pct"/>
            <w:noWrap/>
            <w:hideMark/>
          </w:tcPr>
          <w:p w14:paraId="4BD4AA42" w14:textId="77777777" w:rsidR="00336EBD" w:rsidRPr="00E70DD9" w:rsidRDefault="00336EBD" w:rsidP="00310F97">
            <w:pPr>
              <w:jc w:val="center"/>
              <w:rPr>
                <w:rFonts w:cstheme="minorHAnsi"/>
              </w:rPr>
            </w:pPr>
            <w:r w:rsidRPr="00E70DD9">
              <w:rPr>
                <w:rFonts w:cstheme="minorHAnsi"/>
              </w:rPr>
              <w:t>0.68</w:t>
            </w:r>
          </w:p>
        </w:tc>
      </w:tr>
      <w:tr w:rsidR="00336EBD" w:rsidRPr="00E70DD9" w14:paraId="3AFB312A" w14:textId="77777777" w:rsidTr="00310F97">
        <w:trPr>
          <w:trHeight w:val="290"/>
        </w:trPr>
        <w:tc>
          <w:tcPr>
            <w:tcW w:w="485" w:type="pct"/>
            <w:noWrap/>
            <w:hideMark/>
          </w:tcPr>
          <w:p w14:paraId="33968AFF" w14:textId="77777777" w:rsidR="00336EBD" w:rsidRPr="00E70DD9" w:rsidRDefault="00336EBD" w:rsidP="00336EBD">
            <w:pPr>
              <w:rPr>
                <w:rFonts w:cstheme="minorHAnsi"/>
              </w:rPr>
            </w:pPr>
            <w:r w:rsidRPr="00E70DD9">
              <w:rPr>
                <w:rFonts w:cstheme="minorHAnsi"/>
              </w:rPr>
              <w:t>3</w:t>
            </w:r>
          </w:p>
        </w:tc>
        <w:tc>
          <w:tcPr>
            <w:tcW w:w="1867" w:type="pct"/>
            <w:noWrap/>
            <w:hideMark/>
          </w:tcPr>
          <w:p w14:paraId="315F24B1" w14:textId="77777777" w:rsidR="00336EBD" w:rsidRPr="00E70DD9" w:rsidRDefault="00336EBD" w:rsidP="00336EBD">
            <w:pPr>
              <w:rPr>
                <w:rFonts w:cstheme="minorHAnsi"/>
              </w:rPr>
            </w:pPr>
            <w:r w:rsidRPr="00E70DD9">
              <w:rPr>
                <w:rFonts w:cstheme="minorHAnsi"/>
              </w:rPr>
              <w:t>Decitabine plus Venetolcax</w:t>
            </w:r>
          </w:p>
        </w:tc>
        <w:tc>
          <w:tcPr>
            <w:tcW w:w="662" w:type="pct"/>
            <w:noWrap/>
            <w:hideMark/>
          </w:tcPr>
          <w:p w14:paraId="2A0F5BCA" w14:textId="77777777" w:rsidR="00336EBD" w:rsidRPr="00E70DD9" w:rsidRDefault="00336EBD" w:rsidP="00310F97">
            <w:pPr>
              <w:jc w:val="center"/>
              <w:rPr>
                <w:rFonts w:cstheme="minorHAnsi"/>
              </w:rPr>
            </w:pPr>
            <w:r w:rsidRPr="00E70DD9">
              <w:rPr>
                <w:rFonts w:cstheme="minorHAnsi"/>
              </w:rPr>
              <w:t>12</w:t>
            </w:r>
          </w:p>
        </w:tc>
        <w:tc>
          <w:tcPr>
            <w:tcW w:w="662" w:type="pct"/>
            <w:noWrap/>
            <w:hideMark/>
          </w:tcPr>
          <w:p w14:paraId="2A4124C8" w14:textId="77777777" w:rsidR="00336EBD" w:rsidRPr="00E70DD9" w:rsidRDefault="00336EBD" w:rsidP="00310F97">
            <w:pPr>
              <w:jc w:val="center"/>
              <w:rPr>
                <w:rFonts w:cstheme="minorHAnsi"/>
              </w:rPr>
            </w:pPr>
            <w:r w:rsidRPr="00E70DD9">
              <w:rPr>
                <w:rFonts w:cstheme="minorHAnsi"/>
              </w:rPr>
              <w:t>0.26</w:t>
            </w:r>
          </w:p>
        </w:tc>
        <w:tc>
          <w:tcPr>
            <w:tcW w:w="662" w:type="pct"/>
            <w:noWrap/>
            <w:hideMark/>
          </w:tcPr>
          <w:p w14:paraId="202CE2AD" w14:textId="77777777" w:rsidR="00336EBD" w:rsidRPr="00E70DD9" w:rsidRDefault="00336EBD" w:rsidP="00310F97">
            <w:pPr>
              <w:jc w:val="center"/>
              <w:rPr>
                <w:rFonts w:cstheme="minorHAnsi"/>
              </w:rPr>
            </w:pPr>
            <w:r w:rsidRPr="00E70DD9">
              <w:rPr>
                <w:rFonts w:cstheme="minorHAnsi"/>
              </w:rPr>
              <w:t>0.13</w:t>
            </w:r>
          </w:p>
        </w:tc>
        <w:tc>
          <w:tcPr>
            <w:tcW w:w="662" w:type="pct"/>
            <w:noWrap/>
            <w:hideMark/>
          </w:tcPr>
          <w:p w14:paraId="7500CE67" w14:textId="77777777" w:rsidR="00336EBD" w:rsidRPr="00E70DD9" w:rsidRDefault="00336EBD" w:rsidP="00310F97">
            <w:pPr>
              <w:jc w:val="center"/>
              <w:rPr>
                <w:rFonts w:cstheme="minorHAnsi"/>
              </w:rPr>
            </w:pPr>
            <w:r w:rsidRPr="00E70DD9">
              <w:rPr>
                <w:rFonts w:cstheme="minorHAnsi"/>
              </w:rPr>
              <w:t>0.51</w:t>
            </w:r>
          </w:p>
        </w:tc>
      </w:tr>
    </w:tbl>
    <w:p w14:paraId="090EC413" w14:textId="77777777" w:rsidR="00336EBD" w:rsidRPr="00E70DD9" w:rsidRDefault="00336EBD" w:rsidP="000763A0">
      <w:pPr>
        <w:rPr>
          <w:rFonts w:cstheme="minorHAnsi"/>
        </w:rPr>
      </w:pPr>
    </w:p>
    <w:p w14:paraId="73D58F47" w14:textId="0C48AEDB" w:rsidR="00336EBD" w:rsidRPr="004A3E1C" w:rsidRDefault="009D3E35" w:rsidP="004A3E1C">
      <w:pPr>
        <w:tabs>
          <w:tab w:val="left" w:pos="1449"/>
        </w:tabs>
        <w:rPr>
          <w:rFonts w:cstheme="minorHAnsi"/>
        </w:rPr>
      </w:pPr>
      <w:r w:rsidRPr="00E70DD9">
        <w:rPr>
          <w:rFonts w:cstheme="minorHAnsi"/>
        </w:rPr>
        <w:tab/>
      </w:r>
    </w:p>
    <w:p w14:paraId="2B5E2CC7" w14:textId="4411063C" w:rsidR="004F19B4" w:rsidRPr="00E70DD9" w:rsidRDefault="004B0DD4" w:rsidP="4D0486C2">
      <w:pPr>
        <w:pStyle w:val="Caption"/>
        <w:keepNext/>
        <w:rPr>
          <w:color w:val="000000" w:themeColor="text1"/>
          <w:sz w:val="22"/>
          <w:szCs w:val="22"/>
        </w:rPr>
      </w:pPr>
      <w:r>
        <w:rPr>
          <w:color w:val="000000" w:themeColor="text1"/>
          <w:sz w:val="22"/>
          <w:szCs w:val="22"/>
        </w:rPr>
        <w:lastRenderedPageBreak/>
        <w:t>e</w:t>
      </w:r>
      <w:r w:rsidR="2F3C1A3A" w:rsidRPr="4D0486C2">
        <w:rPr>
          <w:color w:val="000000" w:themeColor="text1"/>
          <w:sz w:val="22"/>
          <w:szCs w:val="22"/>
        </w:rPr>
        <w:t>Figure</w:t>
      </w:r>
      <w:r w:rsidR="004F19B4" w:rsidRPr="4D0486C2">
        <w:rPr>
          <w:color w:val="000000" w:themeColor="text1"/>
          <w:sz w:val="22"/>
          <w:szCs w:val="22"/>
        </w:rPr>
        <w:t xml:space="preserve"> </w:t>
      </w:r>
      <w:r w:rsidR="000102A2">
        <w:rPr>
          <w:color w:val="000000" w:themeColor="text1"/>
          <w:sz w:val="22"/>
          <w:szCs w:val="22"/>
        </w:rPr>
        <w:t>6</w:t>
      </w:r>
      <w:r w:rsidR="0030424F" w:rsidRPr="4D0486C2">
        <w:rPr>
          <w:color w:val="000000" w:themeColor="text1"/>
          <w:sz w:val="22"/>
          <w:szCs w:val="22"/>
        </w:rPr>
        <w:t xml:space="preserve">. </w:t>
      </w:r>
      <w:r w:rsidR="004F19B4" w:rsidRPr="4D0486C2">
        <w:rPr>
          <w:color w:val="000000" w:themeColor="text1"/>
          <w:sz w:val="22"/>
          <w:szCs w:val="22"/>
        </w:rPr>
        <w:t xml:space="preserve"> </w:t>
      </w:r>
      <w:bookmarkStart w:id="10" w:name="_Hlk86154422"/>
      <w:r w:rsidR="004F19B4" w:rsidRPr="4D0486C2">
        <w:rPr>
          <w:color w:val="000000" w:themeColor="text1"/>
          <w:sz w:val="22"/>
          <w:szCs w:val="22"/>
        </w:rPr>
        <w:t xml:space="preserve">Propensity score-adjusted Overall Survival for AML patients treated with Decitabine vs. Decitabine plus </w:t>
      </w:r>
      <w:r w:rsidR="006C550D" w:rsidRPr="4D0486C2">
        <w:rPr>
          <w:color w:val="000000" w:themeColor="text1"/>
          <w:sz w:val="22"/>
          <w:szCs w:val="22"/>
        </w:rPr>
        <w:t>Venetoclax</w:t>
      </w:r>
      <w:bookmarkEnd w:id="10"/>
    </w:p>
    <w:p w14:paraId="33692A5C" w14:textId="77777777" w:rsidR="00892375" w:rsidRDefault="004F19B4" w:rsidP="00892375">
      <w:pPr>
        <w:rPr>
          <w:rFonts w:cstheme="minorHAnsi"/>
          <w:color w:val="000000" w:themeColor="text1"/>
        </w:rPr>
      </w:pPr>
      <w:r w:rsidRPr="00E70DD9">
        <w:rPr>
          <w:rFonts w:cstheme="minorHAnsi"/>
          <w:noProof/>
        </w:rPr>
        <w:drawing>
          <wp:inline distT="0" distB="0" distL="0" distR="0" wp14:anchorId="1B46A2D1" wp14:editId="15636083">
            <wp:extent cx="7245350" cy="5433577"/>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7269045" cy="5451347"/>
                    </a:xfrm>
                    <a:prstGeom prst="rect">
                      <a:avLst/>
                    </a:prstGeom>
                  </pic:spPr>
                </pic:pic>
              </a:graphicData>
            </a:graphic>
          </wp:inline>
        </w:drawing>
      </w:r>
    </w:p>
    <w:p w14:paraId="7308285F" w14:textId="77777777" w:rsidR="000102A2" w:rsidRDefault="000102A2" w:rsidP="4D0486C2">
      <w:pPr>
        <w:rPr>
          <w:i/>
          <w:iCs/>
          <w:color w:val="000000" w:themeColor="text1"/>
        </w:rPr>
      </w:pPr>
    </w:p>
    <w:p w14:paraId="0440301A" w14:textId="43486FA1" w:rsidR="006C0BDC" w:rsidRPr="004B0DD4" w:rsidRDefault="004B0DD4" w:rsidP="4D0486C2">
      <w:pPr>
        <w:rPr>
          <w:i/>
          <w:iCs/>
        </w:rPr>
      </w:pPr>
      <w:r w:rsidRPr="004B0DD4">
        <w:rPr>
          <w:i/>
          <w:iCs/>
          <w:color w:val="000000" w:themeColor="text1"/>
        </w:rPr>
        <w:t>e</w:t>
      </w:r>
      <w:r w:rsidR="677A6907" w:rsidRPr="004B0DD4">
        <w:rPr>
          <w:i/>
          <w:iCs/>
          <w:color w:val="000000" w:themeColor="text1"/>
        </w:rPr>
        <w:t>Table</w:t>
      </w:r>
      <w:r w:rsidR="0AA70DA7" w:rsidRPr="004B0DD4">
        <w:rPr>
          <w:i/>
          <w:iCs/>
          <w:color w:val="000000" w:themeColor="text1"/>
        </w:rPr>
        <w:t xml:space="preserve"> </w:t>
      </w:r>
      <w:r w:rsidR="002A56F3">
        <w:rPr>
          <w:i/>
          <w:iCs/>
          <w:color w:val="000000" w:themeColor="text1"/>
        </w:rPr>
        <w:t>9</w:t>
      </w:r>
      <w:r w:rsidR="354ED632" w:rsidRPr="004B0DD4">
        <w:rPr>
          <w:i/>
          <w:iCs/>
          <w:color w:val="000000" w:themeColor="text1"/>
        </w:rPr>
        <w:t xml:space="preserve"> </w:t>
      </w:r>
      <w:bookmarkStart w:id="11" w:name="_Hlk86157983"/>
      <w:r w:rsidR="354ED632" w:rsidRPr="004B0DD4">
        <w:rPr>
          <w:i/>
          <w:iCs/>
          <w:color w:val="000000" w:themeColor="text1"/>
        </w:rPr>
        <w:t xml:space="preserve">Adjusted Event-free Survival at months 12  for AML patients treated with Decitabine vs. Decitabine plus </w:t>
      </w:r>
      <w:r w:rsidR="77A2C6AA" w:rsidRPr="004B0DD4">
        <w:rPr>
          <w:i/>
          <w:iCs/>
          <w:color w:val="000000" w:themeColor="text1"/>
        </w:rPr>
        <w:t>Venetoclax</w:t>
      </w:r>
      <w:bookmarkEnd w:id="11"/>
    </w:p>
    <w:tbl>
      <w:tblPr>
        <w:tblStyle w:val="TableGrid"/>
        <w:tblW w:w="5000" w:type="pct"/>
        <w:tblLook w:val="04A0" w:firstRow="1" w:lastRow="0" w:firstColumn="1" w:lastColumn="0" w:noHBand="0" w:noVBand="1"/>
      </w:tblPr>
      <w:tblGrid>
        <w:gridCol w:w="1715"/>
        <w:gridCol w:w="4366"/>
        <w:gridCol w:w="1716"/>
        <w:gridCol w:w="1716"/>
        <w:gridCol w:w="1716"/>
        <w:gridCol w:w="1711"/>
      </w:tblGrid>
      <w:tr w:rsidR="00310F97" w14:paraId="5A89DB5A" w14:textId="77777777" w:rsidTr="00310F97">
        <w:trPr>
          <w:trHeight w:val="285"/>
        </w:trPr>
        <w:tc>
          <w:tcPr>
            <w:tcW w:w="663" w:type="pct"/>
            <w:tcBorders>
              <w:top w:val="single" w:sz="8" w:space="0" w:color="auto"/>
              <w:left w:val="single" w:sz="8" w:space="0" w:color="auto"/>
              <w:bottom w:val="single" w:sz="8" w:space="0" w:color="auto"/>
              <w:right w:val="single" w:sz="8" w:space="0" w:color="auto"/>
            </w:tcBorders>
          </w:tcPr>
          <w:p w14:paraId="7FC85F06" w14:textId="66BCC8A7" w:rsidR="00310F97" w:rsidRDefault="00310F97" w:rsidP="00310F97"/>
        </w:tc>
        <w:tc>
          <w:tcPr>
            <w:tcW w:w="1687" w:type="pct"/>
            <w:tcBorders>
              <w:top w:val="single" w:sz="8" w:space="0" w:color="auto"/>
              <w:left w:val="single" w:sz="8" w:space="0" w:color="auto"/>
              <w:bottom w:val="single" w:sz="8" w:space="0" w:color="auto"/>
              <w:right w:val="single" w:sz="8" w:space="0" w:color="auto"/>
            </w:tcBorders>
          </w:tcPr>
          <w:p w14:paraId="33EDDBBD" w14:textId="1DC7BD6E" w:rsidR="00310F97" w:rsidRDefault="00310F97" w:rsidP="00310F97">
            <w:r w:rsidRPr="06A1B8C2">
              <w:rPr>
                <w:rFonts w:ascii="Calibri" w:eastAsia="Calibri" w:hAnsi="Calibri" w:cs="Calibri"/>
              </w:rPr>
              <w:t>strata</w:t>
            </w:r>
          </w:p>
        </w:tc>
        <w:tc>
          <w:tcPr>
            <w:tcW w:w="663" w:type="pct"/>
            <w:tcBorders>
              <w:top w:val="single" w:sz="8" w:space="0" w:color="auto"/>
              <w:left w:val="single" w:sz="8" w:space="0" w:color="auto"/>
              <w:bottom w:val="single" w:sz="8" w:space="0" w:color="auto"/>
              <w:right w:val="single" w:sz="8" w:space="0" w:color="auto"/>
            </w:tcBorders>
          </w:tcPr>
          <w:p w14:paraId="1E9F0F4E" w14:textId="74A456AE" w:rsidR="00310F97" w:rsidRDefault="00310F97" w:rsidP="00310F97">
            <w:r w:rsidRPr="00E70DD9">
              <w:rPr>
                <w:rFonts w:cstheme="minorHAnsi"/>
              </w:rPr>
              <w:t>Time (months)</w:t>
            </w:r>
          </w:p>
        </w:tc>
        <w:tc>
          <w:tcPr>
            <w:tcW w:w="663" w:type="pct"/>
            <w:tcBorders>
              <w:top w:val="single" w:sz="8" w:space="0" w:color="auto"/>
              <w:left w:val="single" w:sz="8" w:space="0" w:color="auto"/>
              <w:bottom w:val="single" w:sz="8" w:space="0" w:color="auto"/>
              <w:right w:val="single" w:sz="8" w:space="0" w:color="auto"/>
            </w:tcBorders>
          </w:tcPr>
          <w:p w14:paraId="7C2A8F4E" w14:textId="542B0958" w:rsidR="00310F97" w:rsidRDefault="00310F97" w:rsidP="00310F97">
            <w:pPr>
              <w:jc w:val="center"/>
            </w:pPr>
            <w:r>
              <w:rPr>
                <w:rFonts w:cstheme="minorHAnsi"/>
              </w:rPr>
              <w:t>S</w:t>
            </w:r>
            <w:r w:rsidRPr="00E70DD9">
              <w:rPr>
                <w:rFonts w:cstheme="minorHAnsi"/>
              </w:rPr>
              <w:t>urvival</w:t>
            </w:r>
          </w:p>
        </w:tc>
        <w:tc>
          <w:tcPr>
            <w:tcW w:w="663" w:type="pct"/>
            <w:tcBorders>
              <w:top w:val="single" w:sz="8" w:space="0" w:color="auto"/>
              <w:left w:val="single" w:sz="8" w:space="0" w:color="auto"/>
              <w:bottom w:val="single" w:sz="8" w:space="0" w:color="auto"/>
              <w:right w:val="single" w:sz="8" w:space="0" w:color="auto"/>
            </w:tcBorders>
          </w:tcPr>
          <w:p w14:paraId="627F00DA" w14:textId="661AEDB4" w:rsidR="00310F97" w:rsidRDefault="00310F97" w:rsidP="00310F97">
            <w:pPr>
              <w:jc w:val="center"/>
            </w:pPr>
            <w:r w:rsidRPr="00E70DD9">
              <w:rPr>
                <w:rFonts w:cstheme="minorHAnsi"/>
              </w:rPr>
              <w:t>Lower</w:t>
            </w:r>
            <w:r>
              <w:rPr>
                <w:rFonts w:cstheme="minorHAnsi"/>
              </w:rPr>
              <w:t xml:space="preserve"> CI</w:t>
            </w:r>
          </w:p>
        </w:tc>
        <w:tc>
          <w:tcPr>
            <w:tcW w:w="663" w:type="pct"/>
            <w:tcBorders>
              <w:top w:val="single" w:sz="8" w:space="0" w:color="auto"/>
              <w:left w:val="single" w:sz="8" w:space="0" w:color="auto"/>
              <w:bottom w:val="single" w:sz="8" w:space="0" w:color="auto"/>
              <w:right w:val="single" w:sz="8" w:space="0" w:color="auto"/>
            </w:tcBorders>
          </w:tcPr>
          <w:p w14:paraId="697D7E29" w14:textId="418EFE83" w:rsidR="00310F97" w:rsidRDefault="00310F97" w:rsidP="00310F97">
            <w:pPr>
              <w:jc w:val="center"/>
            </w:pPr>
            <w:r w:rsidRPr="00E70DD9">
              <w:rPr>
                <w:rFonts w:cstheme="minorHAnsi"/>
              </w:rPr>
              <w:t>Upper</w:t>
            </w:r>
            <w:r>
              <w:rPr>
                <w:rFonts w:cstheme="minorHAnsi"/>
              </w:rPr>
              <w:t xml:space="preserve"> CI</w:t>
            </w:r>
          </w:p>
        </w:tc>
      </w:tr>
      <w:tr w:rsidR="06A1B8C2" w14:paraId="368A59AE" w14:textId="77777777" w:rsidTr="00310F97">
        <w:trPr>
          <w:trHeight w:val="285"/>
        </w:trPr>
        <w:tc>
          <w:tcPr>
            <w:tcW w:w="663" w:type="pct"/>
            <w:tcBorders>
              <w:top w:val="single" w:sz="8" w:space="0" w:color="auto"/>
              <w:left w:val="single" w:sz="8" w:space="0" w:color="auto"/>
              <w:bottom w:val="single" w:sz="8" w:space="0" w:color="auto"/>
              <w:right w:val="single" w:sz="8" w:space="0" w:color="auto"/>
            </w:tcBorders>
          </w:tcPr>
          <w:p w14:paraId="06472381" w14:textId="64BDAC62" w:rsidR="06A1B8C2" w:rsidRDefault="06A1B8C2">
            <w:r w:rsidRPr="06A1B8C2">
              <w:rPr>
                <w:rFonts w:ascii="Calibri" w:eastAsia="Calibri" w:hAnsi="Calibri" w:cs="Calibri"/>
              </w:rPr>
              <w:t>1</w:t>
            </w:r>
          </w:p>
        </w:tc>
        <w:tc>
          <w:tcPr>
            <w:tcW w:w="1687" w:type="pct"/>
            <w:tcBorders>
              <w:top w:val="single" w:sz="8" w:space="0" w:color="auto"/>
              <w:left w:val="single" w:sz="8" w:space="0" w:color="auto"/>
              <w:bottom w:val="single" w:sz="8" w:space="0" w:color="auto"/>
              <w:right w:val="single" w:sz="8" w:space="0" w:color="auto"/>
            </w:tcBorders>
          </w:tcPr>
          <w:p w14:paraId="5EC76027" w14:textId="07F962DA" w:rsidR="06A1B8C2" w:rsidRDefault="06A1B8C2">
            <w:r w:rsidRPr="06A1B8C2">
              <w:rPr>
                <w:rFonts w:ascii="Calibri" w:eastAsia="Calibri" w:hAnsi="Calibri" w:cs="Calibri"/>
              </w:rPr>
              <w:t>Decitabine</w:t>
            </w:r>
          </w:p>
        </w:tc>
        <w:tc>
          <w:tcPr>
            <w:tcW w:w="663" w:type="pct"/>
            <w:tcBorders>
              <w:top w:val="single" w:sz="8" w:space="0" w:color="auto"/>
              <w:left w:val="single" w:sz="8" w:space="0" w:color="auto"/>
              <w:bottom w:val="single" w:sz="8" w:space="0" w:color="auto"/>
              <w:right w:val="single" w:sz="8" w:space="0" w:color="auto"/>
            </w:tcBorders>
          </w:tcPr>
          <w:p w14:paraId="1E9D66B0" w14:textId="774F2BFB" w:rsidR="06A1B8C2" w:rsidRDefault="06A1B8C2" w:rsidP="00310F97">
            <w:pPr>
              <w:jc w:val="center"/>
            </w:pPr>
            <w:r w:rsidRPr="06A1B8C2">
              <w:rPr>
                <w:rFonts w:ascii="Calibri" w:eastAsia="Calibri" w:hAnsi="Calibri" w:cs="Calibri"/>
              </w:rPr>
              <w:t>12</w:t>
            </w:r>
          </w:p>
        </w:tc>
        <w:tc>
          <w:tcPr>
            <w:tcW w:w="663" w:type="pct"/>
            <w:tcBorders>
              <w:top w:val="single" w:sz="8" w:space="0" w:color="auto"/>
              <w:left w:val="single" w:sz="8" w:space="0" w:color="auto"/>
              <w:bottom w:val="single" w:sz="8" w:space="0" w:color="auto"/>
              <w:right w:val="single" w:sz="8" w:space="0" w:color="auto"/>
            </w:tcBorders>
          </w:tcPr>
          <w:p w14:paraId="3BF464F1" w14:textId="7496C810" w:rsidR="06A1B8C2" w:rsidRDefault="06A1B8C2" w:rsidP="00310F97">
            <w:pPr>
              <w:jc w:val="center"/>
            </w:pPr>
            <w:r w:rsidRPr="06A1B8C2">
              <w:rPr>
                <w:rFonts w:ascii="Calibri" w:eastAsia="Calibri" w:hAnsi="Calibri" w:cs="Calibri"/>
              </w:rPr>
              <w:t>0.32</w:t>
            </w:r>
          </w:p>
        </w:tc>
        <w:tc>
          <w:tcPr>
            <w:tcW w:w="663" w:type="pct"/>
            <w:tcBorders>
              <w:top w:val="single" w:sz="8" w:space="0" w:color="auto"/>
              <w:left w:val="single" w:sz="8" w:space="0" w:color="auto"/>
              <w:bottom w:val="single" w:sz="8" w:space="0" w:color="auto"/>
              <w:right w:val="single" w:sz="8" w:space="0" w:color="auto"/>
            </w:tcBorders>
          </w:tcPr>
          <w:p w14:paraId="7F67D490" w14:textId="336AA82B" w:rsidR="06A1B8C2" w:rsidRDefault="06A1B8C2" w:rsidP="00310F97">
            <w:pPr>
              <w:jc w:val="center"/>
            </w:pPr>
            <w:r w:rsidRPr="06A1B8C2">
              <w:rPr>
                <w:rFonts w:ascii="Calibri" w:eastAsia="Calibri" w:hAnsi="Calibri" w:cs="Calibri"/>
              </w:rPr>
              <w:t>0.24</w:t>
            </w:r>
          </w:p>
        </w:tc>
        <w:tc>
          <w:tcPr>
            <w:tcW w:w="663" w:type="pct"/>
            <w:tcBorders>
              <w:top w:val="single" w:sz="8" w:space="0" w:color="auto"/>
              <w:left w:val="single" w:sz="8" w:space="0" w:color="auto"/>
              <w:bottom w:val="single" w:sz="8" w:space="0" w:color="auto"/>
              <w:right w:val="single" w:sz="8" w:space="0" w:color="auto"/>
            </w:tcBorders>
          </w:tcPr>
          <w:p w14:paraId="4A41020C" w14:textId="54770872" w:rsidR="06A1B8C2" w:rsidRDefault="06A1B8C2" w:rsidP="00310F97">
            <w:pPr>
              <w:jc w:val="center"/>
            </w:pPr>
            <w:r w:rsidRPr="06A1B8C2">
              <w:rPr>
                <w:rFonts w:ascii="Calibri" w:eastAsia="Calibri" w:hAnsi="Calibri" w:cs="Calibri"/>
              </w:rPr>
              <w:t>0.44</w:t>
            </w:r>
          </w:p>
        </w:tc>
      </w:tr>
      <w:tr w:rsidR="06A1B8C2" w14:paraId="4A05264C" w14:textId="77777777" w:rsidTr="00310F97">
        <w:trPr>
          <w:trHeight w:val="285"/>
        </w:trPr>
        <w:tc>
          <w:tcPr>
            <w:tcW w:w="663" w:type="pct"/>
            <w:tcBorders>
              <w:top w:val="single" w:sz="8" w:space="0" w:color="auto"/>
              <w:left w:val="single" w:sz="8" w:space="0" w:color="auto"/>
              <w:bottom w:val="single" w:sz="8" w:space="0" w:color="auto"/>
              <w:right w:val="single" w:sz="8" w:space="0" w:color="auto"/>
            </w:tcBorders>
          </w:tcPr>
          <w:p w14:paraId="537C9350" w14:textId="706A1CBE" w:rsidR="06A1B8C2" w:rsidRDefault="06A1B8C2">
            <w:r w:rsidRPr="06A1B8C2">
              <w:rPr>
                <w:rFonts w:ascii="Calibri" w:eastAsia="Calibri" w:hAnsi="Calibri" w:cs="Calibri"/>
              </w:rPr>
              <w:t>3</w:t>
            </w:r>
          </w:p>
        </w:tc>
        <w:tc>
          <w:tcPr>
            <w:tcW w:w="1687" w:type="pct"/>
            <w:tcBorders>
              <w:top w:val="single" w:sz="8" w:space="0" w:color="auto"/>
              <w:left w:val="single" w:sz="8" w:space="0" w:color="auto"/>
              <w:bottom w:val="single" w:sz="8" w:space="0" w:color="auto"/>
              <w:right w:val="single" w:sz="8" w:space="0" w:color="auto"/>
            </w:tcBorders>
          </w:tcPr>
          <w:p w14:paraId="3A778D67" w14:textId="7CACD9B6" w:rsidR="06A1B8C2" w:rsidRDefault="06A1B8C2">
            <w:r w:rsidRPr="06A1B8C2">
              <w:rPr>
                <w:rFonts w:ascii="Calibri" w:eastAsia="Calibri" w:hAnsi="Calibri" w:cs="Calibri"/>
              </w:rPr>
              <w:t>Decitabine plus Venetolcax</w:t>
            </w:r>
          </w:p>
        </w:tc>
        <w:tc>
          <w:tcPr>
            <w:tcW w:w="663" w:type="pct"/>
            <w:tcBorders>
              <w:top w:val="single" w:sz="8" w:space="0" w:color="auto"/>
              <w:left w:val="single" w:sz="8" w:space="0" w:color="auto"/>
              <w:bottom w:val="single" w:sz="8" w:space="0" w:color="auto"/>
              <w:right w:val="single" w:sz="8" w:space="0" w:color="auto"/>
            </w:tcBorders>
          </w:tcPr>
          <w:p w14:paraId="766B9463" w14:textId="4FD3B7B7" w:rsidR="06A1B8C2" w:rsidRDefault="06A1B8C2" w:rsidP="00310F97">
            <w:pPr>
              <w:jc w:val="center"/>
            </w:pPr>
            <w:r w:rsidRPr="06A1B8C2">
              <w:rPr>
                <w:rFonts w:ascii="Calibri" w:eastAsia="Calibri" w:hAnsi="Calibri" w:cs="Calibri"/>
              </w:rPr>
              <w:t>12</w:t>
            </w:r>
          </w:p>
        </w:tc>
        <w:tc>
          <w:tcPr>
            <w:tcW w:w="663" w:type="pct"/>
            <w:tcBorders>
              <w:top w:val="single" w:sz="8" w:space="0" w:color="auto"/>
              <w:left w:val="single" w:sz="8" w:space="0" w:color="auto"/>
              <w:bottom w:val="single" w:sz="8" w:space="0" w:color="auto"/>
              <w:right w:val="single" w:sz="8" w:space="0" w:color="auto"/>
            </w:tcBorders>
          </w:tcPr>
          <w:p w14:paraId="2463EB00" w14:textId="0357DD6F" w:rsidR="06A1B8C2" w:rsidRDefault="06A1B8C2" w:rsidP="00310F97">
            <w:pPr>
              <w:jc w:val="center"/>
            </w:pPr>
            <w:r w:rsidRPr="06A1B8C2">
              <w:rPr>
                <w:rFonts w:ascii="Calibri" w:eastAsia="Calibri" w:hAnsi="Calibri" w:cs="Calibri"/>
              </w:rPr>
              <w:t>0.21</w:t>
            </w:r>
          </w:p>
        </w:tc>
        <w:tc>
          <w:tcPr>
            <w:tcW w:w="663" w:type="pct"/>
            <w:tcBorders>
              <w:top w:val="single" w:sz="8" w:space="0" w:color="auto"/>
              <w:left w:val="single" w:sz="8" w:space="0" w:color="auto"/>
              <w:bottom w:val="single" w:sz="8" w:space="0" w:color="auto"/>
              <w:right w:val="single" w:sz="8" w:space="0" w:color="auto"/>
            </w:tcBorders>
          </w:tcPr>
          <w:p w14:paraId="38F2BC61" w14:textId="626D14BC" w:rsidR="06A1B8C2" w:rsidRDefault="06A1B8C2" w:rsidP="00310F97">
            <w:pPr>
              <w:jc w:val="center"/>
            </w:pPr>
            <w:r w:rsidRPr="06A1B8C2">
              <w:rPr>
                <w:rFonts w:ascii="Calibri" w:eastAsia="Calibri" w:hAnsi="Calibri" w:cs="Calibri"/>
              </w:rPr>
              <w:t>0.10</w:t>
            </w:r>
          </w:p>
        </w:tc>
        <w:tc>
          <w:tcPr>
            <w:tcW w:w="663" w:type="pct"/>
            <w:tcBorders>
              <w:top w:val="single" w:sz="8" w:space="0" w:color="auto"/>
              <w:left w:val="single" w:sz="8" w:space="0" w:color="auto"/>
              <w:bottom w:val="single" w:sz="8" w:space="0" w:color="auto"/>
              <w:right w:val="single" w:sz="8" w:space="0" w:color="auto"/>
            </w:tcBorders>
          </w:tcPr>
          <w:p w14:paraId="150E6687" w14:textId="2A371636" w:rsidR="06A1B8C2" w:rsidRDefault="06A1B8C2" w:rsidP="00310F97">
            <w:pPr>
              <w:jc w:val="center"/>
            </w:pPr>
            <w:r w:rsidRPr="06A1B8C2">
              <w:rPr>
                <w:rFonts w:ascii="Calibri" w:eastAsia="Calibri" w:hAnsi="Calibri" w:cs="Calibri"/>
              </w:rPr>
              <w:t>0.43</w:t>
            </w:r>
          </w:p>
        </w:tc>
      </w:tr>
    </w:tbl>
    <w:p w14:paraId="12C1D074" w14:textId="25C6AEA0" w:rsidR="00715BF6" w:rsidRDefault="00715BF6" w:rsidP="06A1B8C2"/>
    <w:p w14:paraId="5225EB18" w14:textId="13B8CFB0" w:rsidR="00310F97" w:rsidRDefault="00310F97" w:rsidP="06A1B8C2"/>
    <w:p w14:paraId="34044FDB" w14:textId="247851E3" w:rsidR="00310F97" w:rsidRDefault="00310F97" w:rsidP="06A1B8C2"/>
    <w:p w14:paraId="36EA3653" w14:textId="5232E538" w:rsidR="00310F97" w:rsidRDefault="00310F97" w:rsidP="06A1B8C2"/>
    <w:p w14:paraId="059071BC" w14:textId="1167EB5A" w:rsidR="00310F97" w:rsidRDefault="00310F97" w:rsidP="06A1B8C2"/>
    <w:p w14:paraId="0EB7979E" w14:textId="77777777" w:rsidR="00310F97" w:rsidRPr="00E70DD9" w:rsidRDefault="00310F97" w:rsidP="06A1B8C2"/>
    <w:p w14:paraId="68F85ECA" w14:textId="2E1D40A1" w:rsidR="00F5690C" w:rsidRPr="00E70DD9" w:rsidRDefault="2F3C1A3A" w:rsidP="4D0486C2">
      <w:pPr>
        <w:pStyle w:val="Caption"/>
        <w:keepNext/>
        <w:rPr>
          <w:color w:val="000000" w:themeColor="text1"/>
          <w:sz w:val="22"/>
          <w:szCs w:val="22"/>
        </w:rPr>
      </w:pPr>
      <w:r w:rsidRPr="4D0486C2">
        <w:rPr>
          <w:color w:val="000000" w:themeColor="text1"/>
          <w:sz w:val="22"/>
          <w:szCs w:val="22"/>
        </w:rPr>
        <w:lastRenderedPageBreak/>
        <w:t>eFigure</w:t>
      </w:r>
      <w:r w:rsidR="01F43062" w:rsidRPr="4D0486C2">
        <w:rPr>
          <w:color w:val="000000" w:themeColor="text1"/>
          <w:sz w:val="22"/>
          <w:szCs w:val="22"/>
        </w:rPr>
        <w:t xml:space="preserve"> </w:t>
      </w:r>
      <w:r w:rsidR="000102A2">
        <w:rPr>
          <w:color w:val="000000" w:themeColor="text1"/>
          <w:sz w:val="22"/>
          <w:szCs w:val="22"/>
        </w:rPr>
        <w:t>7</w:t>
      </w:r>
      <w:r w:rsidR="01F43062" w:rsidRPr="4D0486C2">
        <w:rPr>
          <w:color w:val="000000" w:themeColor="text1"/>
          <w:sz w:val="22"/>
          <w:szCs w:val="22"/>
        </w:rPr>
        <w:t xml:space="preserve"> </w:t>
      </w:r>
      <w:bookmarkStart w:id="12" w:name="_Hlk86168054"/>
      <w:r w:rsidR="01F43062" w:rsidRPr="4D0486C2">
        <w:rPr>
          <w:color w:val="000000" w:themeColor="text1"/>
          <w:sz w:val="22"/>
          <w:szCs w:val="22"/>
        </w:rPr>
        <w:t xml:space="preserve">Propensity score-adjusted Event-free Survival for AML patients treated with Decitabine vs. Decitabine plus </w:t>
      </w:r>
      <w:r w:rsidR="77A2C6AA" w:rsidRPr="4D0486C2">
        <w:rPr>
          <w:color w:val="000000" w:themeColor="text1"/>
          <w:sz w:val="22"/>
          <w:szCs w:val="22"/>
        </w:rPr>
        <w:t>Venetoclax</w:t>
      </w:r>
      <w:bookmarkEnd w:id="12"/>
    </w:p>
    <w:p w14:paraId="300A23FC" w14:textId="0E56B051" w:rsidR="00830A79" w:rsidRPr="00310F97" w:rsidRDefault="52899C56" w:rsidP="00310F97">
      <w:r>
        <w:rPr>
          <w:noProof/>
        </w:rPr>
        <w:drawing>
          <wp:inline distT="0" distB="0" distL="0" distR="0" wp14:anchorId="0712849F" wp14:editId="4520973C">
            <wp:extent cx="7696679" cy="5099050"/>
            <wp:effectExtent l="0" t="0" r="0" b="6350"/>
            <wp:docPr id="1682291263" name="Picture 1682291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extLst>
                        <a:ext uri="{28A0092B-C50C-407E-A947-70E740481C1C}">
                          <a14:useLocalDpi xmlns:a14="http://schemas.microsoft.com/office/drawing/2010/main" val="0"/>
                        </a:ext>
                      </a:extLst>
                    </a:blip>
                    <a:stretch>
                      <a:fillRect/>
                    </a:stretch>
                  </pic:blipFill>
                  <pic:spPr>
                    <a:xfrm>
                      <a:off x="0" y="0"/>
                      <a:ext cx="7704836" cy="5104454"/>
                    </a:xfrm>
                    <a:prstGeom prst="rect">
                      <a:avLst/>
                    </a:prstGeom>
                  </pic:spPr>
                </pic:pic>
              </a:graphicData>
            </a:graphic>
          </wp:inline>
        </w:drawing>
      </w:r>
    </w:p>
    <w:p w14:paraId="1632594F" w14:textId="029EE2FF" w:rsidR="00974F09" w:rsidRPr="000466B9" w:rsidRDefault="006C550D" w:rsidP="000466B9">
      <w:pPr>
        <w:pStyle w:val="Heading1"/>
        <w:rPr>
          <w:rFonts w:asciiTheme="minorHAnsi" w:hAnsiTheme="minorHAnsi" w:cstheme="minorHAnsi"/>
          <w:sz w:val="28"/>
          <w:szCs w:val="28"/>
        </w:rPr>
      </w:pPr>
      <w:bookmarkStart w:id="13" w:name="_Toc96864836"/>
      <w:r>
        <w:rPr>
          <w:rFonts w:asciiTheme="minorHAnsi" w:hAnsiTheme="minorHAnsi" w:cstheme="minorHAnsi"/>
          <w:sz w:val="28"/>
          <w:szCs w:val="28"/>
        </w:rPr>
        <w:lastRenderedPageBreak/>
        <w:t>Azacitidine</w:t>
      </w:r>
      <w:r w:rsidR="00974F09" w:rsidRPr="00E70DD9">
        <w:rPr>
          <w:rFonts w:asciiTheme="minorHAnsi" w:hAnsiTheme="minorHAnsi" w:cstheme="minorHAnsi"/>
          <w:sz w:val="28"/>
          <w:szCs w:val="28"/>
        </w:rPr>
        <w:t xml:space="preserve"> vs. Decitabine</w:t>
      </w:r>
      <w:bookmarkEnd w:id="13"/>
    </w:p>
    <w:p w14:paraId="41415E3F" w14:textId="6DD787A5" w:rsidR="00900D1C" w:rsidRPr="00E70DD9" w:rsidRDefault="004B0DD4" w:rsidP="4D0486C2">
      <w:pPr>
        <w:pStyle w:val="Caption"/>
        <w:keepNext/>
        <w:rPr>
          <w:color w:val="000000" w:themeColor="text1"/>
          <w:sz w:val="22"/>
          <w:szCs w:val="22"/>
        </w:rPr>
      </w:pPr>
      <w:bookmarkStart w:id="14" w:name="_Hlk86150312"/>
      <w:r>
        <w:rPr>
          <w:color w:val="000000" w:themeColor="text1"/>
          <w:sz w:val="22"/>
          <w:szCs w:val="22"/>
        </w:rPr>
        <w:t>e</w:t>
      </w:r>
      <w:r w:rsidR="2F3C1A3A" w:rsidRPr="4D0486C2">
        <w:rPr>
          <w:color w:val="000000" w:themeColor="text1"/>
          <w:sz w:val="22"/>
          <w:szCs w:val="22"/>
        </w:rPr>
        <w:t>Figure</w:t>
      </w:r>
      <w:r w:rsidR="710E7686" w:rsidRPr="4D0486C2">
        <w:rPr>
          <w:color w:val="000000" w:themeColor="text1"/>
          <w:sz w:val="22"/>
          <w:szCs w:val="22"/>
        </w:rPr>
        <w:t xml:space="preserve"> 8</w:t>
      </w:r>
      <w:r w:rsidR="19B6E70E" w:rsidRPr="4D0486C2">
        <w:rPr>
          <w:color w:val="000000" w:themeColor="text1"/>
          <w:sz w:val="22"/>
          <w:szCs w:val="22"/>
        </w:rPr>
        <w:t xml:space="preserve"> Covariate balance before and after propensity score weighting</w:t>
      </w:r>
    </w:p>
    <w:p w14:paraId="07AB898D" w14:textId="61F2CCD1" w:rsidR="00900D1C" w:rsidRPr="00E70DD9" w:rsidRDefault="4C2B2FB2" w:rsidP="06A1B8C2">
      <w:r>
        <w:rPr>
          <w:noProof/>
        </w:rPr>
        <w:drawing>
          <wp:inline distT="0" distB="0" distL="0" distR="0" wp14:anchorId="3FAA2B92" wp14:editId="599541AB">
            <wp:extent cx="7340600" cy="4863148"/>
            <wp:effectExtent l="0" t="0" r="0" b="0"/>
            <wp:docPr id="1275305698" name="Picture 12753056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extLst>
                        <a:ext uri="{28A0092B-C50C-407E-A947-70E740481C1C}">
                          <a14:useLocalDpi xmlns:a14="http://schemas.microsoft.com/office/drawing/2010/main" val="0"/>
                        </a:ext>
                      </a:extLst>
                    </a:blip>
                    <a:stretch>
                      <a:fillRect/>
                    </a:stretch>
                  </pic:blipFill>
                  <pic:spPr>
                    <a:xfrm>
                      <a:off x="0" y="0"/>
                      <a:ext cx="7350318" cy="4869586"/>
                    </a:xfrm>
                    <a:prstGeom prst="rect">
                      <a:avLst/>
                    </a:prstGeom>
                  </pic:spPr>
                </pic:pic>
              </a:graphicData>
            </a:graphic>
          </wp:inline>
        </w:drawing>
      </w:r>
    </w:p>
    <w:p w14:paraId="7FCCDC5D" w14:textId="712ECBE0" w:rsidR="00900D1C" w:rsidRPr="00E70DD9" w:rsidRDefault="00900D1C" w:rsidP="000763A0">
      <w:pPr>
        <w:rPr>
          <w:rFonts w:cstheme="minorHAnsi"/>
        </w:rPr>
      </w:pPr>
    </w:p>
    <w:p w14:paraId="4FE6913E" w14:textId="4CEF5C2A" w:rsidR="006354E7" w:rsidRPr="009D2BD6" w:rsidRDefault="004B0DD4" w:rsidP="009D2BD6">
      <w:pPr>
        <w:rPr>
          <w:rFonts w:cstheme="minorHAnsi"/>
          <w:i/>
          <w:iCs/>
        </w:rPr>
      </w:pPr>
      <w:r w:rsidRPr="009D2BD6">
        <w:rPr>
          <w:i/>
          <w:iCs/>
        </w:rPr>
        <w:lastRenderedPageBreak/>
        <w:t>e</w:t>
      </w:r>
      <w:r w:rsidR="677A6907" w:rsidRPr="009D2BD6">
        <w:rPr>
          <w:i/>
          <w:iCs/>
        </w:rPr>
        <w:t>Table</w:t>
      </w:r>
      <w:r w:rsidR="5060E91F" w:rsidRPr="009D2BD6">
        <w:rPr>
          <w:i/>
          <w:iCs/>
        </w:rPr>
        <w:t xml:space="preserve"> </w:t>
      </w:r>
      <w:r w:rsidR="002A56F3">
        <w:rPr>
          <w:i/>
          <w:iCs/>
        </w:rPr>
        <w:t>10</w:t>
      </w:r>
      <w:r w:rsidR="5C39C805" w:rsidRPr="009D2BD6">
        <w:rPr>
          <w:i/>
          <w:iCs/>
        </w:rPr>
        <w:t xml:space="preserve"> Adjusted Overall Survival at months 12, 24, 36 and 48  for AML patients treated with </w:t>
      </w:r>
      <w:r w:rsidR="77A2C6AA" w:rsidRPr="009D2BD6">
        <w:rPr>
          <w:i/>
          <w:iCs/>
        </w:rPr>
        <w:t>Azacitidine</w:t>
      </w:r>
      <w:r w:rsidR="5C39C805" w:rsidRPr="009D2BD6">
        <w:rPr>
          <w:i/>
          <w:iCs/>
        </w:rPr>
        <w:t xml:space="preserve"> vs. Decitabine </w:t>
      </w:r>
    </w:p>
    <w:tbl>
      <w:tblPr>
        <w:tblStyle w:val="TableGrid"/>
        <w:tblW w:w="5000" w:type="pct"/>
        <w:tblLook w:val="04A0" w:firstRow="1" w:lastRow="0" w:firstColumn="1" w:lastColumn="0" w:noHBand="0" w:noVBand="1"/>
      </w:tblPr>
      <w:tblGrid>
        <w:gridCol w:w="2157"/>
        <w:gridCol w:w="2157"/>
        <w:gridCol w:w="2157"/>
        <w:gridCol w:w="2157"/>
        <w:gridCol w:w="2156"/>
        <w:gridCol w:w="2156"/>
      </w:tblGrid>
      <w:tr w:rsidR="00310F97" w14:paraId="1F23193D" w14:textId="77777777" w:rsidTr="00310F97">
        <w:trPr>
          <w:trHeight w:val="285"/>
        </w:trPr>
        <w:tc>
          <w:tcPr>
            <w:tcW w:w="833" w:type="pct"/>
            <w:tcBorders>
              <w:top w:val="single" w:sz="8" w:space="0" w:color="auto"/>
              <w:left w:val="single" w:sz="8" w:space="0" w:color="auto"/>
              <w:bottom w:val="single" w:sz="8" w:space="0" w:color="auto"/>
              <w:right w:val="single" w:sz="8" w:space="0" w:color="auto"/>
            </w:tcBorders>
          </w:tcPr>
          <w:p w14:paraId="4B507775" w14:textId="4651AAE0" w:rsidR="00310F97" w:rsidRDefault="00310F97" w:rsidP="00310F97"/>
        </w:tc>
        <w:tc>
          <w:tcPr>
            <w:tcW w:w="833" w:type="pct"/>
            <w:tcBorders>
              <w:top w:val="single" w:sz="8" w:space="0" w:color="auto"/>
              <w:left w:val="single" w:sz="8" w:space="0" w:color="auto"/>
              <w:bottom w:val="single" w:sz="8" w:space="0" w:color="auto"/>
              <w:right w:val="single" w:sz="8" w:space="0" w:color="auto"/>
            </w:tcBorders>
          </w:tcPr>
          <w:p w14:paraId="3C820BD2" w14:textId="486BC772" w:rsidR="00310F97" w:rsidRDefault="00310F97" w:rsidP="00310F97">
            <w:r w:rsidRPr="06A1B8C2">
              <w:rPr>
                <w:rFonts w:ascii="Calibri" w:eastAsia="Calibri" w:hAnsi="Calibri" w:cs="Calibri"/>
              </w:rPr>
              <w:t>strata</w:t>
            </w:r>
          </w:p>
        </w:tc>
        <w:tc>
          <w:tcPr>
            <w:tcW w:w="833" w:type="pct"/>
            <w:tcBorders>
              <w:top w:val="single" w:sz="8" w:space="0" w:color="auto"/>
              <w:left w:val="single" w:sz="8" w:space="0" w:color="auto"/>
              <w:bottom w:val="single" w:sz="8" w:space="0" w:color="auto"/>
              <w:right w:val="single" w:sz="8" w:space="0" w:color="auto"/>
            </w:tcBorders>
          </w:tcPr>
          <w:p w14:paraId="55D1EE05" w14:textId="0C4F97D4" w:rsidR="00310F97" w:rsidRDefault="00310F97" w:rsidP="00310F97">
            <w:pPr>
              <w:jc w:val="center"/>
            </w:pPr>
            <w:r w:rsidRPr="00E70DD9">
              <w:rPr>
                <w:rFonts w:cstheme="minorHAnsi"/>
              </w:rPr>
              <w:t>Time (months)</w:t>
            </w:r>
          </w:p>
        </w:tc>
        <w:tc>
          <w:tcPr>
            <w:tcW w:w="833" w:type="pct"/>
            <w:tcBorders>
              <w:top w:val="single" w:sz="8" w:space="0" w:color="auto"/>
              <w:left w:val="single" w:sz="8" w:space="0" w:color="auto"/>
              <w:bottom w:val="single" w:sz="8" w:space="0" w:color="auto"/>
              <w:right w:val="single" w:sz="8" w:space="0" w:color="auto"/>
            </w:tcBorders>
          </w:tcPr>
          <w:p w14:paraId="5CC45F26" w14:textId="2CE9F999" w:rsidR="00310F97" w:rsidRDefault="00310F97" w:rsidP="00310F97">
            <w:pPr>
              <w:jc w:val="center"/>
            </w:pPr>
            <w:r>
              <w:rPr>
                <w:rFonts w:cstheme="minorHAnsi"/>
              </w:rPr>
              <w:t>S</w:t>
            </w:r>
            <w:r w:rsidRPr="00E70DD9">
              <w:rPr>
                <w:rFonts w:cstheme="minorHAnsi"/>
              </w:rPr>
              <w:t>urvival</w:t>
            </w:r>
          </w:p>
        </w:tc>
        <w:tc>
          <w:tcPr>
            <w:tcW w:w="833" w:type="pct"/>
            <w:tcBorders>
              <w:top w:val="single" w:sz="8" w:space="0" w:color="auto"/>
              <w:left w:val="single" w:sz="8" w:space="0" w:color="auto"/>
              <w:bottom w:val="single" w:sz="8" w:space="0" w:color="auto"/>
              <w:right w:val="single" w:sz="8" w:space="0" w:color="auto"/>
            </w:tcBorders>
          </w:tcPr>
          <w:p w14:paraId="020C458A" w14:textId="0C7AE091" w:rsidR="00310F97" w:rsidRDefault="00310F97" w:rsidP="00310F97">
            <w:pPr>
              <w:jc w:val="center"/>
            </w:pPr>
            <w:r w:rsidRPr="00E70DD9">
              <w:rPr>
                <w:rFonts w:cstheme="minorHAnsi"/>
              </w:rPr>
              <w:t>Lower</w:t>
            </w:r>
            <w:r>
              <w:rPr>
                <w:rFonts w:cstheme="minorHAnsi"/>
              </w:rPr>
              <w:t xml:space="preserve"> CI</w:t>
            </w:r>
          </w:p>
        </w:tc>
        <w:tc>
          <w:tcPr>
            <w:tcW w:w="833" w:type="pct"/>
            <w:tcBorders>
              <w:top w:val="single" w:sz="8" w:space="0" w:color="auto"/>
              <w:left w:val="single" w:sz="8" w:space="0" w:color="auto"/>
              <w:bottom w:val="single" w:sz="8" w:space="0" w:color="auto"/>
              <w:right w:val="single" w:sz="8" w:space="0" w:color="auto"/>
            </w:tcBorders>
          </w:tcPr>
          <w:p w14:paraId="59013FB8" w14:textId="38942AE4" w:rsidR="00310F97" w:rsidRDefault="00310F97" w:rsidP="00310F97">
            <w:pPr>
              <w:jc w:val="center"/>
            </w:pPr>
            <w:r w:rsidRPr="00E70DD9">
              <w:rPr>
                <w:rFonts w:cstheme="minorHAnsi"/>
              </w:rPr>
              <w:t>Upper</w:t>
            </w:r>
            <w:r>
              <w:rPr>
                <w:rFonts w:cstheme="minorHAnsi"/>
              </w:rPr>
              <w:t xml:space="preserve"> CI</w:t>
            </w:r>
          </w:p>
        </w:tc>
      </w:tr>
      <w:tr w:rsidR="06A1B8C2" w14:paraId="7E6294AF" w14:textId="77777777" w:rsidTr="00310F97">
        <w:trPr>
          <w:trHeight w:val="285"/>
        </w:trPr>
        <w:tc>
          <w:tcPr>
            <w:tcW w:w="833" w:type="pct"/>
            <w:tcBorders>
              <w:top w:val="single" w:sz="8" w:space="0" w:color="auto"/>
              <w:left w:val="single" w:sz="8" w:space="0" w:color="auto"/>
              <w:bottom w:val="single" w:sz="8" w:space="0" w:color="auto"/>
              <w:right w:val="single" w:sz="8" w:space="0" w:color="auto"/>
            </w:tcBorders>
          </w:tcPr>
          <w:p w14:paraId="616796E5" w14:textId="4F3D9BA7" w:rsidR="06A1B8C2" w:rsidRDefault="06A1B8C2">
            <w:r w:rsidRPr="06A1B8C2">
              <w:rPr>
                <w:rFonts w:ascii="Calibri" w:eastAsia="Calibri" w:hAnsi="Calibri" w:cs="Calibri"/>
              </w:rPr>
              <w:t>1</w:t>
            </w:r>
          </w:p>
        </w:tc>
        <w:tc>
          <w:tcPr>
            <w:tcW w:w="833" w:type="pct"/>
            <w:tcBorders>
              <w:top w:val="single" w:sz="8" w:space="0" w:color="auto"/>
              <w:left w:val="single" w:sz="8" w:space="0" w:color="auto"/>
              <w:bottom w:val="single" w:sz="8" w:space="0" w:color="auto"/>
              <w:right w:val="single" w:sz="8" w:space="0" w:color="auto"/>
            </w:tcBorders>
          </w:tcPr>
          <w:p w14:paraId="0362CD49" w14:textId="2BC1D5E3" w:rsidR="06A1B8C2" w:rsidRDefault="06A1B8C2">
            <w:r w:rsidRPr="06A1B8C2">
              <w:rPr>
                <w:rFonts w:ascii="Calibri" w:eastAsia="Calibri" w:hAnsi="Calibri" w:cs="Calibri"/>
              </w:rPr>
              <w:t>Azactidine</w:t>
            </w:r>
          </w:p>
        </w:tc>
        <w:tc>
          <w:tcPr>
            <w:tcW w:w="833" w:type="pct"/>
            <w:tcBorders>
              <w:top w:val="single" w:sz="8" w:space="0" w:color="auto"/>
              <w:left w:val="single" w:sz="8" w:space="0" w:color="auto"/>
              <w:bottom w:val="single" w:sz="8" w:space="0" w:color="auto"/>
              <w:right w:val="single" w:sz="8" w:space="0" w:color="auto"/>
            </w:tcBorders>
          </w:tcPr>
          <w:p w14:paraId="690ECC38" w14:textId="6DDDD8A2" w:rsidR="06A1B8C2" w:rsidRDefault="06A1B8C2" w:rsidP="06A1B8C2">
            <w:pPr>
              <w:jc w:val="center"/>
            </w:pPr>
            <w:r w:rsidRPr="06A1B8C2">
              <w:rPr>
                <w:rFonts w:ascii="Calibri" w:eastAsia="Calibri" w:hAnsi="Calibri" w:cs="Calibri"/>
              </w:rPr>
              <w:t>12</w:t>
            </w:r>
          </w:p>
        </w:tc>
        <w:tc>
          <w:tcPr>
            <w:tcW w:w="833" w:type="pct"/>
            <w:tcBorders>
              <w:top w:val="single" w:sz="8" w:space="0" w:color="auto"/>
              <w:left w:val="single" w:sz="8" w:space="0" w:color="auto"/>
              <w:bottom w:val="single" w:sz="8" w:space="0" w:color="auto"/>
              <w:right w:val="single" w:sz="8" w:space="0" w:color="auto"/>
            </w:tcBorders>
          </w:tcPr>
          <w:p w14:paraId="51075901" w14:textId="782A5B1D" w:rsidR="06A1B8C2" w:rsidRDefault="06A1B8C2" w:rsidP="06A1B8C2">
            <w:pPr>
              <w:jc w:val="center"/>
            </w:pPr>
            <w:r w:rsidRPr="06A1B8C2">
              <w:rPr>
                <w:rFonts w:ascii="Calibri" w:eastAsia="Calibri" w:hAnsi="Calibri" w:cs="Calibri"/>
              </w:rPr>
              <w:t>0.42</w:t>
            </w:r>
          </w:p>
        </w:tc>
        <w:tc>
          <w:tcPr>
            <w:tcW w:w="833" w:type="pct"/>
            <w:tcBorders>
              <w:top w:val="single" w:sz="8" w:space="0" w:color="auto"/>
              <w:left w:val="single" w:sz="8" w:space="0" w:color="auto"/>
              <w:bottom w:val="single" w:sz="8" w:space="0" w:color="auto"/>
              <w:right w:val="single" w:sz="8" w:space="0" w:color="auto"/>
            </w:tcBorders>
          </w:tcPr>
          <w:p w14:paraId="0F38B13F" w14:textId="123A0FEC" w:rsidR="06A1B8C2" w:rsidRDefault="06A1B8C2" w:rsidP="06A1B8C2">
            <w:pPr>
              <w:jc w:val="center"/>
            </w:pPr>
            <w:r w:rsidRPr="06A1B8C2">
              <w:rPr>
                <w:rFonts w:ascii="Calibri" w:eastAsia="Calibri" w:hAnsi="Calibri" w:cs="Calibri"/>
              </w:rPr>
              <w:t>0.27</w:t>
            </w:r>
          </w:p>
        </w:tc>
        <w:tc>
          <w:tcPr>
            <w:tcW w:w="833" w:type="pct"/>
            <w:tcBorders>
              <w:top w:val="single" w:sz="8" w:space="0" w:color="auto"/>
              <w:left w:val="single" w:sz="8" w:space="0" w:color="auto"/>
              <w:bottom w:val="single" w:sz="8" w:space="0" w:color="auto"/>
              <w:right w:val="single" w:sz="8" w:space="0" w:color="auto"/>
            </w:tcBorders>
          </w:tcPr>
          <w:p w14:paraId="484B7845" w14:textId="774C47DB" w:rsidR="06A1B8C2" w:rsidRDefault="06A1B8C2" w:rsidP="06A1B8C2">
            <w:pPr>
              <w:jc w:val="center"/>
            </w:pPr>
            <w:r w:rsidRPr="06A1B8C2">
              <w:rPr>
                <w:rFonts w:ascii="Calibri" w:eastAsia="Calibri" w:hAnsi="Calibri" w:cs="Calibri"/>
              </w:rPr>
              <w:t>0.65</w:t>
            </w:r>
          </w:p>
        </w:tc>
      </w:tr>
      <w:tr w:rsidR="06A1B8C2" w14:paraId="3828B2B3" w14:textId="77777777" w:rsidTr="00310F97">
        <w:trPr>
          <w:trHeight w:val="285"/>
        </w:trPr>
        <w:tc>
          <w:tcPr>
            <w:tcW w:w="833" w:type="pct"/>
            <w:tcBorders>
              <w:top w:val="single" w:sz="8" w:space="0" w:color="auto"/>
              <w:left w:val="single" w:sz="8" w:space="0" w:color="auto"/>
              <w:bottom w:val="single" w:sz="8" w:space="0" w:color="auto"/>
              <w:right w:val="single" w:sz="8" w:space="0" w:color="auto"/>
            </w:tcBorders>
          </w:tcPr>
          <w:p w14:paraId="2022C44E" w14:textId="0C6FC7C0" w:rsidR="06A1B8C2" w:rsidRDefault="06A1B8C2">
            <w:r w:rsidRPr="06A1B8C2">
              <w:rPr>
                <w:rFonts w:ascii="Calibri" w:eastAsia="Calibri" w:hAnsi="Calibri" w:cs="Calibri"/>
              </w:rPr>
              <w:t>2</w:t>
            </w:r>
          </w:p>
        </w:tc>
        <w:tc>
          <w:tcPr>
            <w:tcW w:w="833" w:type="pct"/>
            <w:tcBorders>
              <w:top w:val="single" w:sz="8" w:space="0" w:color="auto"/>
              <w:left w:val="single" w:sz="8" w:space="0" w:color="auto"/>
              <w:bottom w:val="single" w:sz="8" w:space="0" w:color="auto"/>
              <w:right w:val="single" w:sz="8" w:space="0" w:color="auto"/>
            </w:tcBorders>
          </w:tcPr>
          <w:p w14:paraId="20436B86" w14:textId="1CCD0290" w:rsidR="06A1B8C2" w:rsidRDefault="06A1B8C2">
            <w:r w:rsidRPr="06A1B8C2">
              <w:rPr>
                <w:rFonts w:ascii="Calibri" w:eastAsia="Calibri" w:hAnsi="Calibri" w:cs="Calibri"/>
              </w:rPr>
              <w:t>Azactidine</w:t>
            </w:r>
          </w:p>
        </w:tc>
        <w:tc>
          <w:tcPr>
            <w:tcW w:w="833" w:type="pct"/>
            <w:tcBorders>
              <w:top w:val="single" w:sz="8" w:space="0" w:color="auto"/>
              <w:left w:val="single" w:sz="8" w:space="0" w:color="auto"/>
              <w:bottom w:val="single" w:sz="8" w:space="0" w:color="auto"/>
              <w:right w:val="single" w:sz="8" w:space="0" w:color="auto"/>
            </w:tcBorders>
          </w:tcPr>
          <w:p w14:paraId="3815483F" w14:textId="76B0A338" w:rsidR="06A1B8C2" w:rsidRDefault="06A1B8C2" w:rsidP="06A1B8C2">
            <w:pPr>
              <w:jc w:val="center"/>
            </w:pPr>
            <w:r w:rsidRPr="06A1B8C2">
              <w:rPr>
                <w:rFonts w:ascii="Calibri" w:eastAsia="Calibri" w:hAnsi="Calibri" w:cs="Calibri"/>
              </w:rPr>
              <w:t>24</w:t>
            </w:r>
          </w:p>
        </w:tc>
        <w:tc>
          <w:tcPr>
            <w:tcW w:w="833" w:type="pct"/>
            <w:tcBorders>
              <w:top w:val="single" w:sz="8" w:space="0" w:color="auto"/>
              <w:left w:val="single" w:sz="8" w:space="0" w:color="auto"/>
              <w:bottom w:val="single" w:sz="8" w:space="0" w:color="auto"/>
              <w:right w:val="single" w:sz="8" w:space="0" w:color="auto"/>
            </w:tcBorders>
          </w:tcPr>
          <w:p w14:paraId="1447C7C5" w14:textId="3D114487" w:rsidR="06A1B8C2" w:rsidRDefault="06A1B8C2" w:rsidP="06A1B8C2">
            <w:pPr>
              <w:jc w:val="center"/>
            </w:pPr>
            <w:r w:rsidRPr="06A1B8C2">
              <w:rPr>
                <w:rFonts w:ascii="Calibri" w:eastAsia="Calibri" w:hAnsi="Calibri" w:cs="Calibri"/>
              </w:rPr>
              <w:t>0.28</w:t>
            </w:r>
          </w:p>
        </w:tc>
        <w:tc>
          <w:tcPr>
            <w:tcW w:w="833" w:type="pct"/>
            <w:tcBorders>
              <w:top w:val="single" w:sz="8" w:space="0" w:color="auto"/>
              <w:left w:val="single" w:sz="8" w:space="0" w:color="auto"/>
              <w:bottom w:val="single" w:sz="8" w:space="0" w:color="auto"/>
              <w:right w:val="single" w:sz="8" w:space="0" w:color="auto"/>
            </w:tcBorders>
          </w:tcPr>
          <w:p w14:paraId="3E73A3D4" w14:textId="78396108" w:rsidR="06A1B8C2" w:rsidRDefault="06A1B8C2" w:rsidP="06A1B8C2">
            <w:pPr>
              <w:jc w:val="center"/>
            </w:pPr>
            <w:r w:rsidRPr="06A1B8C2">
              <w:rPr>
                <w:rFonts w:ascii="Calibri" w:eastAsia="Calibri" w:hAnsi="Calibri" w:cs="Calibri"/>
              </w:rPr>
              <w:t>0.15</w:t>
            </w:r>
          </w:p>
        </w:tc>
        <w:tc>
          <w:tcPr>
            <w:tcW w:w="833" w:type="pct"/>
            <w:tcBorders>
              <w:top w:val="single" w:sz="8" w:space="0" w:color="auto"/>
              <w:left w:val="single" w:sz="8" w:space="0" w:color="auto"/>
              <w:bottom w:val="single" w:sz="8" w:space="0" w:color="auto"/>
              <w:right w:val="single" w:sz="8" w:space="0" w:color="auto"/>
            </w:tcBorders>
          </w:tcPr>
          <w:p w14:paraId="4487B331" w14:textId="59512584" w:rsidR="06A1B8C2" w:rsidRDefault="06A1B8C2" w:rsidP="06A1B8C2">
            <w:pPr>
              <w:jc w:val="center"/>
            </w:pPr>
            <w:r w:rsidRPr="06A1B8C2">
              <w:rPr>
                <w:rFonts w:ascii="Calibri" w:eastAsia="Calibri" w:hAnsi="Calibri" w:cs="Calibri"/>
              </w:rPr>
              <w:t>0.55</w:t>
            </w:r>
          </w:p>
        </w:tc>
      </w:tr>
      <w:tr w:rsidR="06A1B8C2" w14:paraId="22DD86C9" w14:textId="77777777" w:rsidTr="00310F97">
        <w:trPr>
          <w:trHeight w:val="285"/>
        </w:trPr>
        <w:tc>
          <w:tcPr>
            <w:tcW w:w="833" w:type="pct"/>
            <w:tcBorders>
              <w:top w:val="single" w:sz="8" w:space="0" w:color="auto"/>
              <w:left w:val="single" w:sz="8" w:space="0" w:color="auto"/>
              <w:bottom w:val="single" w:sz="8" w:space="0" w:color="auto"/>
              <w:right w:val="single" w:sz="8" w:space="0" w:color="auto"/>
            </w:tcBorders>
          </w:tcPr>
          <w:p w14:paraId="412A8E31" w14:textId="7212D1EA" w:rsidR="06A1B8C2" w:rsidRDefault="06A1B8C2">
            <w:r w:rsidRPr="06A1B8C2">
              <w:rPr>
                <w:rFonts w:ascii="Calibri" w:eastAsia="Calibri" w:hAnsi="Calibri" w:cs="Calibri"/>
              </w:rPr>
              <w:t>3</w:t>
            </w:r>
          </w:p>
        </w:tc>
        <w:tc>
          <w:tcPr>
            <w:tcW w:w="833" w:type="pct"/>
            <w:tcBorders>
              <w:top w:val="single" w:sz="8" w:space="0" w:color="auto"/>
              <w:left w:val="single" w:sz="8" w:space="0" w:color="auto"/>
              <w:bottom w:val="single" w:sz="8" w:space="0" w:color="auto"/>
              <w:right w:val="single" w:sz="8" w:space="0" w:color="auto"/>
            </w:tcBorders>
          </w:tcPr>
          <w:p w14:paraId="79CE5044" w14:textId="62269FAF" w:rsidR="06A1B8C2" w:rsidRDefault="06A1B8C2">
            <w:r w:rsidRPr="06A1B8C2">
              <w:rPr>
                <w:rFonts w:ascii="Calibri" w:eastAsia="Calibri" w:hAnsi="Calibri" w:cs="Calibri"/>
              </w:rPr>
              <w:t>Azactidine</w:t>
            </w:r>
          </w:p>
        </w:tc>
        <w:tc>
          <w:tcPr>
            <w:tcW w:w="833" w:type="pct"/>
            <w:tcBorders>
              <w:top w:val="single" w:sz="8" w:space="0" w:color="auto"/>
              <w:left w:val="single" w:sz="8" w:space="0" w:color="auto"/>
              <w:bottom w:val="single" w:sz="8" w:space="0" w:color="auto"/>
              <w:right w:val="single" w:sz="8" w:space="0" w:color="auto"/>
            </w:tcBorders>
          </w:tcPr>
          <w:p w14:paraId="49DE50A0" w14:textId="676B8269" w:rsidR="06A1B8C2" w:rsidRDefault="06A1B8C2" w:rsidP="06A1B8C2">
            <w:pPr>
              <w:jc w:val="center"/>
            </w:pPr>
            <w:r w:rsidRPr="06A1B8C2">
              <w:rPr>
                <w:rFonts w:ascii="Calibri" w:eastAsia="Calibri" w:hAnsi="Calibri" w:cs="Calibri"/>
              </w:rPr>
              <w:t>36</w:t>
            </w:r>
          </w:p>
        </w:tc>
        <w:tc>
          <w:tcPr>
            <w:tcW w:w="833" w:type="pct"/>
            <w:tcBorders>
              <w:top w:val="single" w:sz="8" w:space="0" w:color="auto"/>
              <w:left w:val="single" w:sz="8" w:space="0" w:color="auto"/>
              <w:bottom w:val="single" w:sz="8" w:space="0" w:color="auto"/>
              <w:right w:val="single" w:sz="8" w:space="0" w:color="auto"/>
            </w:tcBorders>
          </w:tcPr>
          <w:p w14:paraId="08C4158E" w14:textId="78173B75" w:rsidR="06A1B8C2" w:rsidRDefault="06A1B8C2" w:rsidP="06A1B8C2">
            <w:pPr>
              <w:jc w:val="center"/>
            </w:pPr>
            <w:r w:rsidRPr="06A1B8C2">
              <w:rPr>
                <w:rFonts w:ascii="Calibri" w:eastAsia="Calibri" w:hAnsi="Calibri" w:cs="Calibri"/>
              </w:rPr>
              <w:t>0.15</w:t>
            </w:r>
          </w:p>
        </w:tc>
        <w:tc>
          <w:tcPr>
            <w:tcW w:w="833" w:type="pct"/>
            <w:tcBorders>
              <w:top w:val="single" w:sz="8" w:space="0" w:color="auto"/>
              <w:left w:val="single" w:sz="8" w:space="0" w:color="auto"/>
              <w:bottom w:val="single" w:sz="8" w:space="0" w:color="auto"/>
              <w:right w:val="single" w:sz="8" w:space="0" w:color="auto"/>
            </w:tcBorders>
          </w:tcPr>
          <w:p w14:paraId="1665F296" w14:textId="072FDC34" w:rsidR="06A1B8C2" w:rsidRDefault="06A1B8C2" w:rsidP="06A1B8C2">
            <w:pPr>
              <w:jc w:val="center"/>
            </w:pPr>
            <w:r w:rsidRPr="06A1B8C2">
              <w:rPr>
                <w:rFonts w:ascii="Calibri" w:eastAsia="Calibri" w:hAnsi="Calibri" w:cs="Calibri"/>
              </w:rPr>
              <w:t>0.05</w:t>
            </w:r>
          </w:p>
        </w:tc>
        <w:tc>
          <w:tcPr>
            <w:tcW w:w="833" w:type="pct"/>
            <w:tcBorders>
              <w:top w:val="single" w:sz="8" w:space="0" w:color="auto"/>
              <w:left w:val="single" w:sz="8" w:space="0" w:color="auto"/>
              <w:bottom w:val="single" w:sz="8" w:space="0" w:color="auto"/>
              <w:right w:val="single" w:sz="8" w:space="0" w:color="auto"/>
            </w:tcBorders>
          </w:tcPr>
          <w:p w14:paraId="63DF0738" w14:textId="19ECBB41" w:rsidR="06A1B8C2" w:rsidRDefault="06A1B8C2" w:rsidP="06A1B8C2">
            <w:pPr>
              <w:jc w:val="center"/>
            </w:pPr>
            <w:r w:rsidRPr="06A1B8C2">
              <w:rPr>
                <w:rFonts w:ascii="Calibri" w:eastAsia="Calibri" w:hAnsi="Calibri" w:cs="Calibri"/>
              </w:rPr>
              <w:t>0.46</w:t>
            </w:r>
          </w:p>
        </w:tc>
      </w:tr>
      <w:tr w:rsidR="06A1B8C2" w14:paraId="78DEA7C4" w14:textId="77777777" w:rsidTr="00310F97">
        <w:trPr>
          <w:trHeight w:val="285"/>
        </w:trPr>
        <w:tc>
          <w:tcPr>
            <w:tcW w:w="833" w:type="pct"/>
            <w:tcBorders>
              <w:top w:val="single" w:sz="8" w:space="0" w:color="auto"/>
              <w:left w:val="single" w:sz="8" w:space="0" w:color="auto"/>
              <w:bottom w:val="single" w:sz="8" w:space="0" w:color="auto"/>
              <w:right w:val="single" w:sz="8" w:space="0" w:color="auto"/>
            </w:tcBorders>
          </w:tcPr>
          <w:p w14:paraId="0F34B77C" w14:textId="0E9DB658" w:rsidR="06A1B8C2" w:rsidRDefault="06A1B8C2">
            <w:r w:rsidRPr="06A1B8C2">
              <w:rPr>
                <w:rFonts w:ascii="Calibri" w:eastAsia="Calibri" w:hAnsi="Calibri" w:cs="Calibri"/>
              </w:rPr>
              <w:t>4</w:t>
            </w:r>
          </w:p>
        </w:tc>
        <w:tc>
          <w:tcPr>
            <w:tcW w:w="833" w:type="pct"/>
            <w:tcBorders>
              <w:top w:val="single" w:sz="8" w:space="0" w:color="auto"/>
              <w:left w:val="single" w:sz="8" w:space="0" w:color="auto"/>
              <w:bottom w:val="single" w:sz="8" w:space="0" w:color="auto"/>
              <w:right w:val="single" w:sz="8" w:space="0" w:color="auto"/>
            </w:tcBorders>
          </w:tcPr>
          <w:p w14:paraId="02D325C1" w14:textId="2F4FB215" w:rsidR="06A1B8C2" w:rsidRDefault="06A1B8C2">
            <w:r w:rsidRPr="06A1B8C2">
              <w:rPr>
                <w:rFonts w:ascii="Calibri" w:eastAsia="Calibri" w:hAnsi="Calibri" w:cs="Calibri"/>
              </w:rPr>
              <w:t>Azactidine</w:t>
            </w:r>
          </w:p>
        </w:tc>
        <w:tc>
          <w:tcPr>
            <w:tcW w:w="833" w:type="pct"/>
            <w:tcBorders>
              <w:top w:val="single" w:sz="8" w:space="0" w:color="auto"/>
              <w:left w:val="single" w:sz="8" w:space="0" w:color="auto"/>
              <w:bottom w:val="single" w:sz="8" w:space="0" w:color="auto"/>
              <w:right w:val="single" w:sz="8" w:space="0" w:color="auto"/>
            </w:tcBorders>
          </w:tcPr>
          <w:p w14:paraId="70B3C95C" w14:textId="12AB285C" w:rsidR="06A1B8C2" w:rsidRDefault="06A1B8C2" w:rsidP="06A1B8C2">
            <w:pPr>
              <w:jc w:val="center"/>
            </w:pPr>
            <w:r w:rsidRPr="06A1B8C2">
              <w:rPr>
                <w:rFonts w:ascii="Calibri" w:eastAsia="Calibri" w:hAnsi="Calibri" w:cs="Calibri"/>
              </w:rPr>
              <w:t>48</w:t>
            </w:r>
          </w:p>
        </w:tc>
        <w:tc>
          <w:tcPr>
            <w:tcW w:w="833" w:type="pct"/>
            <w:tcBorders>
              <w:top w:val="single" w:sz="8" w:space="0" w:color="auto"/>
              <w:left w:val="single" w:sz="8" w:space="0" w:color="auto"/>
              <w:bottom w:val="single" w:sz="8" w:space="0" w:color="auto"/>
              <w:right w:val="single" w:sz="8" w:space="0" w:color="auto"/>
            </w:tcBorders>
          </w:tcPr>
          <w:p w14:paraId="3043A987" w14:textId="6E6B99E1" w:rsidR="06A1B8C2" w:rsidRDefault="06A1B8C2" w:rsidP="06A1B8C2">
            <w:pPr>
              <w:jc w:val="center"/>
            </w:pPr>
            <w:r w:rsidRPr="06A1B8C2">
              <w:rPr>
                <w:rFonts w:ascii="Calibri" w:eastAsia="Calibri" w:hAnsi="Calibri" w:cs="Calibri"/>
              </w:rPr>
              <w:t>0.11</w:t>
            </w:r>
          </w:p>
        </w:tc>
        <w:tc>
          <w:tcPr>
            <w:tcW w:w="833" w:type="pct"/>
            <w:tcBorders>
              <w:top w:val="single" w:sz="8" w:space="0" w:color="auto"/>
              <w:left w:val="single" w:sz="8" w:space="0" w:color="auto"/>
              <w:bottom w:val="single" w:sz="8" w:space="0" w:color="auto"/>
              <w:right w:val="single" w:sz="8" w:space="0" w:color="auto"/>
            </w:tcBorders>
          </w:tcPr>
          <w:p w14:paraId="246BD9F3" w14:textId="7DF1A334" w:rsidR="06A1B8C2" w:rsidRDefault="06A1B8C2" w:rsidP="06A1B8C2">
            <w:pPr>
              <w:jc w:val="center"/>
            </w:pPr>
            <w:r w:rsidRPr="06A1B8C2">
              <w:rPr>
                <w:rFonts w:ascii="Calibri" w:eastAsia="Calibri" w:hAnsi="Calibri" w:cs="Calibri"/>
              </w:rPr>
              <w:t>0.03</w:t>
            </w:r>
          </w:p>
        </w:tc>
        <w:tc>
          <w:tcPr>
            <w:tcW w:w="833" w:type="pct"/>
            <w:tcBorders>
              <w:top w:val="single" w:sz="8" w:space="0" w:color="auto"/>
              <w:left w:val="single" w:sz="8" w:space="0" w:color="auto"/>
              <w:bottom w:val="single" w:sz="8" w:space="0" w:color="auto"/>
              <w:right w:val="single" w:sz="8" w:space="0" w:color="auto"/>
            </w:tcBorders>
          </w:tcPr>
          <w:p w14:paraId="732216AA" w14:textId="7E531FDF" w:rsidR="06A1B8C2" w:rsidRDefault="06A1B8C2" w:rsidP="06A1B8C2">
            <w:pPr>
              <w:jc w:val="center"/>
            </w:pPr>
            <w:r w:rsidRPr="06A1B8C2">
              <w:rPr>
                <w:rFonts w:ascii="Calibri" w:eastAsia="Calibri" w:hAnsi="Calibri" w:cs="Calibri"/>
              </w:rPr>
              <w:t>0.46</w:t>
            </w:r>
          </w:p>
        </w:tc>
      </w:tr>
      <w:tr w:rsidR="06A1B8C2" w14:paraId="6F4A216A" w14:textId="77777777" w:rsidTr="00310F97">
        <w:trPr>
          <w:trHeight w:val="285"/>
        </w:trPr>
        <w:tc>
          <w:tcPr>
            <w:tcW w:w="833" w:type="pct"/>
            <w:tcBorders>
              <w:top w:val="single" w:sz="8" w:space="0" w:color="auto"/>
              <w:left w:val="single" w:sz="8" w:space="0" w:color="auto"/>
              <w:bottom w:val="single" w:sz="8" w:space="0" w:color="auto"/>
              <w:right w:val="single" w:sz="8" w:space="0" w:color="auto"/>
            </w:tcBorders>
          </w:tcPr>
          <w:p w14:paraId="28E40FD0" w14:textId="03258805" w:rsidR="06A1B8C2" w:rsidRDefault="06A1B8C2">
            <w:r w:rsidRPr="06A1B8C2">
              <w:rPr>
                <w:rFonts w:ascii="Calibri" w:eastAsia="Calibri" w:hAnsi="Calibri" w:cs="Calibri"/>
              </w:rPr>
              <w:t>5</w:t>
            </w:r>
          </w:p>
        </w:tc>
        <w:tc>
          <w:tcPr>
            <w:tcW w:w="833" w:type="pct"/>
            <w:tcBorders>
              <w:top w:val="single" w:sz="8" w:space="0" w:color="auto"/>
              <w:left w:val="single" w:sz="8" w:space="0" w:color="auto"/>
              <w:bottom w:val="single" w:sz="8" w:space="0" w:color="auto"/>
              <w:right w:val="single" w:sz="8" w:space="0" w:color="auto"/>
            </w:tcBorders>
          </w:tcPr>
          <w:p w14:paraId="51F23400" w14:textId="0A949082" w:rsidR="06A1B8C2" w:rsidRDefault="06A1B8C2">
            <w:r w:rsidRPr="06A1B8C2">
              <w:rPr>
                <w:rFonts w:ascii="Calibri" w:eastAsia="Calibri" w:hAnsi="Calibri" w:cs="Calibri"/>
              </w:rPr>
              <w:t>Decitabine</w:t>
            </w:r>
          </w:p>
        </w:tc>
        <w:tc>
          <w:tcPr>
            <w:tcW w:w="833" w:type="pct"/>
            <w:tcBorders>
              <w:top w:val="single" w:sz="8" w:space="0" w:color="auto"/>
              <w:left w:val="single" w:sz="8" w:space="0" w:color="auto"/>
              <w:bottom w:val="single" w:sz="8" w:space="0" w:color="auto"/>
              <w:right w:val="single" w:sz="8" w:space="0" w:color="auto"/>
            </w:tcBorders>
          </w:tcPr>
          <w:p w14:paraId="56DF71EA" w14:textId="2BCD8393" w:rsidR="06A1B8C2" w:rsidRDefault="06A1B8C2" w:rsidP="06A1B8C2">
            <w:pPr>
              <w:jc w:val="center"/>
            </w:pPr>
            <w:r w:rsidRPr="06A1B8C2">
              <w:rPr>
                <w:rFonts w:ascii="Calibri" w:eastAsia="Calibri" w:hAnsi="Calibri" w:cs="Calibri"/>
              </w:rPr>
              <w:t>12</w:t>
            </w:r>
          </w:p>
        </w:tc>
        <w:tc>
          <w:tcPr>
            <w:tcW w:w="833" w:type="pct"/>
            <w:tcBorders>
              <w:top w:val="single" w:sz="8" w:space="0" w:color="auto"/>
              <w:left w:val="single" w:sz="8" w:space="0" w:color="auto"/>
              <w:bottom w:val="single" w:sz="8" w:space="0" w:color="auto"/>
              <w:right w:val="single" w:sz="8" w:space="0" w:color="auto"/>
            </w:tcBorders>
          </w:tcPr>
          <w:p w14:paraId="76EDD710" w14:textId="433499FB" w:rsidR="06A1B8C2" w:rsidRDefault="06A1B8C2" w:rsidP="06A1B8C2">
            <w:pPr>
              <w:jc w:val="center"/>
            </w:pPr>
            <w:r w:rsidRPr="06A1B8C2">
              <w:rPr>
                <w:rFonts w:ascii="Calibri" w:eastAsia="Calibri" w:hAnsi="Calibri" w:cs="Calibri"/>
              </w:rPr>
              <w:t>0.32</w:t>
            </w:r>
          </w:p>
        </w:tc>
        <w:tc>
          <w:tcPr>
            <w:tcW w:w="833" w:type="pct"/>
            <w:tcBorders>
              <w:top w:val="single" w:sz="8" w:space="0" w:color="auto"/>
              <w:left w:val="single" w:sz="8" w:space="0" w:color="auto"/>
              <w:bottom w:val="single" w:sz="8" w:space="0" w:color="auto"/>
              <w:right w:val="single" w:sz="8" w:space="0" w:color="auto"/>
            </w:tcBorders>
          </w:tcPr>
          <w:p w14:paraId="2844FBD6" w14:textId="68E6782A" w:rsidR="06A1B8C2" w:rsidRDefault="06A1B8C2" w:rsidP="06A1B8C2">
            <w:pPr>
              <w:jc w:val="center"/>
            </w:pPr>
            <w:r w:rsidRPr="06A1B8C2">
              <w:rPr>
                <w:rFonts w:ascii="Calibri" w:eastAsia="Calibri" w:hAnsi="Calibri" w:cs="Calibri"/>
              </w:rPr>
              <w:t>0.23</w:t>
            </w:r>
          </w:p>
        </w:tc>
        <w:tc>
          <w:tcPr>
            <w:tcW w:w="833" w:type="pct"/>
            <w:tcBorders>
              <w:top w:val="single" w:sz="8" w:space="0" w:color="auto"/>
              <w:left w:val="single" w:sz="8" w:space="0" w:color="auto"/>
              <w:bottom w:val="single" w:sz="8" w:space="0" w:color="auto"/>
              <w:right w:val="single" w:sz="8" w:space="0" w:color="auto"/>
            </w:tcBorders>
          </w:tcPr>
          <w:p w14:paraId="43C7D9A9" w14:textId="733D96AB" w:rsidR="06A1B8C2" w:rsidRDefault="06A1B8C2" w:rsidP="06A1B8C2">
            <w:pPr>
              <w:jc w:val="center"/>
            </w:pPr>
            <w:r w:rsidRPr="06A1B8C2">
              <w:rPr>
                <w:rFonts w:ascii="Calibri" w:eastAsia="Calibri" w:hAnsi="Calibri" w:cs="Calibri"/>
              </w:rPr>
              <w:t>0.44</w:t>
            </w:r>
          </w:p>
        </w:tc>
      </w:tr>
      <w:tr w:rsidR="06A1B8C2" w14:paraId="0E520534" w14:textId="77777777" w:rsidTr="00310F97">
        <w:trPr>
          <w:trHeight w:val="285"/>
        </w:trPr>
        <w:tc>
          <w:tcPr>
            <w:tcW w:w="833" w:type="pct"/>
            <w:tcBorders>
              <w:top w:val="single" w:sz="8" w:space="0" w:color="auto"/>
              <w:left w:val="single" w:sz="8" w:space="0" w:color="auto"/>
              <w:bottom w:val="single" w:sz="8" w:space="0" w:color="auto"/>
              <w:right w:val="single" w:sz="8" w:space="0" w:color="auto"/>
            </w:tcBorders>
          </w:tcPr>
          <w:p w14:paraId="53F06988" w14:textId="54D14DAF" w:rsidR="06A1B8C2" w:rsidRDefault="06A1B8C2">
            <w:r w:rsidRPr="06A1B8C2">
              <w:rPr>
                <w:rFonts w:ascii="Calibri" w:eastAsia="Calibri" w:hAnsi="Calibri" w:cs="Calibri"/>
              </w:rPr>
              <w:t>6</w:t>
            </w:r>
          </w:p>
        </w:tc>
        <w:tc>
          <w:tcPr>
            <w:tcW w:w="833" w:type="pct"/>
            <w:tcBorders>
              <w:top w:val="single" w:sz="8" w:space="0" w:color="auto"/>
              <w:left w:val="single" w:sz="8" w:space="0" w:color="auto"/>
              <w:bottom w:val="single" w:sz="8" w:space="0" w:color="auto"/>
              <w:right w:val="single" w:sz="8" w:space="0" w:color="auto"/>
            </w:tcBorders>
          </w:tcPr>
          <w:p w14:paraId="6F3044EB" w14:textId="2B31011A" w:rsidR="06A1B8C2" w:rsidRDefault="06A1B8C2">
            <w:r w:rsidRPr="06A1B8C2">
              <w:rPr>
                <w:rFonts w:ascii="Calibri" w:eastAsia="Calibri" w:hAnsi="Calibri" w:cs="Calibri"/>
              </w:rPr>
              <w:t>Decitabine</w:t>
            </w:r>
          </w:p>
        </w:tc>
        <w:tc>
          <w:tcPr>
            <w:tcW w:w="833" w:type="pct"/>
            <w:tcBorders>
              <w:top w:val="single" w:sz="8" w:space="0" w:color="auto"/>
              <w:left w:val="single" w:sz="8" w:space="0" w:color="auto"/>
              <w:bottom w:val="single" w:sz="8" w:space="0" w:color="auto"/>
              <w:right w:val="single" w:sz="8" w:space="0" w:color="auto"/>
            </w:tcBorders>
          </w:tcPr>
          <w:p w14:paraId="53E719F0" w14:textId="4E76B0AA" w:rsidR="06A1B8C2" w:rsidRDefault="06A1B8C2" w:rsidP="06A1B8C2">
            <w:pPr>
              <w:jc w:val="center"/>
            </w:pPr>
            <w:r w:rsidRPr="06A1B8C2">
              <w:rPr>
                <w:rFonts w:ascii="Calibri" w:eastAsia="Calibri" w:hAnsi="Calibri" w:cs="Calibri"/>
              </w:rPr>
              <w:t>24</w:t>
            </w:r>
          </w:p>
        </w:tc>
        <w:tc>
          <w:tcPr>
            <w:tcW w:w="833" w:type="pct"/>
            <w:tcBorders>
              <w:top w:val="single" w:sz="8" w:space="0" w:color="auto"/>
              <w:left w:val="single" w:sz="8" w:space="0" w:color="auto"/>
              <w:bottom w:val="single" w:sz="8" w:space="0" w:color="auto"/>
              <w:right w:val="single" w:sz="8" w:space="0" w:color="auto"/>
            </w:tcBorders>
          </w:tcPr>
          <w:p w14:paraId="01A6A4BF" w14:textId="1C33795E" w:rsidR="06A1B8C2" w:rsidRDefault="06A1B8C2" w:rsidP="06A1B8C2">
            <w:pPr>
              <w:jc w:val="center"/>
            </w:pPr>
            <w:r w:rsidRPr="06A1B8C2">
              <w:rPr>
                <w:rFonts w:ascii="Calibri" w:eastAsia="Calibri" w:hAnsi="Calibri" w:cs="Calibri"/>
              </w:rPr>
              <w:t>0.18</w:t>
            </w:r>
          </w:p>
        </w:tc>
        <w:tc>
          <w:tcPr>
            <w:tcW w:w="833" w:type="pct"/>
            <w:tcBorders>
              <w:top w:val="single" w:sz="8" w:space="0" w:color="auto"/>
              <w:left w:val="single" w:sz="8" w:space="0" w:color="auto"/>
              <w:bottom w:val="single" w:sz="8" w:space="0" w:color="auto"/>
              <w:right w:val="single" w:sz="8" w:space="0" w:color="auto"/>
            </w:tcBorders>
          </w:tcPr>
          <w:p w14:paraId="5AF676A7" w14:textId="323102E5" w:rsidR="06A1B8C2" w:rsidRDefault="06A1B8C2" w:rsidP="06A1B8C2">
            <w:pPr>
              <w:jc w:val="center"/>
            </w:pPr>
            <w:r w:rsidRPr="06A1B8C2">
              <w:rPr>
                <w:rFonts w:ascii="Calibri" w:eastAsia="Calibri" w:hAnsi="Calibri" w:cs="Calibri"/>
              </w:rPr>
              <w:t>0.11</w:t>
            </w:r>
          </w:p>
        </w:tc>
        <w:tc>
          <w:tcPr>
            <w:tcW w:w="833" w:type="pct"/>
            <w:tcBorders>
              <w:top w:val="single" w:sz="8" w:space="0" w:color="auto"/>
              <w:left w:val="single" w:sz="8" w:space="0" w:color="auto"/>
              <w:bottom w:val="single" w:sz="8" w:space="0" w:color="auto"/>
              <w:right w:val="single" w:sz="8" w:space="0" w:color="auto"/>
            </w:tcBorders>
          </w:tcPr>
          <w:p w14:paraId="2A6F9B7B" w14:textId="1CADFEB5" w:rsidR="06A1B8C2" w:rsidRDefault="06A1B8C2" w:rsidP="06A1B8C2">
            <w:pPr>
              <w:jc w:val="center"/>
            </w:pPr>
            <w:r w:rsidRPr="06A1B8C2">
              <w:rPr>
                <w:rFonts w:ascii="Calibri" w:eastAsia="Calibri" w:hAnsi="Calibri" w:cs="Calibri"/>
              </w:rPr>
              <w:t>0.28</w:t>
            </w:r>
          </w:p>
        </w:tc>
      </w:tr>
      <w:tr w:rsidR="06A1B8C2" w14:paraId="1317C4E4" w14:textId="77777777" w:rsidTr="00310F97">
        <w:trPr>
          <w:trHeight w:val="285"/>
        </w:trPr>
        <w:tc>
          <w:tcPr>
            <w:tcW w:w="833" w:type="pct"/>
            <w:tcBorders>
              <w:top w:val="single" w:sz="8" w:space="0" w:color="auto"/>
              <w:left w:val="single" w:sz="8" w:space="0" w:color="auto"/>
              <w:bottom w:val="single" w:sz="8" w:space="0" w:color="auto"/>
              <w:right w:val="single" w:sz="8" w:space="0" w:color="auto"/>
            </w:tcBorders>
          </w:tcPr>
          <w:p w14:paraId="33966155" w14:textId="6B36C2DF" w:rsidR="06A1B8C2" w:rsidRDefault="06A1B8C2">
            <w:r w:rsidRPr="06A1B8C2">
              <w:rPr>
                <w:rFonts w:ascii="Calibri" w:eastAsia="Calibri" w:hAnsi="Calibri" w:cs="Calibri"/>
              </w:rPr>
              <w:t>7</w:t>
            </w:r>
          </w:p>
        </w:tc>
        <w:tc>
          <w:tcPr>
            <w:tcW w:w="833" w:type="pct"/>
            <w:tcBorders>
              <w:top w:val="single" w:sz="8" w:space="0" w:color="auto"/>
              <w:left w:val="single" w:sz="8" w:space="0" w:color="auto"/>
              <w:bottom w:val="single" w:sz="8" w:space="0" w:color="auto"/>
              <w:right w:val="single" w:sz="8" w:space="0" w:color="auto"/>
            </w:tcBorders>
          </w:tcPr>
          <w:p w14:paraId="2DC867B2" w14:textId="2D696751" w:rsidR="06A1B8C2" w:rsidRDefault="06A1B8C2">
            <w:r w:rsidRPr="06A1B8C2">
              <w:rPr>
                <w:rFonts w:ascii="Calibri" w:eastAsia="Calibri" w:hAnsi="Calibri" w:cs="Calibri"/>
              </w:rPr>
              <w:t>Decitabine</w:t>
            </w:r>
          </w:p>
        </w:tc>
        <w:tc>
          <w:tcPr>
            <w:tcW w:w="833" w:type="pct"/>
            <w:tcBorders>
              <w:top w:val="single" w:sz="8" w:space="0" w:color="auto"/>
              <w:left w:val="single" w:sz="8" w:space="0" w:color="auto"/>
              <w:bottom w:val="single" w:sz="8" w:space="0" w:color="auto"/>
              <w:right w:val="single" w:sz="8" w:space="0" w:color="auto"/>
            </w:tcBorders>
          </w:tcPr>
          <w:p w14:paraId="300F2506" w14:textId="7DE0E968" w:rsidR="06A1B8C2" w:rsidRDefault="06A1B8C2" w:rsidP="06A1B8C2">
            <w:pPr>
              <w:jc w:val="center"/>
            </w:pPr>
            <w:r w:rsidRPr="06A1B8C2">
              <w:rPr>
                <w:rFonts w:ascii="Calibri" w:eastAsia="Calibri" w:hAnsi="Calibri" w:cs="Calibri"/>
              </w:rPr>
              <w:t>36</w:t>
            </w:r>
          </w:p>
        </w:tc>
        <w:tc>
          <w:tcPr>
            <w:tcW w:w="833" w:type="pct"/>
            <w:tcBorders>
              <w:top w:val="single" w:sz="8" w:space="0" w:color="auto"/>
              <w:left w:val="single" w:sz="8" w:space="0" w:color="auto"/>
              <w:bottom w:val="single" w:sz="8" w:space="0" w:color="auto"/>
              <w:right w:val="single" w:sz="8" w:space="0" w:color="auto"/>
            </w:tcBorders>
          </w:tcPr>
          <w:p w14:paraId="69B99235" w14:textId="4A5D34F3" w:rsidR="06A1B8C2" w:rsidRDefault="06A1B8C2" w:rsidP="06A1B8C2">
            <w:pPr>
              <w:jc w:val="center"/>
            </w:pPr>
            <w:r w:rsidRPr="06A1B8C2">
              <w:rPr>
                <w:rFonts w:ascii="Calibri" w:eastAsia="Calibri" w:hAnsi="Calibri" w:cs="Calibri"/>
              </w:rPr>
              <w:t>0.13</w:t>
            </w:r>
          </w:p>
        </w:tc>
        <w:tc>
          <w:tcPr>
            <w:tcW w:w="833" w:type="pct"/>
            <w:tcBorders>
              <w:top w:val="single" w:sz="8" w:space="0" w:color="auto"/>
              <w:left w:val="single" w:sz="8" w:space="0" w:color="auto"/>
              <w:bottom w:val="single" w:sz="8" w:space="0" w:color="auto"/>
              <w:right w:val="single" w:sz="8" w:space="0" w:color="auto"/>
            </w:tcBorders>
          </w:tcPr>
          <w:p w14:paraId="4E404D6F" w14:textId="6DB9EC8E" w:rsidR="06A1B8C2" w:rsidRDefault="06A1B8C2" w:rsidP="06A1B8C2">
            <w:pPr>
              <w:jc w:val="center"/>
            </w:pPr>
            <w:r w:rsidRPr="06A1B8C2">
              <w:rPr>
                <w:rFonts w:ascii="Calibri" w:eastAsia="Calibri" w:hAnsi="Calibri" w:cs="Calibri"/>
              </w:rPr>
              <w:t>0.07</w:t>
            </w:r>
          </w:p>
        </w:tc>
        <w:tc>
          <w:tcPr>
            <w:tcW w:w="833" w:type="pct"/>
            <w:tcBorders>
              <w:top w:val="single" w:sz="8" w:space="0" w:color="auto"/>
              <w:left w:val="single" w:sz="8" w:space="0" w:color="auto"/>
              <w:bottom w:val="single" w:sz="8" w:space="0" w:color="auto"/>
              <w:right w:val="single" w:sz="8" w:space="0" w:color="auto"/>
            </w:tcBorders>
          </w:tcPr>
          <w:p w14:paraId="64D8197E" w14:textId="73691197" w:rsidR="06A1B8C2" w:rsidRDefault="06A1B8C2" w:rsidP="06A1B8C2">
            <w:pPr>
              <w:jc w:val="center"/>
            </w:pPr>
            <w:r w:rsidRPr="06A1B8C2">
              <w:rPr>
                <w:rFonts w:ascii="Calibri" w:eastAsia="Calibri" w:hAnsi="Calibri" w:cs="Calibri"/>
              </w:rPr>
              <w:t>0.22</w:t>
            </w:r>
          </w:p>
        </w:tc>
      </w:tr>
      <w:tr w:rsidR="06A1B8C2" w14:paraId="62E253FF" w14:textId="77777777" w:rsidTr="00310F97">
        <w:trPr>
          <w:trHeight w:val="285"/>
        </w:trPr>
        <w:tc>
          <w:tcPr>
            <w:tcW w:w="833" w:type="pct"/>
            <w:tcBorders>
              <w:top w:val="single" w:sz="8" w:space="0" w:color="auto"/>
              <w:left w:val="single" w:sz="8" w:space="0" w:color="auto"/>
              <w:bottom w:val="single" w:sz="8" w:space="0" w:color="auto"/>
              <w:right w:val="single" w:sz="8" w:space="0" w:color="auto"/>
            </w:tcBorders>
          </w:tcPr>
          <w:p w14:paraId="166B8445" w14:textId="2857A3C8" w:rsidR="06A1B8C2" w:rsidRDefault="06A1B8C2">
            <w:r w:rsidRPr="06A1B8C2">
              <w:rPr>
                <w:rFonts w:ascii="Calibri" w:eastAsia="Calibri" w:hAnsi="Calibri" w:cs="Calibri"/>
              </w:rPr>
              <w:t>8</w:t>
            </w:r>
          </w:p>
        </w:tc>
        <w:tc>
          <w:tcPr>
            <w:tcW w:w="833" w:type="pct"/>
            <w:tcBorders>
              <w:top w:val="single" w:sz="8" w:space="0" w:color="auto"/>
              <w:left w:val="single" w:sz="8" w:space="0" w:color="auto"/>
              <w:bottom w:val="single" w:sz="8" w:space="0" w:color="auto"/>
              <w:right w:val="single" w:sz="8" w:space="0" w:color="auto"/>
            </w:tcBorders>
          </w:tcPr>
          <w:p w14:paraId="210A9C8A" w14:textId="19226565" w:rsidR="06A1B8C2" w:rsidRDefault="06A1B8C2">
            <w:r w:rsidRPr="06A1B8C2">
              <w:rPr>
                <w:rFonts w:ascii="Calibri" w:eastAsia="Calibri" w:hAnsi="Calibri" w:cs="Calibri"/>
              </w:rPr>
              <w:t>Decitabine</w:t>
            </w:r>
          </w:p>
        </w:tc>
        <w:tc>
          <w:tcPr>
            <w:tcW w:w="833" w:type="pct"/>
            <w:tcBorders>
              <w:top w:val="single" w:sz="8" w:space="0" w:color="auto"/>
              <w:left w:val="single" w:sz="8" w:space="0" w:color="auto"/>
              <w:bottom w:val="single" w:sz="8" w:space="0" w:color="auto"/>
              <w:right w:val="single" w:sz="8" w:space="0" w:color="auto"/>
            </w:tcBorders>
          </w:tcPr>
          <w:p w14:paraId="0D02FF5C" w14:textId="16FDE5DE" w:rsidR="06A1B8C2" w:rsidRDefault="06A1B8C2" w:rsidP="06A1B8C2">
            <w:pPr>
              <w:jc w:val="center"/>
            </w:pPr>
            <w:r w:rsidRPr="06A1B8C2">
              <w:rPr>
                <w:rFonts w:ascii="Calibri" w:eastAsia="Calibri" w:hAnsi="Calibri" w:cs="Calibri"/>
              </w:rPr>
              <w:t>48</w:t>
            </w:r>
          </w:p>
        </w:tc>
        <w:tc>
          <w:tcPr>
            <w:tcW w:w="833" w:type="pct"/>
            <w:tcBorders>
              <w:top w:val="single" w:sz="8" w:space="0" w:color="auto"/>
              <w:left w:val="single" w:sz="8" w:space="0" w:color="auto"/>
              <w:bottom w:val="single" w:sz="8" w:space="0" w:color="auto"/>
              <w:right w:val="single" w:sz="8" w:space="0" w:color="auto"/>
            </w:tcBorders>
          </w:tcPr>
          <w:p w14:paraId="3BB2EFF3" w14:textId="2F73C8F6" w:rsidR="06A1B8C2" w:rsidRDefault="06A1B8C2" w:rsidP="06A1B8C2">
            <w:pPr>
              <w:jc w:val="center"/>
            </w:pPr>
            <w:r w:rsidRPr="06A1B8C2">
              <w:rPr>
                <w:rFonts w:ascii="Calibri" w:eastAsia="Calibri" w:hAnsi="Calibri" w:cs="Calibri"/>
              </w:rPr>
              <w:t>0.08</w:t>
            </w:r>
          </w:p>
        </w:tc>
        <w:tc>
          <w:tcPr>
            <w:tcW w:w="833" w:type="pct"/>
            <w:tcBorders>
              <w:top w:val="single" w:sz="8" w:space="0" w:color="auto"/>
              <w:left w:val="single" w:sz="8" w:space="0" w:color="auto"/>
              <w:bottom w:val="single" w:sz="8" w:space="0" w:color="auto"/>
              <w:right w:val="single" w:sz="8" w:space="0" w:color="auto"/>
            </w:tcBorders>
          </w:tcPr>
          <w:p w14:paraId="123F96A0" w14:textId="0AA4895B" w:rsidR="06A1B8C2" w:rsidRDefault="06A1B8C2" w:rsidP="06A1B8C2">
            <w:pPr>
              <w:jc w:val="center"/>
            </w:pPr>
            <w:r w:rsidRPr="06A1B8C2">
              <w:rPr>
                <w:rFonts w:ascii="Calibri" w:eastAsia="Calibri" w:hAnsi="Calibri" w:cs="Calibri"/>
              </w:rPr>
              <w:t>0.04</w:t>
            </w:r>
          </w:p>
        </w:tc>
        <w:tc>
          <w:tcPr>
            <w:tcW w:w="833" w:type="pct"/>
            <w:tcBorders>
              <w:top w:val="single" w:sz="8" w:space="0" w:color="auto"/>
              <w:left w:val="single" w:sz="8" w:space="0" w:color="auto"/>
              <w:bottom w:val="single" w:sz="8" w:space="0" w:color="auto"/>
              <w:right w:val="single" w:sz="8" w:space="0" w:color="auto"/>
            </w:tcBorders>
          </w:tcPr>
          <w:p w14:paraId="61051168" w14:textId="23E28577" w:rsidR="06A1B8C2" w:rsidRDefault="06A1B8C2" w:rsidP="06A1B8C2">
            <w:pPr>
              <w:jc w:val="center"/>
            </w:pPr>
            <w:r w:rsidRPr="06A1B8C2">
              <w:rPr>
                <w:rFonts w:ascii="Calibri" w:eastAsia="Calibri" w:hAnsi="Calibri" w:cs="Calibri"/>
              </w:rPr>
              <w:t>0.17</w:t>
            </w:r>
          </w:p>
        </w:tc>
      </w:tr>
    </w:tbl>
    <w:p w14:paraId="1CF88491" w14:textId="42AE747B" w:rsidR="00DE3474" w:rsidRPr="00E70DD9" w:rsidRDefault="004B0DD4" w:rsidP="06A1B8C2">
      <w:pPr>
        <w:pStyle w:val="Caption"/>
        <w:keepNext/>
        <w:rPr>
          <w:color w:val="000000" w:themeColor="text1"/>
          <w:sz w:val="22"/>
          <w:szCs w:val="22"/>
        </w:rPr>
      </w:pPr>
      <w:r>
        <w:rPr>
          <w:color w:val="000000" w:themeColor="text1"/>
          <w:sz w:val="22"/>
          <w:szCs w:val="22"/>
        </w:rPr>
        <w:lastRenderedPageBreak/>
        <w:t>e</w:t>
      </w:r>
      <w:r w:rsidR="2F3C1A3A" w:rsidRPr="4D0486C2">
        <w:rPr>
          <w:color w:val="000000" w:themeColor="text1"/>
          <w:sz w:val="22"/>
          <w:szCs w:val="22"/>
        </w:rPr>
        <w:t>Figure</w:t>
      </w:r>
      <w:r w:rsidR="11153EEA" w:rsidRPr="4D0486C2">
        <w:rPr>
          <w:color w:val="000000" w:themeColor="text1"/>
          <w:sz w:val="22"/>
          <w:szCs w:val="22"/>
        </w:rPr>
        <w:t xml:space="preserve"> </w:t>
      </w:r>
      <w:r w:rsidR="59724D63" w:rsidRPr="4D0486C2">
        <w:rPr>
          <w:color w:val="000000" w:themeColor="text1"/>
          <w:sz w:val="22"/>
          <w:szCs w:val="22"/>
        </w:rPr>
        <w:t>9</w:t>
      </w:r>
      <w:r w:rsidR="11153EEA" w:rsidRPr="4D0486C2">
        <w:rPr>
          <w:color w:val="000000" w:themeColor="text1"/>
          <w:sz w:val="22"/>
          <w:szCs w:val="22"/>
        </w:rPr>
        <w:t xml:space="preserve"> Propensity score-adjusted  Overall Survival for AML patients treated with </w:t>
      </w:r>
      <w:r w:rsidR="77A2C6AA" w:rsidRPr="4D0486C2">
        <w:rPr>
          <w:color w:val="000000" w:themeColor="text1"/>
          <w:sz w:val="22"/>
          <w:szCs w:val="22"/>
        </w:rPr>
        <w:t>Azacitidine</w:t>
      </w:r>
      <w:r w:rsidR="11153EEA" w:rsidRPr="4D0486C2">
        <w:rPr>
          <w:color w:val="000000" w:themeColor="text1"/>
          <w:sz w:val="22"/>
          <w:szCs w:val="22"/>
        </w:rPr>
        <w:t xml:space="preserve"> vs. Decitabine</w:t>
      </w:r>
    </w:p>
    <w:p w14:paraId="49F7611A" w14:textId="655FE783" w:rsidR="00F23BB7" w:rsidRPr="00E70DD9" w:rsidRDefault="00662744" w:rsidP="06A1B8C2">
      <w:r>
        <w:rPr>
          <w:noProof/>
        </w:rPr>
        <w:drawing>
          <wp:inline distT="0" distB="0" distL="0" distR="0" wp14:anchorId="31BB10C4" wp14:editId="48EDC9B4">
            <wp:extent cx="8230235" cy="54502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8230235" cy="5450205"/>
                    </a:xfrm>
                    <a:prstGeom prst="rect">
                      <a:avLst/>
                    </a:prstGeom>
                    <a:noFill/>
                  </pic:spPr>
                </pic:pic>
              </a:graphicData>
            </a:graphic>
          </wp:inline>
        </w:drawing>
      </w:r>
    </w:p>
    <w:p w14:paraId="49D95EAD" w14:textId="15AF8795" w:rsidR="00F23BB7" w:rsidRPr="00E70DD9" w:rsidRDefault="004B0DD4" w:rsidP="4D0486C2">
      <w:pPr>
        <w:pStyle w:val="Caption"/>
        <w:keepNext/>
        <w:rPr>
          <w:color w:val="000000" w:themeColor="text1"/>
          <w:sz w:val="22"/>
          <w:szCs w:val="22"/>
        </w:rPr>
      </w:pPr>
      <w:r>
        <w:rPr>
          <w:color w:val="000000" w:themeColor="text1"/>
          <w:sz w:val="22"/>
          <w:szCs w:val="22"/>
        </w:rPr>
        <w:lastRenderedPageBreak/>
        <w:t>e</w:t>
      </w:r>
      <w:r w:rsidR="677A6907" w:rsidRPr="4D0486C2">
        <w:rPr>
          <w:color w:val="000000" w:themeColor="text1"/>
          <w:sz w:val="22"/>
          <w:szCs w:val="22"/>
        </w:rPr>
        <w:t>Table</w:t>
      </w:r>
      <w:r w:rsidR="5056BB05" w:rsidRPr="4D0486C2">
        <w:rPr>
          <w:color w:val="000000" w:themeColor="text1"/>
          <w:sz w:val="22"/>
          <w:szCs w:val="22"/>
        </w:rPr>
        <w:t xml:space="preserve"> </w:t>
      </w:r>
      <w:r w:rsidR="002A56F3">
        <w:rPr>
          <w:color w:val="000000" w:themeColor="text1"/>
          <w:sz w:val="22"/>
          <w:szCs w:val="22"/>
        </w:rPr>
        <w:t>11</w:t>
      </w:r>
      <w:r w:rsidR="03657C2F" w:rsidRPr="4D0486C2">
        <w:rPr>
          <w:color w:val="000000" w:themeColor="text1"/>
          <w:sz w:val="22"/>
          <w:szCs w:val="22"/>
        </w:rPr>
        <w:t xml:space="preserve"> Adjusted Event-free Survival at months 12, 24, 36 and 48  for AML patients treated with </w:t>
      </w:r>
      <w:r w:rsidR="77A2C6AA" w:rsidRPr="4D0486C2">
        <w:rPr>
          <w:color w:val="000000" w:themeColor="text1"/>
          <w:sz w:val="22"/>
          <w:szCs w:val="22"/>
        </w:rPr>
        <w:t>Azacitidine</w:t>
      </w:r>
      <w:r w:rsidR="03657C2F" w:rsidRPr="4D0486C2">
        <w:rPr>
          <w:color w:val="000000" w:themeColor="text1"/>
          <w:sz w:val="22"/>
          <w:szCs w:val="22"/>
        </w:rPr>
        <w:t xml:space="preserve"> vs. Decitabine</w:t>
      </w:r>
    </w:p>
    <w:tbl>
      <w:tblPr>
        <w:tblStyle w:val="TableGrid"/>
        <w:tblW w:w="12960" w:type="dxa"/>
        <w:tblLayout w:type="fixed"/>
        <w:tblLook w:val="04A0" w:firstRow="1" w:lastRow="0" w:firstColumn="1" w:lastColumn="0" w:noHBand="0" w:noVBand="1"/>
      </w:tblPr>
      <w:tblGrid>
        <w:gridCol w:w="2160"/>
        <w:gridCol w:w="2160"/>
        <w:gridCol w:w="2160"/>
        <w:gridCol w:w="2160"/>
        <w:gridCol w:w="2160"/>
        <w:gridCol w:w="2160"/>
      </w:tblGrid>
      <w:tr w:rsidR="00310F97" w14:paraId="4620BE7C" w14:textId="77777777" w:rsidTr="00310F97">
        <w:trPr>
          <w:trHeight w:val="285"/>
        </w:trPr>
        <w:tc>
          <w:tcPr>
            <w:tcW w:w="2160" w:type="dxa"/>
            <w:tcBorders>
              <w:top w:val="single" w:sz="8" w:space="0" w:color="auto"/>
              <w:left w:val="single" w:sz="8" w:space="0" w:color="auto"/>
              <w:bottom w:val="single" w:sz="8" w:space="0" w:color="auto"/>
              <w:right w:val="single" w:sz="8" w:space="0" w:color="auto"/>
            </w:tcBorders>
          </w:tcPr>
          <w:p w14:paraId="22A1C251" w14:textId="0381BD21" w:rsidR="00310F97" w:rsidRDefault="00310F97" w:rsidP="00310F97"/>
        </w:tc>
        <w:tc>
          <w:tcPr>
            <w:tcW w:w="2160" w:type="dxa"/>
            <w:tcBorders>
              <w:top w:val="single" w:sz="8" w:space="0" w:color="auto"/>
              <w:left w:val="single" w:sz="8" w:space="0" w:color="auto"/>
              <w:bottom w:val="single" w:sz="8" w:space="0" w:color="auto"/>
              <w:right w:val="single" w:sz="8" w:space="0" w:color="auto"/>
            </w:tcBorders>
          </w:tcPr>
          <w:p w14:paraId="036788A9" w14:textId="464F52A6" w:rsidR="00310F97" w:rsidRDefault="00310F97" w:rsidP="00310F97">
            <w:r w:rsidRPr="06A1B8C2">
              <w:rPr>
                <w:rFonts w:ascii="Calibri" w:eastAsia="Calibri" w:hAnsi="Calibri" w:cs="Calibri"/>
              </w:rPr>
              <w:t>strata</w:t>
            </w:r>
          </w:p>
        </w:tc>
        <w:tc>
          <w:tcPr>
            <w:tcW w:w="2160" w:type="dxa"/>
            <w:tcBorders>
              <w:top w:val="single" w:sz="8" w:space="0" w:color="auto"/>
              <w:left w:val="single" w:sz="8" w:space="0" w:color="auto"/>
              <w:bottom w:val="single" w:sz="8" w:space="0" w:color="auto"/>
              <w:right w:val="single" w:sz="8" w:space="0" w:color="auto"/>
            </w:tcBorders>
          </w:tcPr>
          <w:p w14:paraId="76689A64" w14:textId="6C738D25" w:rsidR="00310F97" w:rsidRDefault="00310F97" w:rsidP="00310F97">
            <w:pPr>
              <w:jc w:val="center"/>
            </w:pPr>
            <w:r w:rsidRPr="00E70DD9">
              <w:rPr>
                <w:rFonts w:cstheme="minorHAnsi"/>
              </w:rPr>
              <w:t>Time (months)</w:t>
            </w:r>
          </w:p>
        </w:tc>
        <w:tc>
          <w:tcPr>
            <w:tcW w:w="2160" w:type="dxa"/>
            <w:tcBorders>
              <w:top w:val="single" w:sz="8" w:space="0" w:color="auto"/>
              <w:left w:val="single" w:sz="8" w:space="0" w:color="auto"/>
              <w:bottom w:val="single" w:sz="8" w:space="0" w:color="auto"/>
              <w:right w:val="single" w:sz="8" w:space="0" w:color="auto"/>
            </w:tcBorders>
          </w:tcPr>
          <w:p w14:paraId="14AA79AE" w14:textId="59654A8D" w:rsidR="00310F97" w:rsidRDefault="00310F97" w:rsidP="00310F97">
            <w:pPr>
              <w:jc w:val="center"/>
            </w:pPr>
            <w:r>
              <w:rPr>
                <w:rFonts w:cstheme="minorHAnsi"/>
              </w:rPr>
              <w:t>S</w:t>
            </w:r>
            <w:r w:rsidRPr="00E70DD9">
              <w:rPr>
                <w:rFonts w:cstheme="minorHAnsi"/>
              </w:rPr>
              <w:t>urvival</w:t>
            </w:r>
          </w:p>
        </w:tc>
        <w:tc>
          <w:tcPr>
            <w:tcW w:w="2160" w:type="dxa"/>
            <w:tcBorders>
              <w:top w:val="single" w:sz="8" w:space="0" w:color="auto"/>
              <w:left w:val="single" w:sz="8" w:space="0" w:color="auto"/>
              <w:bottom w:val="single" w:sz="8" w:space="0" w:color="auto"/>
              <w:right w:val="single" w:sz="8" w:space="0" w:color="auto"/>
            </w:tcBorders>
          </w:tcPr>
          <w:p w14:paraId="460D8932" w14:textId="30EF13AF" w:rsidR="00310F97" w:rsidRDefault="00310F97" w:rsidP="00310F97">
            <w:pPr>
              <w:jc w:val="center"/>
            </w:pPr>
            <w:r w:rsidRPr="00E70DD9">
              <w:rPr>
                <w:rFonts w:cstheme="minorHAnsi"/>
              </w:rPr>
              <w:t>Lower</w:t>
            </w:r>
            <w:r>
              <w:rPr>
                <w:rFonts w:cstheme="minorHAnsi"/>
              </w:rPr>
              <w:t xml:space="preserve"> CI</w:t>
            </w:r>
          </w:p>
        </w:tc>
        <w:tc>
          <w:tcPr>
            <w:tcW w:w="2160" w:type="dxa"/>
            <w:tcBorders>
              <w:top w:val="single" w:sz="8" w:space="0" w:color="auto"/>
              <w:left w:val="single" w:sz="8" w:space="0" w:color="auto"/>
              <w:bottom w:val="single" w:sz="8" w:space="0" w:color="auto"/>
              <w:right w:val="single" w:sz="8" w:space="0" w:color="auto"/>
            </w:tcBorders>
          </w:tcPr>
          <w:p w14:paraId="63CA8CEA" w14:textId="5B2610FC" w:rsidR="00310F97" w:rsidRDefault="00310F97" w:rsidP="00310F97">
            <w:pPr>
              <w:jc w:val="center"/>
            </w:pPr>
            <w:r w:rsidRPr="00E70DD9">
              <w:rPr>
                <w:rFonts w:cstheme="minorHAnsi"/>
              </w:rPr>
              <w:t>Upper</w:t>
            </w:r>
            <w:r>
              <w:rPr>
                <w:rFonts w:cstheme="minorHAnsi"/>
              </w:rPr>
              <w:t xml:space="preserve"> CI</w:t>
            </w:r>
          </w:p>
        </w:tc>
      </w:tr>
      <w:tr w:rsidR="06A1B8C2" w14:paraId="327CD415" w14:textId="77777777" w:rsidTr="00310F97">
        <w:trPr>
          <w:trHeight w:val="285"/>
        </w:trPr>
        <w:tc>
          <w:tcPr>
            <w:tcW w:w="2160" w:type="dxa"/>
            <w:tcBorders>
              <w:top w:val="single" w:sz="8" w:space="0" w:color="auto"/>
              <w:left w:val="single" w:sz="8" w:space="0" w:color="auto"/>
              <w:bottom w:val="single" w:sz="8" w:space="0" w:color="auto"/>
              <w:right w:val="single" w:sz="8" w:space="0" w:color="auto"/>
            </w:tcBorders>
          </w:tcPr>
          <w:p w14:paraId="292EDDDB" w14:textId="0EE7B0F8" w:rsidR="06A1B8C2" w:rsidRDefault="06A1B8C2">
            <w:r w:rsidRPr="06A1B8C2">
              <w:rPr>
                <w:rFonts w:ascii="Calibri" w:eastAsia="Calibri" w:hAnsi="Calibri" w:cs="Calibri"/>
              </w:rPr>
              <w:t>1</w:t>
            </w:r>
          </w:p>
        </w:tc>
        <w:tc>
          <w:tcPr>
            <w:tcW w:w="2160" w:type="dxa"/>
            <w:tcBorders>
              <w:top w:val="single" w:sz="8" w:space="0" w:color="auto"/>
              <w:left w:val="single" w:sz="8" w:space="0" w:color="auto"/>
              <w:bottom w:val="single" w:sz="8" w:space="0" w:color="auto"/>
              <w:right w:val="single" w:sz="8" w:space="0" w:color="auto"/>
            </w:tcBorders>
          </w:tcPr>
          <w:p w14:paraId="307E6B4F" w14:textId="7B673BFD" w:rsidR="06A1B8C2" w:rsidRDefault="06A1B8C2">
            <w:r w:rsidRPr="06A1B8C2">
              <w:rPr>
                <w:rFonts w:ascii="Calibri" w:eastAsia="Calibri" w:hAnsi="Calibri" w:cs="Calibri"/>
              </w:rPr>
              <w:t>Azactidine</w:t>
            </w:r>
          </w:p>
        </w:tc>
        <w:tc>
          <w:tcPr>
            <w:tcW w:w="2160" w:type="dxa"/>
            <w:tcBorders>
              <w:top w:val="single" w:sz="8" w:space="0" w:color="auto"/>
              <w:left w:val="single" w:sz="8" w:space="0" w:color="auto"/>
              <w:bottom w:val="single" w:sz="8" w:space="0" w:color="auto"/>
              <w:right w:val="single" w:sz="8" w:space="0" w:color="auto"/>
            </w:tcBorders>
            <w:vAlign w:val="bottom"/>
          </w:tcPr>
          <w:p w14:paraId="38067704" w14:textId="68D32893" w:rsidR="06A1B8C2" w:rsidRDefault="06A1B8C2" w:rsidP="06A1B8C2">
            <w:pPr>
              <w:jc w:val="center"/>
            </w:pPr>
            <w:r w:rsidRPr="06A1B8C2">
              <w:rPr>
                <w:rFonts w:ascii="Calibri" w:eastAsia="Calibri" w:hAnsi="Calibri" w:cs="Calibri"/>
                <w:color w:val="000000" w:themeColor="text1"/>
              </w:rPr>
              <w:t>12</w:t>
            </w:r>
          </w:p>
        </w:tc>
        <w:tc>
          <w:tcPr>
            <w:tcW w:w="2160" w:type="dxa"/>
            <w:tcBorders>
              <w:top w:val="single" w:sz="8" w:space="0" w:color="auto"/>
              <w:left w:val="single" w:sz="8" w:space="0" w:color="auto"/>
              <w:bottom w:val="single" w:sz="8" w:space="0" w:color="auto"/>
              <w:right w:val="single" w:sz="8" w:space="0" w:color="auto"/>
            </w:tcBorders>
          </w:tcPr>
          <w:p w14:paraId="5398E9F2" w14:textId="074E506A" w:rsidR="06A1B8C2" w:rsidRDefault="06A1B8C2" w:rsidP="06A1B8C2">
            <w:pPr>
              <w:jc w:val="center"/>
            </w:pPr>
            <w:r w:rsidRPr="06A1B8C2">
              <w:rPr>
                <w:rFonts w:ascii="Calibri" w:eastAsia="Calibri" w:hAnsi="Calibri" w:cs="Calibri"/>
              </w:rPr>
              <w:t>0.192</w:t>
            </w:r>
          </w:p>
        </w:tc>
        <w:tc>
          <w:tcPr>
            <w:tcW w:w="2160" w:type="dxa"/>
            <w:tcBorders>
              <w:top w:val="single" w:sz="8" w:space="0" w:color="auto"/>
              <w:left w:val="single" w:sz="8" w:space="0" w:color="auto"/>
              <w:bottom w:val="single" w:sz="8" w:space="0" w:color="auto"/>
              <w:right w:val="single" w:sz="8" w:space="0" w:color="auto"/>
            </w:tcBorders>
          </w:tcPr>
          <w:p w14:paraId="266DE4E2" w14:textId="4715B529" w:rsidR="06A1B8C2" w:rsidRDefault="06A1B8C2" w:rsidP="06A1B8C2">
            <w:pPr>
              <w:jc w:val="center"/>
            </w:pPr>
            <w:r w:rsidRPr="06A1B8C2">
              <w:rPr>
                <w:rFonts w:ascii="Calibri" w:eastAsia="Calibri" w:hAnsi="Calibri" w:cs="Calibri"/>
              </w:rPr>
              <w:t>0.083</w:t>
            </w:r>
          </w:p>
        </w:tc>
        <w:tc>
          <w:tcPr>
            <w:tcW w:w="2160" w:type="dxa"/>
            <w:tcBorders>
              <w:top w:val="single" w:sz="8" w:space="0" w:color="auto"/>
              <w:left w:val="single" w:sz="8" w:space="0" w:color="auto"/>
              <w:bottom w:val="single" w:sz="8" w:space="0" w:color="auto"/>
              <w:right w:val="single" w:sz="8" w:space="0" w:color="auto"/>
            </w:tcBorders>
          </w:tcPr>
          <w:p w14:paraId="418BC6A1" w14:textId="11401C70" w:rsidR="06A1B8C2" w:rsidRDefault="06A1B8C2" w:rsidP="06A1B8C2">
            <w:pPr>
              <w:jc w:val="center"/>
            </w:pPr>
            <w:r w:rsidRPr="06A1B8C2">
              <w:rPr>
                <w:rFonts w:ascii="Calibri" w:eastAsia="Calibri" w:hAnsi="Calibri" w:cs="Calibri"/>
              </w:rPr>
              <w:t>0.445</w:t>
            </w:r>
          </w:p>
        </w:tc>
      </w:tr>
      <w:tr w:rsidR="06A1B8C2" w14:paraId="3EF0E195" w14:textId="77777777" w:rsidTr="00310F97">
        <w:trPr>
          <w:trHeight w:val="285"/>
        </w:trPr>
        <w:tc>
          <w:tcPr>
            <w:tcW w:w="2160" w:type="dxa"/>
            <w:tcBorders>
              <w:top w:val="single" w:sz="8" w:space="0" w:color="auto"/>
              <w:left w:val="single" w:sz="8" w:space="0" w:color="auto"/>
              <w:bottom w:val="single" w:sz="8" w:space="0" w:color="auto"/>
              <w:right w:val="single" w:sz="8" w:space="0" w:color="auto"/>
            </w:tcBorders>
          </w:tcPr>
          <w:p w14:paraId="78ADCCFB" w14:textId="149EFBFA" w:rsidR="06A1B8C2" w:rsidRDefault="06A1B8C2">
            <w:r w:rsidRPr="06A1B8C2">
              <w:rPr>
                <w:rFonts w:ascii="Calibri" w:eastAsia="Calibri" w:hAnsi="Calibri" w:cs="Calibri"/>
              </w:rPr>
              <w:t>2</w:t>
            </w:r>
          </w:p>
        </w:tc>
        <w:tc>
          <w:tcPr>
            <w:tcW w:w="2160" w:type="dxa"/>
            <w:tcBorders>
              <w:top w:val="single" w:sz="8" w:space="0" w:color="auto"/>
              <w:left w:val="single" w:sz="8" w:space="0" w:color="auto"/>
              <w:bottom w:val="single" w:sz="8" w:space="0" w:color="auto"/>
              <w:right w:val="single" w:sz="8" w:space="0" w:color="auto"/>
            </w:tcBorders>
          </w:tcPr>
          <w:p w14:paraId="6E67DB47" w14:textId="4B5404FD" w:rsidR="06A1B8C2" w:rsidRDefault="06A1B8C2">
            <w:r w:rsidRPr="06A1B8C2">
              <w:rPr>
                <w:rFonts w:ascii="Calibri" w:eastAsia="Calibri" w:hAnsi="Calibri" w:cs="Calibri"/>
              </w:rPr>
              <w:t>Azactidine</w:t>
            </w:r>
          </w:p>
        </w:tc>
        <w:tc>
          <w:tcPr>
            <w:tcW w:w="2160" w:type="dxa"/>
            <w:tcBorders>
              <w:top w:val="single" w:sz="8" w:space="0" w:color="auto"/>
              <w:left w:val="single" w:sz="8" w:space="0" w:color="auto"/>
              <w:bottom w:val="single" w:sz="8" w:space="0" w:color="auto"/>
              <w:right w:val="single" w:sz="8" w:space="0" w:color="auto"/>
            </w:tcBorders>
            <w:vAlign w:val="bottom"/>
          </w:tcPr>
          <w:p w14:paraId="1F71CEDC" w14:textId="7C8DDC36" w:rsidR="06A1B8C2" w:rsidRDefault="06A1B8C2" w:rsidP="06A1B8C2">
            <w:pPr>
              <w:jc w:val="center"/>
            </w:pPr>
            <w:r w:rsidRPr="06A1B8C2">
              <w:rPr>
                <w:rFonts w:ascii="Calibri" w:eastAsia="Calibri" w:hAnsi="Calibri" w:cs="Calibri"/>
                <w:color w:val="000000" w:themeColor="text1"/>
              </w:rPr>
              <w:t>24</w:t>
            </w:r>
          </w:p>
        </w:tc>
        <w:tc>
          <w:tcPr>
            <w:tcW w:w="2160" w:type="dxa"/>
            <w:tcBorders>
              <w:top w:val="single" w:sz="8" w:space="0" w:color="auto"/>
              <w:left w:val="single" w:sz="8" w:space="0" w:color="auto"/>
              <w:bottom w:val="single" w:sz="8" w:space="0" w:color="auto"/>
              <w:right w:val="single" w:sz="8" w:space="0" w:color="auto"/>
            </w:tcBorders>
          </w:tcPr>
          <w:p w14:paraId="7A10C1F1" w14:textId="01348FC5" w:rsidR="06A1B8C2" w:rsidRDefault="06A1B8C2" w:rsidP="06A1B8C2">
            <w:pPr>
              <w:jc w:val="center"/>
            </w:pPr>
            <w:r w:rsidRPr="06A1B8C2">
              <w:rPr>
                <w:rFonts w:ascii="Calibri" w:eastAsia="Calibri" w:hAnsi="Calibri" w:cs="Calibri"/>
              </w:rPr>
              <w:t>0.103</w:t>
            </w:r>
          </w:p>
        </w:tc>
        <w:tc>
          <w:tcPr>
            <w:tcW w:w="2160" w:type="dxa"/>
            <w:tcBorders>
              <w:top w:val="single" w:sz="8" w:space="0" w:color="auto"/>
              <w:left w:val="single" w:sz="8" w:space="0" w:color="auto"/>
              <w:bottom w:val="single" w:sz="8" w:space="0" w:color="auto"/>
              <w:right w:val="single" w:sz="8" w:space="0" w:color="auto"/>
            </w:tcBorders>
          </w:tcPr>
          <w:p w14:paraId="63A6E982" w14:textId="6088050E" w:rsidR="06A1B8C2" w:rsidRDefault="06A1B8C2" w:rsidP="06A1B8C2">
            <w:pPr>
              <w:jc w:val="center"/>
            </w:pPr>
            <w:r w:rsidRPr="06A1B8C2">
              <w:rPr>
                <w:rFonts w:ascii="Calibri" w:eastAsia="Calibri" w:hAnsi="Calibri" w:cs="Calibri"/>
              </w:rPr>
              <w:t>0.030</w:t>
            </w:r>
          </w:p>
        </w:tc>
        <w:tc>
          <w:tcPr>
            <w:tcW w:w="2160" w:type="dxa"/>
            <w:tcBorders>
              <w:top w:val="single" w:sz="8" w:space="0" w:color="auto"/>
              <w:left w:val="single" w:sz="8" w:space="0" w:color="auto"/>
              <w:bottom w:val="single" w:sz="8" w:space="0" w:color="auto"/>
              <w:right w:val="single" w:sz="8" w:space="0" w:color="auto"/>
            </w:tcBorders>
          </w:tcPr>
          <w:p w14:paraId="1E50B6ED" w14:textId="11ACFD63" w:rsidR="06A1B8C2" w:rsidRDefault="06A1B8C2" w:rsidP="06A1B8C2">
            <w:pPr>
              <w:jc w:val="center"/>
            </w:pPr>
            <w:r w:rsidRPr="06A1B8C2">
              <w:rPr>
                <w:rFonts w:ascii="Calibri" w:eastAsia="Calibri" w:hAnsi="Calibri" w:cs="Calibri"/>
              </w:rPr>
              <w:t>0.348</w:t>
            </w:r>
          </w:p>
        </w:tc>
      </w:tr>
      <w:tr w:rsidR="06A1B8C2" w14:paraId="3E999064" w14:textId="77777777" w:rsidTr="00310F97">
        <w:trPr>
          <w:trHeight w:val="285"/>
        </w:trPr>
        <w:tc>
          <w:tcPr>
            <w:tcW w:w="2160" w:type="dxa"/>
            <w:tcBorders>
              <w:top w:val="single" w:sz="8" w:space="0" w:color="auto"/>
              <w:left w:val="single" w:sz="8" w:space="0" w:color="auto"/>
              <w:bottom w:val="single" w:sz="8" w:space="0" w:color="auto"/>
              <w:right w:val="single" w:sz="8" w:space="0" w:color="auto"/>
            </w:tcBorders>
          </w:tcPr>
          <w:p w14:paraId="257414F6" w14:textId="5AC41C76" w:rsidR="06A1B8C2" w:rsidRDefault="06A1B8C2">
            <w:r w:rsidRPr="06A1B8C2">
              <w:rPr>
                <w:rFonts w:ascii="Calibri" w:eastAsia="Calibri" w:hAnsi="Calibri" w:cs="Calibri"/>
              </w:rPr>
              <w:t>3</w:t>
            </w:r>
          </w:p>
        </w:tc>
        <w:tc>
          <w:tcPr>
            <w:tcW w:w="2160" w:type="dxa"/>
            <w:tcBorders>
              <w:top w:val="single" w:sz="8" w:space="0" w:color="auto"/>
              <w:left w:val="single" w:sz="8" w:space="0" w:color="auto"/>
              <w:bottom w:val="single" w:sz="8" w:space="0" w:color="auto"/>
              <w:right w:val="single" w:sz="8" w:space="0" w:color="auto"/>
            </w:tcBorders>
          </w:tcPr>
          <w:p w14:paraId="278C97AD" w14:textId="3387D64F" w:rsidR="06A1B8C2" w:rsidRDefault="06A1B8C2">
            <w:r w:rsidRPr="06A1B8C2">
              <w:rPr>
                <w:rFonts w:ascii="Calibri" w:eastAsia="Calibri" w:hAnsi="Calibri" w:cs="Calibri"/>
              </w:rPr>
              <w:t>Azactidine</w:t>
            </w:r>
          </w:p>
        </w:tc>
        <w:tc>
          <w:tcPr>
            <w:tcW w:w="2160" w:type="dxa"/>
            <w:tcBorders>
              <w:top w:val="single" w:sz="8" w:space="0" w:color="auto"/>
              <w:left w:val="single" w:sz="8" w:space="0" w:color="auto"/>
              <w:bottom w:val="single" w:sz="8" w:space="0" w:color="auto"/>
              <w:right w:val="single" w:sz="8" w:space="0" w:color="auto"/>
            </w:tcBorders>
            <w:vAlign w:val="bottom"/>
          </w:tcPr>
          <w:p w14:paraId="0F013DE4" w14:textId="74C8F170" w:rsidR="06A1B8C2" w:rsidRDefault="06A1B8C2" w:rsidP="06A1B8C2">
            <w:pPr>
              <w:jc w:val="center"/>
            </w:pPr>
            <w:r w:rsidRPr="06A1B8C2">
              <w:rPr>
                <w:rFonts w:ascii="Calibri" w:eastAsia="Calibri" w:hAnsi="Calibri" w:cs="Calibri"/>
                <w:color w:val="000000" w:themeColor="text1"/>
              </w:rPr>
              <w:t>36</w:t>
            </w:r>
          </w:p>
        </w:tc>
        <w:tc>
          <w:tcPr>
            <w:tcW w:w="2160" w:type="dxa"/>
            <w:tcBorders>
              <w:top w:val="single" w:sz="8" w:space="0" w:color="auto"/>
              <w:left w:val="single" w:sz="8" w:space="0" w:color="auto"/>
              <w:bottom w:val="single" w:sz="8" w:space="0" w:color="auto"/>
              <w:right w:val="single" w:sz="8" w:space="0" w:color="auto"/>
            </w:tcBorders>
          </w:tcPr>
          <w:p w14:paraId="2431A24B" w14:textId="0C4A74B3" w:rsidR="06A1B8C2" w:rsidRDefault="06A1B8C2" w:rsidP="06A1B8C2">
            <w:pPr>
              <w:jc w:val="center"/>
            </w:pPr>
            <w:r w:rsidRPr="06A1B8C2">
              <w:rPr>
                <w:rFonts w:ascii="Calibri" w:eastAsia="Calibri" w:hAnsi="Calibri" w:cs="Calibri"/>
              </w:rPr>
              <w:t>0.016</w:t>
            </w:r>
          </w:p>
        </w:tc>
        <w:tc>
          <w:tcPr>
            <w:tcW w:w="2160" w:type="dxa"/>
            <w:tcBorders>
              <w:top w:val="single" w:sz="8" w:space="0" w:color="auto"/>
              <w:left w:val="single" w:sz="8" w:space="0" w:color="auto"/>
              <w:bottom w:val="single" w:sz="8" w:space="0" w:color="auto"/>
              <w:right w:val="single" w:sz="8" w:space="0" w:color="auto"/>
            </w:tcBorders>
          </w:tcPr>
          <w:p w14:paraId="4E6787D8" w14:textId="5B9A023F" w:rsidR="06A1B8C2" w:rsidRDefault="06A1B8C2" w:rsidP="06A1B8C2">
            <w:pPr>
              <w:jc w:val="center"/>
            </w:pPr>
            <w:r w:rsidRPr="06A1B8C2">
              <w:rPr>
                <w:rFonts w:ascii="Calibri" w:eastAsia="Calibri" w:hAnsi="Calibri" w:cs="Calibri"/>
              </w:rPr>
              <w:t>0.002</w:t>
            </w:r>
          </w:p>
        </w:tc>
        <w:tc>
          <w:tcPr>
            <w:tcW w:w="2160" w:type="dxa"/>
            <w:tcBorders>
              <w:top w:val="single" w:sz="8" w:space="0" w:color="auto"/>
              <w:left w:val="single" w:sz="8" w:space="0" w:color="auto"/>
              <w:bottom w:val="single" w:sz="8" w:space="0" w:color="auto"/>
              <w:right w:val="single" w:sz="8" w:space="0" w:color="auto"/>
            </w:tcBorders>
          </w:tcPr>
          <w:p w14:paraId="0CAAA7FC" w14:textId="77B45536" w:rsidR="06A1B8C2" w:rsidRDefault="06A1B8C2" w:rsidP="06A1B8C2">
            <w:pPr>
              <w:jc w:val="center"/>
            </w:pPr>
            <w:r w:rsidRPr="06A1B8C2">
              <w:rPr>
                <w:rFonts w:ascii="Calibri" w:eastAsia="Calibri" w:hAnsi="Calibri" w:cs="Calibri"/>
              </w:rPr>
              <w:t>0.113</w:t>
            </w:r>
          </w:p>
        </w:tc>
      </w:tr>
      <w:tr w:rsidR="06A1B8C2" w14:paraId="171B832F" w14:textId="77777777" w:rsidTr="00310F97">
        <w:trPr>
          <w:trHeight w:val="285"/>
        </w:trPr>
        <w:tc>
          <w:tcPr>
            <w:tcW w:w="2160" w:type="dxa"/>
            <w:tcBorders>
              <w:top w:val="single" w:sz="8" w:space="0" w:color="auto"/>
              <w:left w:val="single" w:sz="8" w:space="0" w:color="auto"/>
              <w:bottom w:val="single" w:sz="8" w:space="0" w:color="auto"/>
              <w:right w:val="single" w:sz="8" w:space="0" w:color="auto"/>
            </w:tcBorders>
          </w:tcPr>
          <w:p w14:paraId="06B5B5C9" w14:textId="13FDE378" w:rsidR="06A1B8C2" w:rsidRDefault="06A1B8C2">
            <w:r w:rsidRPr="06A1B8C2">
              <w:rPr>
                <w:rFonts w:ascii="Calibri" w:eastAsia="Calibri" w:hAnsi="Calibri" w:cs="Calibri"/>
              </w:rPr>
              <w:t>4</w:t>
            </w:r>
          </w:p>
        </w:tc>
        <w:tc>
          <w:tcPr>
            <w:tcW w:w="2160" w:type="dxa"/>
            <w:tcBorders>
              <w:top w:val="single" w:sz="8" w:space="0" w:color="auto"/>
              <w:left w:val="single" w:sz="8" w:space="0" w:color="auto"/>
              <w:bottom w:val="single" w:sz="8" w:space="0" w:color="auto"/>
              <w:right w:val="single" w:sz="8" w:space="0" w:color="auto"/>
            </w:tcBorders>
          </w:tcPr>
          <w:p w14:paraId="231F7349" w14:textId="31C18BA3" w:rsidR="06A1B8C2" w:rsidRDefault="06A1B8C2">
            <w:r w:rsidRPr="06A1B8C2">
              <w:rPr>
                <w:rFonts w:ascii="Calibri" w:eastAsia="Calibri" w:hAnsi="Calibri" w:cs="Calibri"/>
              </w:rPr>
              <w:t>Azactidine</w:t>
            </w:r>
          </w:p>
        </w:tc>
        <w:tc>
          <w:tcPr>
            <w:tcW w:w="2160" w:type="dxa"/>
            <w:tcBorders>
              <w:top w:val="single" w:sz="8" w:space="0" w:color="auto"/>
              <w:left w:val="single" w:sz="8" w:space="0" w:color="auto"/>
              <w:bottom w:val="single" w:sz="8" w:space="0" w:color="auto"/>
              <w:right w:val="single" w:sz="8" w:space="0" w:color="auto"/>
            </w:tcBorders>
            <w:vAlign w:val="bottom"/>
          </w:tcPr>
          <w:p w14:paraId="30FB1B4F" w14:textId="15738E37" w:rsidR="06A1B8C2" w:rsidRDefault="06A1B8C2" w:rsidP="06A1B8C2">
            <w:pPr>
              <w:jc w:val="center"/>
            </w:pPr>
            <w:r w:rsidRPr="06A1B8C2">
              <w:rPr>
                <w:rFonts w:ascii="Calibri" w:eastAsia="Calibri" w:hAnsi="Calibri" w:cs="Calibri"/>
                <w:color w:val="000000" w:themeColor="text1"/>
              </w:rPr>
              <w:t>48</w:t>
            </w:r>
          </w:p>
        </w:tc>
        <w:tc>
          <w:tcPr>
            <w:tcW w:w="2160" w:type="dxa"/>
            <w:tcBorders>
              <w:top w:val="single" w:sz="8" w:space="0" w:color="auto"/>
              <w:left w:val="single" w:sz="8" w:space="0" w:color="auto"/>
              <w:bottom w:val="single" w:sz="8" w:space="0" w:color="auto"/>
              <w:right w:val="single" w:sz="8" w:space="0" w:color="auto"/>
            </w:tcBorders>
          </w:tcPr>
          <w:p w14:paraId="2235DF03" w14:textId="70B6A8CF" w:rsidR="06A1B8C2" w:rsidRDefault="06A1B8C2" w:rsidP="06A1B8C2">
            <w:pPr>
              <w:jc w:val="center"/>
            </w:pPr>
            <w:r w:rsidRPr="06A1B8C2">
              <w:rPr>
                <w:rFonts w:ascii="Calibri" w:eastAsia="Calibri" w:hAnsi="Calibri" w:cs="Calibri"/>
              </w:rPr>
              <w:t>0.016</w:t>
            </w:r>
          </w:p>
        </w:tc>
        <w:tc>
          <w:tcPr>
            <w:tcW w:w="2160" w:type="dxa"/>
            <w:tcBorders>
              <w:top w:val="single" w:sz="8" w:space="0" w:color="auto"/>
              <w:left w:val="single" w:sz="8" w:space="0" w:color="auto"/>
              <w:bottom w:val="single" w:sz="8" w:space="0" w:color="auto"/>
              <w:right w:val="single" w:sz="8" w:space="0" w:color="auto"/>
            </w:tcBorders>
          </w:tcPr>
          <w:p w14:paraId="79738E1C" w14:textId="3E5ECF0F" w:rsidR="06A1B8C2" w:rsidRDefault="06A1B8C2" w:rsidP="06A1B8C2">
            <w:pPr>
              <w:jc w:val="center"/>
            </w:pPr>
            <w:r w:rsidRPr="06A1B8C2">
              <w:rPr>
                <w:rFonts w:ascii="Calibri" w:eastAsia="Calibri" w:hAnsi="Calibri" w:cs="Calibri"/>
              </w:rPr>
              <w:t>0.002</w:t>
            </w:r>
          </w:p>
        </w:tc>
        <w:tc>
          <w:tcPr>
            <w:tcW w:w="2160" w:type="dxa"/>
            <w:tcBorders>
              <w:top w:val="single" w:sz="8" w:space="0" w:color="auto"/>
              <w:left w:val="single" w:sz="8" w:space="0" w:color="auto"/>
              <w:bottom w:val="single" w:sz="8" w:space="0" w:color="auto"/>
              <w:right w:val="single" w:sz="8" w:space="0" w:color="auto"/>
            </w:tcBorders>
          </w:tcPr>
          <w:p w14:paraId="06A0BB64" w14:textId="4F359852" w:rsidR="06A1B8C2" w:rsidRDefault="06A1B8C2" w:rsidP="06A1B8C2">
            <w:pPr>
              <w:jc w:val="center"/>
            </w:pPr>
            <w:r w:rsidRPr="06A1B8C2">
              <w:rPr>
                <w:rFonts w:ascii="Calibri" w:eastAsia="Calibri" w:hAnsi="Calibri" w:cs="Calibri"/>
              </w:rPr>
              <w:t>0.113</w:t>
            </w:r>
          </w:p>
        </w:tc>
      </w:tr>
      <w:tr w:rsidR="06A1B8C2" w14:paraId="39554522" w14:textId="77777777" w:rsidTr="00310F97">
        <w:trPr>
          <w:trHeight w:val="285"/>
        </w:trPr>
        <w:tc>
          <w:tcPr>
            <w:tcW w:w="2160" w:type="dxa"/>
            <w:tcBorders>
              <w:top w:val="single" w:sz="8" w:space="0" w:color="auto"/>
              <w:left w:val="single" w:sz="8" w:space="0" w:color="auto"/>
              <w:bottom w:val="single" w:sz="8" w:space="0" w:color="auto"/>
              <w:right w:val="single" w:sz="8" w:space="0" w:color="auto"/>
            </w:tcBorders>
          </w:tcPr>
          <w:p w14:paraId="76162875" w14:textId="6940CD7D" w:rsidR="06A1B8C2" w:rsidRDefault="06A1B8C2">
            <w:r w:rsidRPr="06A1B8C2">
              <w:rPr>
                <w:rFonts w:ascii="Calibri" w:eastAsia="Calibri" w:hAnsi="Calibri" w:cs="Calibri"/>
              </w:rPr>
              <w:t>5</w:t>
            </w:r>
          </w:p>
        </w:tc>
        <w:tc>
          <w:tcPr>
            <w:tcW w:w="2160" w:type="dxa"/>
            <w:tcBorders>
              <w:top w:val="single" w:sz="8" w:space="0" w:color="auto"/>
              <w:left w:val="single" w:sz="8" w:space="0" w:color="auto"/>
              <w:bottom w:val="single" w:sz="8" w:space="0" w:color="auto"/>
              <w:right w:val="single" w:sz="8" w:space="0" w:color="auto"/>
            </w:tcBorders>
          </w:tcPr>
          <w:p w14:paraId="0867DAE4" w14:textId="483F67E8" w:rsidR="06A1B8C2" w:rsidRDefault="06A1B8C2">
            <w:r w:rsidRPr="06A1B8C2">
              <w:rPr>
                <w:rFonts w:ascii="Calibri" w:eastAsia="Calibri" w:hAnsi="Calibri" w:cs="Calibri"/>
              </w:rPr>
              <w:t>Decitabine</w:t>
            </w:r>
          </w:p>
        </w:tc>
        <w:tc>
          <w:tcPr>
            <w:tcW w:w="2160" w:type="dxa"/>
            <w:tcBorders>
              <w:top w:val="single" w:sz="8" w:space="0" w:color="auto"/>
              <w:left w:val="single" w:sz="8" w:space="0" w:color="auto"/>
              <w:bottom w:val="single" w:sz="8" w:space="0" w:color="auto"/>
              <w:right w:val="single" w:sz="8" w:space="0" w:color="auto"/>
            </w:tcBorders>
            <w:vAlign w:val="bottom"/>
          </w:tcPr>
          <w:p w14:paraId="08FBF298" w14:textId="7382A16F" w:rsidR="06A1B8C2" w:rsidRDefault="06A1B8C2" w:rsidP="06A1B8C2">
            <w:pPr>
              <w:jc w:val="center"/>
            </w:pPr>
            <w:r w:rsidRPr="06A1B8C2">
              <w:rPr>
                <w:rFonts w:ascii="Calibri" w:eastAsia="Calibri" w:hAnsi="Calibri" w:cs="Calibri"/>
                <w:color w:val="000000" w:themeColor="text1"/>
              </w:rPr>
              <w:t>12</w:t>
            </w:r>
          </w:p>
        </w:tc>
        <w:tc>
          <w:tcPr>
            <w:tcW w:w="2160" w:type="dxa"/>
            <w:tcBorders>
              <w:top w:val="single" w:sz="8" w:space="0" w:color="auto"/>
              <w:left w:val="single" w:sz="8" w:space="0" w:color="auto"/>
              <w:bottom w:val="single" w:sz="8" w:space="0" w:color="auto"/>
              <w:right w:val="single" w:sz="8" w:space="0" w:color="auto"/>
            </w:tcBorders>
          </w:tcPr>
          <w:p w14:paraId="282E25A3" w14:textId="186E31B3" w:rsidR="06A1B8C2" w:rsidRDefault="06A1B8C2" w:rsidP="06A1B8C2">
            <w:pPr>
              <w:jc w:val="center"/>
            </w:pPr>
            <w:r w:rsidRPr="06A1B8C2">
              <w:rPr>
                <w:rFonts w:ascii="Calibri" w:eastAsia="Calibri" w:hAnsi="Calibri" w:cs="Calibri"/>
              </w:rPr>
              <w:t>0.259</w:t>
            </w:r>
          </w:p>
        </w:tc>
        <w:tc>
          <w:tcPr>
            <w:tcW w:w="2160" w:type="dxa"/>
            <w:tcBorders>
              <w:top w:val="single" w:sz="8" w:space="0" w:color="auto"/>
              <w:left w:val="single" w:sz="8" w:space="0" w:color="auto"/>
              <w:bottom w:val="single" w:sz="8" w:space="0" w:color="auto"/>
              <w:right w:val="single" w:sz="8" w:space="0" w:color="auto"/>
            </w:tcBorders>
          </w:tcPr>
          <w:p w14:paraId="49068A52" w14:textId="75111793" w:rsidR="06A1B8C2" w:rsidRDefault="06A1B8C2" w:rsidP="06A1B8C2">
            <w:pPr>
              <w:jc w:val="center"/>
            </w:pPr>
            <w:r w:rsidRPr="06A1B8C2">
              <w:rPr>
                <w:rFonts w:ascii="Calibri" w:eastAsia="Calibri" w:hAnsi="Calibri" w:cs="Calibri"/>
              </w:rPr>
              <w:t>0.176</w:t>
            </w:r>
          </w:p>
        </w:tc>
        <w:tc>
          <w:tcPr>
            <w:tcW w:w="2160" w:type="dxa"/>
            <w:tcBorders>
              <w:top w:val="single" w:sz="8" w:space="0" w:color="auto"/>
              <w:left w:val="single" w:sz="8" w:space="0" w:color="auto"/>
              <w:bottom w:val="single" w:sz="8" w:space="0" w:color="auto"/>
              <w:right w:val="single" w:sz="8" w:space="0" w:color="auto"/>
            </w:tcBorders>
          </w:tcPr>
          <w:p w14:paraId="683B99ED" w14:textId="18E82767" w:rsidR="06A1B8C2" w:rsidRDefault="06A1B8C2" w:rsidP="06A1B8C2">
            <w:pPr>
              <w:jc w:val="center"/>
            </w:pPr>
            <w:r w:rsidRPr="06A1B8C2">
              <w:rPr>
                <w:rFonts w:ascii="Calibri" w:eastAsia="Calibri" w:hAnsi="Calibri" w:cs="Calibri"/>
              </w:rPr>
              <w:t>0.381</w:t>
            </w:r>
          </w:p>
        </w:tc>
      </w:tr>
      <w:tr w:rsidR="06A1B8C2" w14:paraId="042D0055" w14:textId="77777777" w:rsidTr="00310F97">
        <w:trPr>
          <w:trHeight w:val="285"/>
        </w:trPr>
        <w:tc>
          <w:tcPr>
            <w:tcW w:w="2160" w:type="dxa"/>
            <w:tcBorders>
              <w:top w:val="single" w:sz="8" w:space="0" w:color="auto"/>
              <w:left w:val="single" w:sz="8" w:space="0" w:color="auto"/>
              <w:bottom w:val="single" w:sz="8" w:space="0" w:color="auto"/>
              <w:right w:val="single" w:sz="8" w:space="0" w:color="auto"/>
            </w:tcBorders>
          </w:tcPr>
          <w:p w14:paraId="2876A7C2" w14:textId="09D60933" w:rsidR="06A1B8C2" w:rsidRDefault="06A1B8C2">
            <w:r w:rsidRPr="06A1B8C2">
              <w:rPr>
                <w:rFonts w:ascii="Calibri" w:eastAsia="Calibri" w:hAnsi="Calibri" w:cs="Calibri"/>
              </w:rPr>
              <w:t>6</w:t>
            </w:r>
          </w:p>
        </w:tc>
        <w:tc>
          <w:tcPr>
            <w:tcW w:w="2160" w:type="dxa"/>
            <w:tcBorders>
              <w:top w:val="single" w:sz="8" w:space="0" w:color="auto"/>
              <w:left w:val="single" w:sz="8" w:space="0" w:color="auto"/>
              <w:bottom w:val="single" w:sz="8" w:space="0" w:color="auto"/>
              <w:right w:val="single" w:sz="8" w:space="0" w:color="auto"/>
            </w:tcBorders>
          </w:tcPr>
          <w:p w14:paraId="4117E2D6" w14:textId="273FDEF6" w:rsidR="06A1B8C2" w:rsidRDefault="06A1B8C2">
            <w:r w:rsidRPr="06A1B8C2">
              <w:rPr>
                <w:rFonts w:ascii="Calibri" w:eastAsia="Calibri" w:hAnsi="Calibri" w:cs="Calibri"/>
              </w:rPr>
              <w:t>Decitabine</w:t>
            </w:r>
          </w:p>
        </w:tc>
        <w:tc>
          <w:tcPr>
            <w:tcW w:w="2160" w:type="dxa"/>
            <w:tcBorders>
              <w:top w:val="single" w:sz="8" w:space="0" w:color="auto"/>
              <w:left w:val="single" w:sz="8" w:space="0" w:color="auto"/>
              <w:bottom w:val="single" w:sz="8" w:space="0" w:color="auto"/>
              <w:right w:val="single" w:sz="8" w:space="0" w:color="auto"/>
            </w:tcBorders>
            <w:vAlign w:val="bottom"/>
          </w:tcPr>
          <w:p w14:paraId="6E0644E6" w14:textId="4D5EEFFD" w:rsidR="06A1B8C2" w:rsidRDefault="06A1B8C2" w:rsidP="06A1B8C2">
            <w:pPr>
              <w:jc w:val="center"/>
            </w:pPr>
            <w:r w:rsidRPr="06A1B8C2">
              <w:rPr>
                <w:rFonts w:ascii="Calibri" w:eastAsia="Calibri" w:hAnsi="Calibri" w:cs="Calibri"/>
                <w:color w:val="000000" w:themeColor="text1"/>
              </w:rPr>
              <w:t>24</w:t>
            </w:r>
          </w:p>
        </w:tc>
        <w:tc>
          <w:tcPr>
            <w:tcW w:w="2160" w:type="dxa"/>
            <w:tcBorders>
              <w:top w:val="single" w:sz="8" w:space="0" w:color="auto"/>
              <w:left w:val="single" w:sz="8" w:space="0" w:color="auto"/>
              <w:bottom w:val="single" w:sz="8" w:space="0" w:color="auto"/>
              <w:right w:val="single" w:sz="8" w:space="0" w:color="auto"/>
            </w:tcBorders>
          </w:tcPr>
          <w:p w14:paraId="5755F33C" w14:textId="752157DA" w:rsidR="06A1B8C2" w:rsidRDefault="06A1B8C2" w:rsidP="06A1B8C2">
            <w:pPr>
              <w:jc w:val="center"/>
            </w:pPr>
            <w:r w:rsidRPr="06A1B8C2">
              <w:rPr>
                <w:rFonts w:ascii="Calibri" w:eastAsia="Calibri" w:hAnsi="Calibri" w:cs="Calibri"/>
              </w:rPr>
              <w:t>0.144</w:t>
            </w:r>
          </w:p>
        </w:tc>
        <w:tc>
          <w:tcPr>
            <w:tcW w:w="2160" w:type="dxa"/>
            <w:tcBorders>
              <w:top w:val="single" w:sz="8" w:space="0" w:color="auto"/>
              <w:left w:val="single" w:sz="8" w:space="0" w:color="auto"/>
              <w:bottom w:val="single" w:sz="8" w:space="0" w:color="auto"/>
              <w:right w:val="single" w:sz="8" w:space="0" w:color="auto"/>
            </w:tcBorders>
          </w:tcPr>
          <w:p w14:paraId="2A329ECE" w14:textId="34C7F950" w:rsidR="06A1B8C2" w:rsidRDefault="06A1B8C2" w:rsidP="06A1B8C2">
            <w:pPr>
              <w:jc w:val="center"/>
            </w:pPr>
            <w:r w:rsidRPr="06A1B8C2">
              <w:rPr>
                <w:rFonts w:ascii="Calibri" w:eastAsia="Calibri" w:hAnsi="Calibri" w:cs="Calibri"/>
              </w:rPr>
              <w:t>0.083</w:t>
            </w:r>
          </w:p>
        </w:tc>
        <w:tc>
          <w:tcPr>
            <w:tcW w:w="2160" w:type="dxa"/>
            <w:tcBorders>
              <w:top w:val="single" w:sz="8" w:space="0" w:color="auto"/>
              <w:left w:val="single" w:sz="8" w:space="0" w:color="auto"/>
              <w:bottom w:val="single" w:sz="8" w:space="0" w:color="auto"/>
              <w:right w:val="single" w:sz="8" w:space="0" w:color="auto"/>
            </w:tcBorders>
          </w:tcPr>
          <w:p w14:paraId="7A70A9A8" w14:textId="73DE05CE" w:rsidR="06A1B8C2" w:rsidRDefault="06A1B8C2" w:rsidP="06A1B8C2">
            <w:pPr>
              <w:jc w:val="center"/>
            </w:pPr>
            <w:r w:rsidRPr="06A1B8C2">
              <w:rPr>
                <w:rFonts w:ascii="Calibri" w:eastAsia="Calibri" w:hAnsi="Calibri" w:cs="Calibri"/>
              </w:rPr>
              <w:t>0.250</w:t>
            </w:r>
          </w:p>
        </w:tc>
      </w:tr>
      <w:tr w:rsidR="06A1B8C2" w14:paraId="3B699A0C" w14:textId="77777777" w:rsidTr="00310F97">
        <w:trPr>
          <w:trHeight w:val="285"/>
        </w:trPr>
        <w:tc>
          <w:tcPr>
            <w:tcW w:w="2160" w:type="dxa"/>
            <w:tcBorders>
              <w:top w:val="single" w:sz="8" w:space="0" w:color="auto"/>
              <w:left w:val="single" w:sz="8" w:space="0" w:color="auto"/>
              <w:bottom w:val="single" w:sz="8" w:space="0" w:color="auto"/>
              <w:right w:val="single" w:sz="8" w:space="0" w:color="auto"/>
            </w:tcBorders>
          </w:tcPr>
          <w:p w14:paraId="02C2DFDE" w14:textId="1B128AB4" w:rsidR="06A1B8C2" w:rsidRDefault="06A1B8C2">
            <w:r w:rsidRPr="06A1B8C2">
              <w:rPr>
                <w:rFonts w:ascii="Calibri" w:eastAsia="Calibri" w:hAnsi="Calibri" w:cs="Calibri"/>
              </w:rPr>
              <w:t>7</w:t>
            </w:r>
          </w:p>
        </w:tc>
        <w:tc>
          <w:tcPr>
            <w:tcW w:w="2160" w:type="dxa"/>
            <w:tcBorders>
              <w:top w:val="single" w:sz="8" w:space="0" w:color="auto"/>
              <w:left w:val="single" w:sz="8" w:space="0" w:color="auto"/>
              <w:bottom w:val="single" w:sz="8" w:space="0" w:color="auto"/>
              <w:right w:val="single" w:sz="8" w:space="0" w:color="auto"/>
            </w:tcBorders>
          </w:tcPr>
          <w:p w14:paraId="239B6C03" w14:textId="19B771EC" w:rsidR="06A1B8C2" w:rsidRDefault="06A1B8C2">
            <w:r w:rsidRPr="06A1B8C2">
              <w:rPr>
                <w:rFonts w:ascii="Calibri" w:eastAsia="Calibri" w:hAnsi="Calibri" w:cs="Calibri"/>
              </w:rPr>
              <w:t>Decitabine</w:t>
            </w:r>
          </w:p>
        </w:tc>
        <w:tc>
          <w:tcPr>
            <w:tcW w:w="2160" w:type="dxa"/>
            <w:tcBorders>
              <w:top w:val="single" w:sz="8" w:space="0" w:color="auto"/>
              <w:left w:val="single" w:sz="8" w:space="0" w:color="auto"/>
              <w:bottom w:val="single" w:sz="8" w:space="0" w:color="auto"/>
              <w:right w:val="single" w:sz="8" w:space="0" w:color="auto"/>
            </w:tcBorders>
            <w:vAlign w:val="bottom"/>
          </w:tcPr>
          <w:p w14:paraId="4ECE5C28" w14:textId="6AE47F08" w:rsidR="06A1B8C2" w:rsidRDefault="06A1B8C2" w:rsidP="06A1B8C2">
            <w:pPr>
              <w:jc w:val="center"/>
            </w:pPr>
            <w:r w:rsidRPr="06A1B8C2">
              <w:rPr>
                <w:rFonts w:ascii="Calibri" w:eastAsia="Calibri" w:hAnsi="Calibri" w:cs="Calibri"/>
                <w:color w:val="000000" w:themeColor="text1"/>
              </w:rPr>
              <w:t>36</w:t>
            </w:r>
          </w:p>
        </w:tc>
        <w:tc>
          <w:tcPr>
            <w:tcW w:w="2160" w:type="dxa"/>
            <w:tcBorders>
              <w:top w:val="single" w:sz="8" w:space="0" w:color="auto"/>
              <w:left w:val="single" w:sz="8" w:space="0" w:color="auto"/>
              <w:bottom w:val="single" w:sz="8" w:space="0" w:color="auto"/>
              <w:right w:val="single" w:sz="8" w:space="0" w:color="auto"/>
            </w:tcBorders>
          </w:tcPr>
          <w:p w14:paraId="3EA9565D" w14:textId="7F6A2097" w:rsidR="06A1B8C2" w:rsidRDefault="06A1B8C2" w:rsidP="06A1B8C2">
            <w:pPr>
              <w:jc w:val="center"/>
            </w:pPr>
            <w:r w:rsidRPr="06A1B8C2">
              <w:rPr>
                <w:rFonts w:ascii="Calibri" w:eastAsia="Calibri" w:hAnsi="Calibri" w:cs="Calibri"/>
              </w:rPr>
              <w:t>0.090</w:t>
            </w:r>
          </w:p>
        </w:tc>
        <w:tc>
          <w:tcPr>
            <w:tcW w:w="2160" w:type="dxa"/>
            <w:tcBorders>
              <w:top w:val="single" w:sz="8" w:space="0" w:color="auto"/>
              <w:left w:val="single" w:sz="8" w:space="0" w:color="auto"/>
              <w:bottom w:val="single" w:sz="8" w:space="0" w:color="auto"/>
              <w:right w:val="single" w:sz="8" w:space="0" w:color="auto"/>
            </w:tcBorders>
          </w:tcPr>
          <w:p w14:paraId="08AA142C" w14:textId="27F89BD3" w:rsidR="06A1B8C2" w:rsidRDefault="06A1B8C2" w:rsidP="06A1B8C2">
            <w:pPr>
              <w:jc w:val="center"/>
            </w:pPr>
            <w:r w:rsidRPr="06A1B8C2">
              <w:rPr>
                <w:rFonts w:ascii="Calibri" w:eastAsia="Calibri" w:hAnsi="Calibri" w:cs="Calibri"/>
              </w:rPr>
              <w:t>0.042</w:t>
            </w:r>
          </w:p>
        </w:tc>
        <w:tc>
          <w:tcPr>
            <w:tcW w:w="2160" w:type="dxa"/>
            <w:tcBorders>
              <w:top w:val="single" w:sz="8" w:space="0" w:color="auto"/>
              <w:left w:val="single" w:sz="8" w:space="0" w:color="auto"/>
              <w:bottom w:val="single" w:sz="8" w:space="0" w:color="auto"/>
              <w:right w:val="single" w:sz="8" w:space="0" w:color="auto"/>
            </w:tcBorders>
          </w:tcPr>
          <w:p w14:paraId="0556AEAF" w14:textId="0B0CF7D5" w:rsidR="06A1B8C2" w:rsidRDefault="06A1B8C2" w:rsidP="06A1B8C2">
            <w:pPr>
              <w:jc w:val="center"/>
            </w:pPr>
            <w:r w:rsidRPr="06A1B8C2">
              <w:rPr>
                <w:rFonts w:ascii="Calibri" w:eastAsia="Calibri" w:hAnsi="Calibri" w:cs="Calibri"/>
              </w:rPr>
              <w:t>0.191</w:t>
            </w:r>
          </w:p>
        </w:tc>
      </w:tr>
      <w:tr w:rsidR="06A1B8C2" w14:paraId="3141DB1C" w14:textId="77777777" w:rsidTr="00310F97">
        <w:trPr>
          <w:trHeight w:val="285"/>
        </w:trPr>
        <w:tc>
          <w:tcPr>
            <w:tcW w:w="2160" w:type="dxa"/>
            <w:tcBorders>
              <w:top w:val="single" w:sz="8" w:space="0" w:color="auto"/>
              <w:left w:val="single" w:sz="8" w:space="0" w:color="auto"/>
              <w:bottom w:val="single" w:sz="8" w:space="0" w:color="auto"/>
              <w:right w:val="single" w:sz="8" w:space="0" w:color="auto"/>
            </w:tcBorders>
          </w:tcPr>
          <w:p w14:paraId="7A625B7F" w14:textId="1878AE99" w:rsidR="06A1B8C2" w:rsidRDefault="06A1B8C2">
            <w:r w:rsidRPr="06A1B8C2">
              <w:rPr>
                <w:rFonts w:ascii="Calibri" w:eastAsia="Calibri" w:hAnsi="Calibri" w:cs="Calibri"/>
              </w:rPr>
              <w:t>8</w:t>
            </w:r>
          </w:p>
        </w:tc>
        <w:tc>
          <w:tcPr>
            <w:tcW w:w="2160" w:type="dxa"/>
            <w:tcBorders>
              <w:top w:val="single" w:sz="8" w:space="0" w:color="auto"/>
              <w:left w:val="single" w:sz="8" w:space="0" w:color="auto"/>
              <w:bottom w:val="single" w:sz="8" w:space="0" w:color="auto"/>
              <w:right w:val="single" w:sz="8" w:space="0" w:color="auto"/>
            </w:tcBorders>
          </w:tcPr>
          <w:p w14:paraId="22E727E6" w14:textId="2B5B74CE" w:rsidR="06A1B8C2" w:rsidRDefault="06A1B8C2">
            <w:r w:rsidRPr="06A1B8C2">
              <w:rPr>
                <w:rFonts w:ascii="Calibri" w:eastAsia="Calibri" w:hAnsi="Calibri" w:cs="Calibri"/>
              </w:rPr>
              <w:t>Decitabine</w:t>
            </w:r>
          </w:p>
        </w:tc>
        <w:tc>
          <w:tcPr>
            <w:tcW w:w="2160" w:type="dxa"/>
            <w:tcBorders>
              <w:top w:val="single" w:sz="8" w:space="0" w:color="auto"/>
              <w:left w:val="single" w:sz="8" w:space="0" w:color="auto"/>
              <w:bottom w:val="single" w:sz="8" w:space="0" w:color="auto"/>
              <w:right w:val="single" w:sz="8" w:space="0" w:color="auto"/>
            </w:tcBorders>
            <w:vAlign w:val="bottom"/>
          </w:tcPr>
          <w:p w14:paraId="15C501EF" w14:textId="1B82E3A0" w:rsidR="06A1B8C2" w:rsidRDefault="06A1B8C2" w:rsidP="06A1B8C2">
            <w:pPr>
              <w:jc w:val="center"/>
            </w:pPr>
            <w:r w:rsidRPr="06A1B8C2">
              <w:rPr>
                <w:rFonts w:ascii="Calibri" w:eastAsia="Calibri" w:hAnsi="Calibri" w:cs="Calibri"/>
                <w:color w:val="000000" w:themeColor="text1"/>
              </w:rPr>
              <w:t>48</w:t>
            </w:r>
          </w:p>
        </w:tc>
        <w:tc>
          <w:tcPr>
            <w:tcW w:w="2160" w:type="dxa"/>
            <w:tcBorders>
              <w:top w:val="single" w:sz="8" w:space="0" w:color="auto"/>
              <w:left w:val="single" w:sz="8" w:space="0" w:color="auto"/>
              <w:bottom w:val="single" w:sz="8" w:space="0" w:color="auto"/>
              <w:right w:val="single" w:sz="8" w:space="0" w:color="auto"/>
            </w:tcBorders>
          </w:tcPr>
          <w:p w14:paraId="284D90CC" w14:textId="72ACD2F2" w:rsidR="06A1B8C2" w:rsidRDefault="06A1B8C2" w:rsidP="06A1B8C2">
            <w:pPr>
              <w:jc w:val="center"/>
            </w:pPr>
            <w:r w:rsidRPr="06A1B8C2">
              <w:rPr>
                <w:rFonts w:ascii="Calibri" w:eastAsia="Calibri" w:hAnsi="Calibri" w:cs="Calibri"/>
              </w:rPr>
              <w:t>0.069</w:t>
            </w:r>
          </w:p>
        </w:tc>
        <w:tc>
          <w:tcPr>
            <w:tcW w:w="2160" w:type="dxa"/>
            <w:tcBorders>
              <w:top w:val="single" w:sz="8" w:space="0" w:color="auto"/>
              <w:left w:val="single" w:sz="8" w:space="0" w:color="auto"/>
              <w:bottom w:val="single" w:sz="8" w:space="0" w:color="auto"/>
              <w:right w:val="single" w:sz="8" w:space="0" w:color="auto"/>
            </w:tcBorders>
          </w:tcPr>
          <w:p w14:paraId="42F742A9" w14:textId="01C40EF4" w:rsidR="06A1B8C2" w:rsidRDefault="06A1B8C2" w:rsidP="06A1B8C2">
            <w:pPr>
              <w:jc w:val="center"/>
            </w:pPr>
            <w:r w:rsidRPr="06A1B8C2">
              <w:rPr>
                <w:rFonts w:ascii="Calibri" w:eastAsia="Calibri" w:hAnsi="Calibri" w:cs="Calibri"/>
              </w:rPr>
              <w:t>0.030</w:t>
            </w:r>
          </w:p>
        </w:tc>
        <w:tc>
          <w:tcPr>
            <w:tcW w:w="2160" w:type="dxa"/>
            <w:tcBorders>
              <w:top w:val="single" w:sz="8" w:space="0" w:color="auto"/>
              <w:left w:val="single" w:sz="8" w:space="0" w:color="auto"/>
              <w:bottom w:val="single" w:sz="8" w:space="0" w:color="auto"/>
              <w:right w:val="single" w:sz="8" w:space="0" w:color="auto"/>
            </w:tcBorders>
          </w:tcPr>
          <w:p w14:paraId="5052760F" w14:textId="2BF70E93" w:rsidR="06A1B8C2" w:rsidRDefault="06A1B8C2" w:rsidP="06A1B8C2">
            <w:pPr>
              <w:jc w:val="center"/>
            </w:pPr>
            <w:r w:rsidRPr="06A1B8C2">
              <w:rPr>
                <w:rFonts w:ascii="Calibri" w:eastAsia="Calibri" w:hAnsi="Calibri" w:cs="Calibri"/>
              </w:rPr>
              <w:t>0.160</w:t>
            </w:r>
          </w:p>
        </w:tc>
      </w:tr>
    </w:tbl>
    <w:p w14:paraId="209282F1" w14:textId="64E24E72" w:rsidR="00F23BB7" w:rsidRPr="00E70DD9" w:rsidRDefault="00F23BB7" w:rsidP="06A1B8C2"/>
    <w:p w14:paraId="3AD51D55" w14:textId="1CD32916" w:rsidR="00650F7E" w:rsidRPr="00E70DD9" w:rsidRDefault="00650F7E" w:rsidP="000763A0">
      <w:pPr>
        <w:rPr>
          <w:rFonts w:cstheme="minorHAnsi"/>
        </w:rPr>
      </w:pPr>
    </w:p>
    <w:p w14:paraId="260243ED" w14:textId="4D073B0C" w:rsidR="00E20EFC" w:rsidRPr="00E70DD9" w:rsidRDefault="004B0DD4" w:rsidP="4D0486C2">
      <w:pPr>
        <w:pStyle w:val="Caption"/>
        <w:keepNext/>
        <w:rPr>
          <w:color w:val="000000" w:themeColor="text1"/>
          <w:sz w:val="22"/>
          <w:szCs w:val="22"/>
        </w:rPr>
      </w:pPr>
      <w:r>
        <w:rPr>
          <w:color w:val="000000" w:themeColor="text1"/>
          <w:sz w:val="22"/>
          <w:szCs w:val="22"/>
        </w:rPr>
        <w:lastRenderedPageBreak/>
        <w:t>e</w:t>
      </w:r>
      <w:r w:rsidR="2F3C1A3A" w:rsidRPr="4D0486C2">
        <w:rPr>
          <w:color w:val="000000" w:themeColor="text1"/>
          <w:sz w:val="22"/>
          <w:szCs w:val="22"/>
        </w:rPr>
        <w:t>Figure</w:t>
      </w:r>
      <w:r w:rsidR="4F3A8F93" w:rsidRPr="4D0486C2">
        <w:rPr>
          <w:color w:val="000000" w:themeColor="text1"/>
          <w:sz w:val="22"/>
          <w:szCs w:val="22"/>
        </w:rPr>
        <w:t xml:space="preserve"> </w:t>
      </w:r>
      <w:r w:rsidR="5056BB05" w:rsidRPr="4D0486C2">
        <w:rPr>
          <w:color w:val="000000" w:themeColor="text1"/>
          <w:sz w:val="22"/>
          <w:szCs w:val="22"/>
        </w:rPr>
        <w:t xml:space="preserve">10 </w:t>
      </w:r>
      <w:r w:rsidR="4F3A8F93" w:rsidRPr="4D0486C2">
        <w:rPr>
          <w:color w:val="000000" w:themeColor="text1"/>
          <w:sz w:val="22"/>
          <w:szCs w:val="22"/>
        </w:rPr>
        <w:t xml:space="preserve">Propensity score-adjusted  Event-free Survival for AML patients treated with </w:t>
      </w:r>
      <w:r w:rsidR="77A2C6AA" w:rsidRPr="4D0486C2">
        <w:rPr>
          <w:color w:val="000000" w:themeColor="text1"/>
          <w:sz w:val="22"/>
          <w:szCs w:val="22"/>
        </w:rPr>
        <w:t>Azacitidine</w:t>
      </w:r>
      <w:r w:rsidR="4F3A8F93" w:rsidRPr="4D0486C2">
        <w:rPr>
          <w:color w:val="000000" w:themeColor="text1"/>
          <w:sz w:val="22"/>
          <w:szCs w:val="22"/>
        </w:rPr>
        <w:t xml:space="preserve"> vs. Decitabine</w:t>
      </w:r>
    </w:p>
    <w:p w14:paraId="63D40D75" w14:textId="1044A001" w:rsidR="004B0DD4" w:rsidRDefault="2AFAD2CF" w:rsidP="00310F97">
      <w:r>
        <w:rPr>
          <w:noProof/>
        </w:rPr>
        <w:drawing>
          <wp:inline distT="0" distB="0" distL="0" distR="0" wp14:anchorId="3588DDA4" wp14:editId="10CC7F84">
            <wp:extent cx="8185509" cy="5422900"/>
            <wp:effectExtent l="0" t="0" r="6350" b="6350"/>
            <wp:docPr id="1159276618" name="Picture 11592766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extLst>
                        <a:ext uri="{28A0092B-C50C-407E-A947-70E740481C1C}">
                          <a14:useLocalDpi xmlns:a14="http://schemas.microsoft.com/office/drawing/2010/main" val="0"/>
                        </a:ext>
                      </a:extLst>
                    </a:blip>
                    <a:stretch>
                      <a:fillRect/>
                    </a:stretch>
                  </pic:blipFill>
                  <pic:spPr>
                    <a:xfrm>
                      <a:off x="0" y="0"/>
                      <a:ext cx="8193867" cy="5428437"/>
                    </a:xfrm>
                    <a:prstGeom prst="rect">
                      <a:avLst/>
                    </a:prstGeom>
                  </pic:spPr>
                </pic:pic>
              </a:graphicData>
            </a:graphic>
          </wp:inline>
        </w:drawing>
      </w:r>
      <w:bookmarkEnd w:id="14"/>
    </w:p>
    <w:p w14:paraId="5CDBC9FA" w14:textId="16B2C8F5" w:rsidR="003C222E" w:rsidRDefault="006C550D" w:rsidP="003C222E">
      <w:pPr>
        <w:pStyle w:val="Heading1"/>
      </w:pPr>
      <w:bookmarkStart w:id="15" w:name="_Toc96864837"/>
      <w:r>
        <w:lastRenderedPageBreak/>
        <w:t>Azacitidine</w:t>
      </w:r>
      <w:r w:rsidR="003C222E">
        <w:t xml:space="preserve"> plus Venbtoclax vs. Decitabine plus </w:t>
      </w:r>
      <w:r>
        <w:t>Venetoclax</w:t>
      </w:r>
      <w:bookmarkEnd w:id="15"/>
    </w:p>
    <w:p w14:paraId="7533F16F" w14:textId="1D5327C7" w:rsidR="003C222E" w:rsidRPr="003C222E" w:rsidRDefault="004B0DD4" w:rsidP="003C222E">
      <w:pPr>
        <w:pStyle w:val="Caption"/>
        <w:keepNext/>
        <w:rPr>
          <w:color w:val="auto"/>
          <w:sz w:val="22"/>
          <w:szCs w:val="22"/>
        </w:rPr>
      </w:pPr>
      <w:r>
        <w:rPr>
          <w:color w:val="auto"/>
          <w:sz w:val="22"/>
          <w:szCs w:val="22"/>
        </w:rPr>
        <w:t>e</w:t>
      </w:r>
      <w:r w:rsidR="2F3C1A3A" w:rsidRPr="4D0486C2">
        <w:rPr>
          <w:color w:val="auto"/>
          <w:sz w:val="22"/>
          <w:szCs w:val="22"/>
        </w:rPr>
        <w:t>Figure</w:t>
      </w:r>
      <w:r w:rsidR="7F765800" w:rsidRPr="4D0486C2">
        <w:rPr>
          <w:color w:val="auto"/>
          <w:sz w:val="22"/>
          <w:szCs w:val="22"/>
        </w:rPr>
        <w:t xml:space="preserve"> 11</w:t>
      </w:r>
      <w:r w:rsidR="477443B1" w:rsidRPr="4D0486C2">
        <w:rPr>
          <w:color w:val="auto"/>
          <w:sz w:val="22"/>
          <w:szCs w:val="22"/>
        </w:rPr>
        <w:t xml:space="preserve"> Covariate balance before and after propensity score weighting</w:t>
      </w:r>
      <w:r w:rsidR="021E5484" w:rsidRPr="4D0486C2">
        <w:rPr>
          <w:color w:val="auto"/>
          <w:sz w:val="22"/>
          <w:szCs w:val="22"/>
        </w:rPr>
        <w:t xml:space="preserve"> in AZA-VEN vs DEC-VEN</w:t>
      </w:r>
    </w:p>
    <w:p w14:paraId="239B23C4" w14:textId="30D73805" w:rsidR="003C222E" w:rsidRDefault="245A3CF1" w:rsidP="06A1B8C2">
      <w:r>
        <w:rPr>
          <w:noProof/>
        </w:rPr>
        <w:drawing>
          <wp:inline distT="0" distB="0" distL="0" distR="0" wp14:anchorId="6765B9DB" wp14:editId="2AD9F560">
            <wp:extent cx="7512050" cy="4710681"/>
            <wp:effectExtent l="0" t="0" r="0" b="0"/>
            <wp:docPr id="361912441" name="Picture 3619124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extLst>
                        <a:ext uri="{28A0092B-C50C-407E-A947-70E740481C1C}">
                          <a14:useLocalDpi xmlns:a14="http://schemas.microsoft.com/office/drawing/2010/main" val="0"/>
                        </a:ext>
                      </a:extLst>
                    </a:blip>
                    <a:stretch>
                      <a:fillRect/>
                    </a:stretch>
                  </pic:blipFill>
                  <pic:spPr>
                    <a:xfrm>
                      <a:off x="0" y="0"/>
                      <a:ext cx="7518593" cy="4714784"/>
                    </a:xfrm>
                    <a:prstGeom prst="rect">
                      <a:avLst/>
                    </a:prstGeom>
                  </pic:spPr>
                </pic:pic>
              </a:graphicData>
            </a:graphic>
          </wp:inline>
        </w:drawing>
      </w:r>
    </w:p>
    <w:p w14:paraId="55280E35" w14:textId="7CB5E117" w:rsidR="003C222E" w:rsidRDefault="003C222E" w:rsidP="003C222E"/>
    <w:p w14:paraId="69C6D143" w14:textId="77777777" w:rsidR="00D8291C" w:rsidRPr="007D453B" w:rsidRDefault="00D8291C" w:rsidP="00D8291C">
      <w:pPr>
        <w:rPr>
          <w:rFonts w:cstheme="minorHAnsi"/>
        </w:rPr>
      </w:pPr>
    </w:p>
    <w:p w14:paraId="0B56F167" w14:textId="6CB67407" w:rsidR="00D8291C" w:rsidRPr="007D453B" w:rsidRDefault="004B0DD4" w:rsidP="4D0486C2">
      <w:pPr>
        <w:pStyle w:val="Caption"/>
        <w:keepNext/>
        <w:rPr>
          <w:color w:val="auto"/>
          <w:sz w:val="22"/>
          <w:szCs w:val="22"/>
        </w:rPr>
      </w:pPr>
      <w:r>
        <w:rPr>
          <w:color w:val="auto"/>
          <w:sz w:val="22"/>
          <w:szCs w:val="22"/>
        </w:rPr>
        <w:lastRenderedPageBreak/>
        <w:t>e</w:t>
      </w:r>
      <w:r w:rsidR="677A6907" w:rsidRPr="4D0486C2">
        <w:rPr>
          <w:color w:val="auto"/>
          <w:sz w:val="22"/>
          <w:szCs w:val="22"/>
        </w:rPr>
        <w:t>Table</w:t>
      </w:r>
      <w:r w:rsidR="00FD5BAA" w:rsidRPr="4D0486C2">
        <w:rPr>
          <w:color w:val="auto"/>
          <w:sz w:val="22"/>
          <w:szCs w:val="22"/>
        </w:rPr>
        <w:t xml:space="preserve"> 1</w:t>
      </w:r>
      <w:r w:rsidR="002A56F3">
        <w:rPr>
          <w:color w:val="auto"/>
          <w:sz w:val="22"/>
          <w:szCs w:val="22"/>
        </w:rPr>
        <w:t>2</w:t>
      </w:r>
      <w:r w:rsidR="00D8291C" w:rsidRPr="4D0486C2">
        <w:rPr>
          <w:color w:val="auto"/>
          <w:sz w:val="22"/>
          <w:szCs w:val="22"/>
        </w:rPr>
        <w:t xml:space="preserve"> Adjusted Overall Survival at months 12 for AML patients treated with </w:t>
      </w:r>
      <w:r w:rsidR="006C550D" w:rsidRPr="4D0486C2">
        <w:rPr>
          <w:color w:val="auto"/>
          <w:sz w:val="22"/>
          <w:szCs w:val="22"/>
        </w:rPr>
        <w:t>Azacitidine</w:t>
      </w:r>
      <w:r w:rsidR="00D8291C" w:rsidRPr="4D0486C2">
        <w:rPr>
          <w:color w:val="auto"/>
          <w:sz w:val="22"/>
          <w:szCs w:val="22"/>
        </w:rPr>
        <w:t xml:space="preserve"> plus </w:t>
      </w:r>
      <w:r w:rsidR="006C550D" w:rsidRPr="4D0486C2">
        <w:rPr>
          <w:color w:val="auto"/>
          <w:sz w:val="22"/>
          <w:szCs w:val="22"/>
        </w:rPr>
        <w:t>Venetoclax</w:t>
      </w:r>
      <w:r w:rsidR="00D8291C" w:rsidRPr="4D0486C2">
        <w:rPr>
          <w:color w:val="auto"/>
          <w:sz w:val="22"/>
          <w:szCs w:val="22"/>
        </w:rPr>
        <w:t xml:space="preserve"> vs. Decitabine plus </w:t>
      </w:r>
      <w:r w:rsidR="006C550D" w:rsidRPr="4D0486C2">
        <w:rPr>
          <w:color w:val="auto"/>
          <w:sz w:val="22"/>
          <w:szCs w:val="22"/>
        </w:rPr>
        <w:t>Venetoclax</w:t>
      </w:r>
    </w:p>
    <w:tbl>
      <w:tblPr>
        <w:tblStyle w:val="TableGrid"/>
        <w:tblW w:w="5000" w:type="pct"/>
        <w:tblLook w:val="04A0" w:firstRow="1" w:lastRow="0" w:firstColumn="1" w:lastColumn="0" w:noHBand="0" w:noVBand="1"/>
      </w:tblPr>
      <w:tblGrid>
        <w:gridCol w:w="1314"/>
        <w:gridCol w:w="3811"/>
        <w:gridCol w:w="2430"/>
        <w:gridCol w:w="2160"/>
        <w:gridCol w:w="1922"/>
        <w:gridCol w:w="1313"/>
      </w:tblGrid>
      <w:tr w:rsidR="00310F97" w:rsidRPr="00147DD8" w14:paraId="0A3A46E1" w14:textId="77777777" w:rsidTr="00310F97">
        <w:trPr>
          <w:trHeight w:val="290"/>
        </w:trPr>
        <w:tc>
          <w:tcPr>
            <w:tcW w:w="507" w:type="pct"/>
            <w:noWrap/>
            <w:hideMark/>
          </w:tcPr>
          <w:p w14:paraId="2177ABC6" w14:textId="77777777" w:rsidR="00310F97" w:rsidRPr="00147DD8" w:rsidRDefault="00310F97" w:rsidP="00310F97">
            <w:pPr>
              <w:rPr>
                <w:rFonts w:cstheme="minorHAnsi"/>
              </w:rPr>
            </w:pPr>
          </w:p>
        </w:tc>
        <w:tc>
          <w:tcPr>
            <w:tcW w:w="1471" w:type="pct"/>
            <w:noWrap/>
            <w:hideMark/>
          </w:tcPr>
          <w:p w14:paraId="07059CFB" w14:textId="77777777" w:rsidR="00310F97" w:rsidRPr="00147DD8" w:rsidRDefault="00310F97" w:rsidP="00310F97">
            <w:pPr>
              <w:rPr>
                <w:rFonts w:cstheme="minorHAnsi"/>
              </w:rPr>
            </w:pPr>
            <w:r w:rsidRPr="00147DD8">
              <w:rPr>
                <w:rFonts w:cstheme="minorHAnsi"/>
              </w:rPr>
              <w:t>strata</w:t>
            </w:r>
          </w:p>
        </w:tc>
        <w:tc>
          <w:tcPr>
            <w:tcW w:w="938" w:type="pct"/>
            <w:noWrap/>
            <w:hideMark/>
          </w:tcPr>
          <w:p w14:paraId="7D63F8AF" w14:textId="6365C792" w:rsidR="00310F97" w:rsidRPr="00147DD8" w:rsidRDefault="00310F97" w:rsidP="00310F97">
            <w:pPr>
              <w:jc w:val="center"/>
              <w:rPr>
                <w:rFonts w:cstheme="minorHAnsi"/>
              </w:rPr>
            </w:pPr>
            <w:r w:rsidRPr="00E70DD9">
              <w:rPr>
                <w:rFonts w:cstheme="minorHAnsi"/>
              </w:rPr>
              <w:t>Time (months)</w:t>
            </w:r>
          </w:p>
        </w:tc>
        <w:tc>
          <w:tcPr>
            <w:tcW w:w="834" w:type="pct"/>
            <w:noWrap/>
            <w:hideMark/>
          </w:tcPr>
          <w:p w14:paraId="7F4857EB" w14:textId="4A52AB56" w:rsidR="00310F97" w:rsidRPr="00147DD8" w:rsidRDefault="00310F97" w:rsidP="00310F97">
            <w:pPr>
              <w:jc w:val="center"/>
              <w:rPr>
                <w:rFonts w:cstheme="minorHAnsi"/>
              </w:rPr>
            </w:pPr>
            <w:r>
              <w:rPr>
                <w:rFonts w:cstheme="minorHAnsi"/>
              </w:rPr>
              <w:t>S</w:t>
            </w:r>
            <w:r w:rsidRPr="00E70DD9">
              <w:rPr>
                <w:rFonts w:cstheme="minorHAnsi"/>
              </w:rPr>
              <w:t>urvival</w:t>
            </w:r>
          </w:p>
        </w:tc>
        <w:tc>
          <w:tcPr>
            <w:tcW w:w="742" w:type="pct"/>
            <w:noWrap/>
            <w:hideMark/>
          </w:tcPr>
          <w:p w14:paraId="1561C670" w14:textId="3CF82ACD" w:rsidR="00310F97" w:rsidRPr="00147DD8" w:rsidRDefault="00310F97" w:rsidP="00310F97">
            <w:pPr>
              <w:jc w:val="center"/>
              <w:rPr>
                <w:rFonts w:cstheme="minorHAnsi"/>
              </w:rPr>
            </w:pPr>
            <w:r w:rsidRPr="00E70DD9">
              <w:rPr>
                <w:rFonts w:cstheme="minorHAnsi"/>
              </w:rPr>
              <w:t>Lower</w:t>
            </w:r>
            <w:r>
              <w:rPr>
                <w:rFonts w:cstheme="minorHAnsi"/>
              </w:rPr>
              <w:t xml:space="preserve"> CI</w:t>
            </w:r>
          </w:p>
        </w:tc>
        <w:tc>
          <w:tcPr>
            <w:tcW w:w="507" w:type="pct"/>
            <w:noWrap/>
            <w:hideMark/>
          </w:tcPr>
          <w:p w14:paraId="63067819" w14:textId="5EB5C440" w:rsidR="00310F97" w:rsidRPr="00147DD8" w:rsidRDefault="00310F97" w:rsidP="00310F97">
            <w:pPr>
              <w:jc w:val="center"/>
              <w:rPr>
                <w:rFonts w:cstheme="minorHAnsi"/>
              </w:rPr>
            </w:pPr>
            <w:r w:rsidRPr="00E70DD9">
              <w:rPr>
                <w:rFonts w:cstheme="minorHAnsi"/>
              </w:rPr>
              <w:t>Upper</w:t>
            </w:r>
            <w:r>
              <w:rPr>
                <w:rFonts w:cstheme="minorHAnsi"/>
              </w:rPr>
              <w:t xml:space="preserve"> CI</w:t>
            </w:r>
          </w:p>
        </w:tc>
      </w:tr>
      <w:tr w:rsidR="00D8291C" w:rsidRPr="00147DD8" w14:paraId="5E019DF9" w14:textId="77777777" w:rsidTr="00310F97">
        <w:trPr>
          <w:trHeight w:val="290"/>
        </w:trPr>
        <w:tc>
          <w:tcPr>
            <w:tcW w:w="507" w:type="pct"/>
            <w:noWrap/>
            <w:hideMark/>
          </w:tcPr>
          <w:p w14:paraId="78BDD983" w14:textId="77777777" w:rsidR="00D8291C" w:rsidRPr="00147DD8" w:rsidRDefault="00D8291C" w:rsidP="00CA5540">
            <w:pPr>
              <w:rPr>
                <w:rFonts w:cstheme="minorHAnsi"/>
              </w:rPr>
            </w:pPr>
            <w:r w:rsidRPr="00147DD8">
              <w:rPr>
                <w:rFonts w:cstheme="minorHAnsi"/>
              </w:rPr>
              <w:t>1</w:t>
            </w:r>
          </w:p>
        </w:tc>
        <w:tc>
          <w:tcPr>
            <w:tcW w:w="1471" w:type="pct"/>
            <w:noWrap/>
            <w:hideMark/>
          </w:tcPr>
          <w:p w14:paraId="264E6423" w14:textId="77777777" w:rsidR="00D8291C" w:rsidRPr="00147DD8" w:rsidRDefault="00D8291C" w:rsidP="00CA5540">
            <w:pPr>
              <w:rPr>
                <w:rFonts w:cstheme="minorHAnsi"/>
              </w:rPr>
            </w:pPr>
            <w:r w:rsidRPr="00147DD8">
              <w:rPr>
                <w:rFonts w:cstheme="minorHAnsi"/>
              </w:rPr>
              <w:t>Azacitdine plus Venetolcax</w:t>
            </w:r>
          </w:p>
        </w:tc>
        <w:tc>
          <w:tcPr>
            <w:tcW w:w="938" w:type="pct"/>
            <w:noWrap/>
            <w:hideMark/>
          </w:tcPr>
          <w:p w14:paraId="28645BC6" w14:textId="77777777" w:rsidR="00D8291C" w:rsidRPr="00147DD8" w:rsidRDefault="00D8291C" w:rsidP="00CA5540">
            <w:pPr>
              <w:jc w:val="center"/>
              <w:rPr>
                <w:rFonts w:cstheme="minorHAnsi"/>
              </w:rPr>
            </w:pPr>
            <w:r w:rsidRPr="00147DD8">
              <w:rPr>
                <w:rFonts w:cstheme="minorHAnsi"/>
              </w:rPr>
              <w:t>12</w:t>
            </w:r>
          </w:p>
        </w:tc>
        <w:tc>
          <w:tcPr>
            <w:tcW w:w="834" w:type="pct"/>
            <w:noWrap/>
            <w:hideMark/>
          </w:tcPr>
          <w:p w14:paraId="2D21723A" w14:textId="77777777" w:rsidR="00D8291C" w:rsidRPr="00147DD8" w:rsidRDefault="00D8291C" w:rsidP="00CA5540">
            <w:pPr>
              <w:jc w:val="center"/>
              <w:rPr>
                <w:rFonts w:cstheme="minorHAnsi"/>
              </w:rPr>
            </w:pPr>
            <w:r w:rsidRPr="00147DD8">
              <w:rPr>
                <w:rFonts w:cstheme="minorHAnsi"/>
              </w:rPr>
              <w:t>0.54</w:t>
            </w:r>
          </w:p>
        </w:tc>
        <w:tc>
          <w:tcPr>
            <w:tcW w:w="742" w:type="pct"/>
            <w:noWrap/>
            <w:hideMark/>
          </w:tcPr>
          <w:p w14:paraId="7727F6DB" w14:textId="77777777" w:rsidR="00D8291C" w:rsidRPr="00147DD8" w:rsidRDefault="00D8291C" w:rsidP="00CA5540">
            <w:pPr>
              <w:jc w:val="center"/>
              <w:rPr>
                <w:rFonts w:cstheme="minorHAnsi"/>
              </w:rPr>
            </w:pPr>
            <w:r w:rsidRPr="00147DD8">
              <w:rPr>
                <w:rFonts w:cstheme="minorHAnsi"/>
              </w:rPr>
              <w:t>0.37</w:t>
            </w:r>
          </w:p>
        </w:tc>
        <w:tc>
          <w:tcPr>
            <w:tcW w:w="507" w:type="pct"/>
            <w:noWrap/>
            <w:hideMark/>
          </w:tcPr>
          <w:p w14:paraId="53361CF4" w14:textId="77777777" w:rsidR="00D8291C" w:rsidRPr="00147DD8" w:rsidRDefault="00D8291C" w:rsidP="00CA5540">
            <w:pPr>
              <w:jc w:val="center"/>
              <w:rPr>
                <w:rFonts w:cstheme="minorHAnsi"/>
              </w:rPr>
            </w:pPr>
            <w:r w:rsidRPr="00147DD8">
              <w:rPr>
                <w:rFonts w:cstheme="minorHAnsi"/>
              </w:rPr>
              <w:t>0.78</w:t>
            </w:r>
          </w:p>
        </w:tc>
      </w:tr>
      <w:tr w:rsidR="00D8291C" w:rsidRPr="00147DD8" w14:paraId="56C1DE2D" w14:textId="77777777" w:rsidTr="00310F97">
        <w:trPr>
          <w:trHeight w:val="290"/>
        </w:trPr>
        <w:tc>
          <w:tcPr>
            <w:tcW w:w="507" w:type="pct"/>
            <w:noWrap/>
            <w:hideMark/>
          </w:tcPr>
          <w:p w14:paraId="7F16316B" w14:textId="77777777" w:rsidR="00D8291C" w:rsidRPr="00147DD8" w:rsidRDefault="00D8291C" w:rsidP="00CA5540">
            <w:pPr>
              <w:rPr>
                <w:rFonts w:cstheme="minorHAnsi"/>
              </w:rPr>
            </w:pPr>
            <w:r w:rsidRPr="00147DD8">
              <w:rPr>
                <w:rFonts w:cstheme="minorHAnsi"/>
              </w:rPr>
              <w:t>2</w:t>
            </w:r>
          </w:p>
        </w:tc>
        <w:tc>
          <w:tcPr>
            <w:tcW w:w="1471" w:type="pct"/>
            <w:noWrap/>
            <w:hideMark/>
          </w:tcPr>
          <w:p w14:paraId="1172DF84" w14:textId="77777777" w:rsidR="00D8291C" w:rsidRPr="00147DD8" w:rsidRDefault="00D8291C" w:rsidP="00CA5540">
            <w:pPr>
              <w:rPr>
                <w:rFonts w:cstheme="minorHAnsi"/>
              </w:rPr>
            </w:pPr>
            <w:r w:rsidRPr="00147DD8">
              <w:rPr>
                <w:rFonts w:cstheme="minorHAnsi"/>
              </w:rPr>
              <w:t>Decitabine plus Venetolcax</w:t>
            </w:r>
          </w:p>
        </w:tc>
        <w:tc>
          <w:tcPr>
            <w:tcW w:w="938" w:type="pct"/>
            <w:noWrap/>
            <w:hideMark/>
          </w:tcPr>
          <w:p w14:paraId="7EF5985A" w14:textId="77777777" w:rsidR="00D8291C" w:rsidRPr="00147DD8" w:rsidRDefault="00D8291C" w:rsidP="00CA5540">
            <w:pPr>
              <w:jc w:val="center"/>
              <w:rPr>
                <w:rFonts w:cstheme="minorHAnsi"/>
              </w:rPr>
            </w:pPr>
            <w:r w:rsidRPr="00147DD8">
              <w:rPr>
                <w:rFonts w:cstheme="minorHAnsi"/>
              </w:rPr>
              <w:t>12</w:t>
            </w:r>
          </w:p>
        </w:tc>
        <w:tc>
          <w:tcPr>
            <w:tcW w:w="834" w:type="pct"/>
            <w:noWrap/>
            <w:hideMark/>
          </w:tcPr>
          <w:p w14:paraId="2EE2A6E3" w14:textId="77777777" w:rsidR="00D8291C" w:rsidRPr="00147DD8" w:rsidRDefault="00D8291C" w:rsidP="00CA5540">
            <w:pPr>
              <w:jc w:val="center"/>
              <w:rPr>
                <w:rFonts w:cstheme="minorHAnsi"/>
              </w:rPr>
            </w:pPr>
            <w:r w:rsidRPr="00147DD8">
              <w:rPr>
                <w:rFonts w:cstheme="minorHAnsi"/>
              </w:rPr>
              <w:t>0.28</w:t>
            </w:r>
          </w:p>
        </w:tc>
        <w:tc>
          <w:tcPr>
            <w:tcW w:w="742" w:type="pct"/>
            <w:noWrap/>
            <w:hideMark/>
          </w:tcPr>
          <w:p w14:paraId="48292569" w14:textId="77777777" w:rsidR="00D8291C" w:rsidRPr="00147DD8" w:rsidRDefault="00D8291C" w:rsidP="00CA5540">
            <w:pPr>
              <w:jc w:val="center"/>
              <w:rPr>
                <w:rFonts w:cstheme="minorHAnsi"/>
              </w:rPr>
            </w:pPr>
            <w:r w:rsidRPr="00147DD8">
              <w:rPr>
                <w:rFonts w:cstheme="minorHAnsi"/>
              </w:rPr>
              <w:t>0.13</w:t>
            </w:r>
          </w:p>
        </w:tc>
        <w:tc>
          <w:tcPr>
            <w:tcW w:w="507" w:type="pct"/>
            <w:noWrap/>
            <w:hideMark/>
          </w:tcPr>
          <w:p w14:paraId="6D8D09E7" w14:textId="77777777" w:rsidR="00D8291C" w:rsidRPr="00147DD8" w:rsidRDefault="00D8291C" w:rsidP="00CA5540">
            <w:pPr>
              <w:jc w:val="center"/>
              <w:rPr>
                <w:rFonts w:cstheme="minorHAnsi"/>
              </w:rPr>
            </w:pPr>
            <w:r w:rsidRPr="00147DD8">
              <w:rPr>
                <w:rFonts w:cstheme="minorHAnsi"/>
              </w:rPr>
              <w:t>0.62</w:t>
            </w:r>
          </w:p>
        </w:tc>
      </w:tr>
    </w:tbl>
    <w:p w14:paraId="65CC4D85" w14:textId="77777777" w:rsidR="00D8291C" w:rsidRDefault="00D8291C" w:rsidP="004C056E">
      <w:pPr>
        <w:rPr>
          <w:rFonts w:cstheme="minorHAnsi"/>
        </w:rPr>
      </w:pPr>
    </w:p>
    <w:p w14:paraId="1C183A1C" w14:textId="4BFD35F9" w:rsidR="00147DD8" w:rsidRDefault="00147DD8" w:rsidP="004C056E">
      <w:pPr>
        <w:rPr>
          <w:rFonts w:cstheme="minorHAnsi"/>
        </w:rPr>
      </w:pPr>
    </w:p>
    <w:p w14:paraId="4C0C7B1B" w14:textId="15DB98FF" w:rsidR="00310F97" w:rsidRDefault="00310F97" w:rsidP="004C056E">
      <w:pPr>
        <w:rPr>
          <w:rFonts w:cstheme="minorHAnsi"/>
        </w:rPr>
      </w:pPr>
    </w:p>
    <w:p w14:paraId="24892E7A" w14:textId="3DC8CEDE" w:rsidR="00310F97" w:rsidRDefault="00310F97" w:rsidP="004C056E">
      <w:pPr>
        <w:rPr>
          <w:rFonts w:cstheme="minorHAnsi"/>
        </w:rPr>
      </w:pPr>
    </w:p>
    <w:p w14:paraId="70CDA341" w14:textId="77777777" w:rsidR="00310F97" w:rsidRPr="00E70DD9" w:rsidRDefault="00310F97" w:rsidP="004C056E">
      <w:pPr>
        <w:rPr>
          <w:rFonts w:cstheme="minorHAnsi"/>
        </w:rPr>
      </w:pPr>
    </w:p>
    <w:p w14:paraId="5299EE3A" w14:textId="22057BE9" w:rsidR="00D8291C" w:rsidRPr="00D8291C" w:rsidRDefault="004B0DD4" w:rsidP="00D8291C">
      <w:pPr>
        <w:pStyle w:val="Caption"/>
        <w:keepNext/>
        <w:rPr>
          <w:color w:val="auto"/>
          <w:sz w:val="22"/>
          <w:szCs w:val="22"/>
        </w:rPr>
      </w:pPr>
      <w:r>
        <w:rPr>
          <w:color w:val="auto"/>
          <w:sz w:val="22"/>
          <w:szCs w:val="22"/>
        </w:rPr>
        <w:lastRenderedPageBreak/>
        <w:t>e</w:t>
      </w:r>
      <w:r w:rsidR="2F3C1A3A" w:rsidRPr="4D0486C2">
        <w:rPr>
          <w:color w:val="auto"/>
          <w:sz w:val="22"/>
          <w:szCs w:val="22"/>
        </w:rPr>
        <w:t>Figure</w:t>
      </w:r>
      <w:r w:rsidR="51DE6C71" w:rsidRPr="4D0486C2">
        <w:rPr>
          <w:color w:val="auto"/>
          <w:sz w:val="22"/>
          <w:szCs w:val="22"/>
        </w:rPr>
        <w:t xml:space="preserve"> </w:t>
      </w:r>
      <w:r w:rsidR="2116E034" w:rsidRPr="4D0486C2">
        <w:rPr>
          <w:color w:val="auto"/>
          <w:sz w:val="22"/>
          <w:szCs w:val="22"/>
        </w:rPr>
        <w:t>12:</w:t>
      </w:r>
      <w:r w:rsidR="51DE6C71" w:rsidRPr="4D0486C2">
        <w:rPr>
          <w:color w:val="auto"/>
          <w:sz w:val="22"/>
          <w:szCs w:val="22"/>
        </w:rPr>
        <w:t xml:space="preserve"> Propensity score-adjusted  Overall Survival for AML patients treated with </w:t>
      </w:r>
      <w:r w:rsidR="77A2C6AA" w:rsidRPr="4D0486C2">
        <w:rPr>
          <w:color w:val="auto"/>
          <w:sz w:val="22"/>
          <w:szCs w:val="22"/>
        </w:rPr>
        <w:t>Azacitidine</w:t>
      </w:r>
      <w:r w:rsidR="51DE6C71" w:rsidRPr="4D0486C2">
        <w:rPr>
          <w:color w:val="auto"/>
          <w:sz w:val="22"/>
          <w:szCs w:val="22"/>
        </w:rPr>
        <w:t xml:space="preserve"> plus </w:t>
      </w:r>
      <w:r w:rsidR="77A2C6AA" w:rsidRPr="4D0486C2">
        <w:rPr>
          <w:color w:val="auto"/>
          <w:sz w:val="22"/>
          <w:szCs w:val="22"/>
        </w:rPr>
        <w:t xml:space="preserve">Venetoclax </w:t>
      </w:r>
      <w:r w:rsidR="51DE6C71" w:rsidRPr="4D0486C2">
        <w:rPr>
          <w:color w:val="auto"/>
          <w:sz w:val="22"/>
          <w:szCs w:val="22"/>
        </w:rPr>
        <w:t xml:space="preserve">vs. Decitabine plus </w:t>
      </w:r>
      <w:r w:rsidR="77A2C6AA" w:rsidRPr="4D0486C2">
        <w:rPr>
          <w:color w:val="auto"/>
          <w:sz w:val="22"/>
          <w:szCs w:val="22"/>
        </w:rPr>
        <w:t>Venetoclax</w:t>
      </w:r>
    </w:p>
    <w:p w14:paraId="06546F58" w14:textId="476F64A6" w:rsidR="003C222E" w:rsidRDefault="01FD78DA" w:rsidP="003C222E">
      <w:r>
        <w:rPr>
          <w:noProof/>
        </w:rPr>
        <w:drawing>
          <wp:inline distT="0" distB="0" distL="0" distR="0" wp14:anchorId="2C661F13" wp14:editId="4797B04C">
            <wp:extent cx="8009858" cy="5022850"/>
            <wp:effectExtent l="0" t="0" r="0" b="6350"/>
            <wp:docPr id="1256163333" name="Picture 12561633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extLst>
                        <a:ext uri="{28A0092B-C50C-407E-A947-70E740481C1C}">
                          <a14:useLocalDpi xmlns:a14="http://schemas.microsoft.com/office/drawing/2010/main" val="0"/>
                        </a:ext>
                      </a:extLst>
                    </a:blip>
                    <a:stretch>
                      <a:fillRect/>
                    </a:stretch>
                  </pic:blipFill>
                  <pic:spPr>
                    <a:xfrm>
                      <a:off x="0" y="0"/>
                      <a:ext cx="8020980" cy="5029824"/>
                    </a:xfrm>
                    <a:prstGeom prst="rect">
                      <a:avLst/>
                    </a:prstGeom>
                  </pic:spPr>
                </pic:pic>
              </a:graphicData>
            </a:graphic>
          </wp:inline>
        </w:drawing>
      </w:r>
    </w:p>
    <w:p w14:paraId="748196FC" w14:textId="2AD8D12C" w:rsidR="00147DD8" w:rsidRDefault="00147DD8" w:rsidP="004C056E">
      <w:pPr>
        <w:rPr>
          <w:rFonts w:cstheme="minorHAnsi"/>
        </w:rPr>
      </w:pPr>
    </w:p>
    <w:p w14:paraId="4B24E616" w14:textId="2E8E3013" w:rsidR="006C550D" w:rsidRPr="006C550D" w:rsidRDefault="004B0DD4" w:rsidP="4D0486C2">
      <w:pPr>
        <w:pStyle w:val="Caption"/>
        <w:keepNext/>
        <w:rPr>
          <w:color w:val="auto"/>
          <w:sz w:val="22"/>
          <w:szCs w:val="22"/>
        </w:rPr>
      </w:pPr>
      <w:r>
        <w:rPr>
          <w:color w:val="auto"/>
          <w:sz w:val="22"/>
          <w:szCs w:val="22"/>
        </w:rPr>
        <w:lastRenderedPageBreak/>
        <w:t>e</w:t>
      </w:r>
      <w:r w:rsidR="677A6907" w:rsidRPr="4D0486C2">
        <w:rPr>
          <w:color w:val="auto"/>
          <w:sz w:val="22"/>
          <w:szCs w:val="22"/>
        </w:rPr>
        <w:t>Table</w:t>
      </w:r>
      <w:r w:rsidR="001B7F1D" w:rsidRPr="4D0486C2">
        <w:rPr>
          <w:color w:val="auto"/>
          <w:sz w:val="22"/>
          <w:szCs w:val="22"/>
        </w:rPr>
        <w:t xml:space="preserve"> 1</w:t>
      </w:r>
      <w:r w:rsidR="002A56F3">
        <w:rPr>
          <w:color w:val="auto"/>
          <w:sz w:val="22"/>
          <w:szCs w:val="22"/>
        </w:rPr>
        <w:t>3</w:t>
      </w:r>
      <w:r w:rsidR="006C550D" w:rsidRPr="4D0486C2">
        <w:rPr>
          <w:color w:val="auto"/>
          <w:sz w:val="22"/>
          <w:szCs w:val="22"/>
        </w:rPr>
        <w:t xml:space="preserve"> Adjusted Event-free Survival at months 12 for AML patients treated with Azacitidine plus Venetoclax vs. Decitabine plus Venetoclax</w:t>
      </w:r>
    </w:p>
    <w:tbl>
      <w:tblPr>
        <w:tblStyle w:val="TableGrid"/>
        <w:tblW w:w="5000" w:type="pct"/>
        <w:tblLook w:val="04A0" w:firstRow="1" w:lastRow="0" w:firstColumn="1" w:lastColumn="0" w:noHBand="0" w:noVBand="1"/>
      </w:tblPr>
      <w:tblGrid>
        <w:gridCol w:w="1350"/>
        <w:gridCol w:w="3956"/>
        <w:gridCol w:w="2699"/>
        <w:gridCol w:w="1979"/>
        <w:gridCol w:w="1619"/>
        <w:gridCol w:w="1347"/>
      </w:tblGrid>
      <w:tr w:rsidR="005F29DF" w:rsidRPr="006C550D" w14:paraId="70454425" w14:textId="77777777" w:rsidTr="005F29DF">
        <w:trPr>
          <w:trHeight w:val="290"/>
        </w:trPr>
        <w:tc>
          <w:tcPr>
            <w:tcW w:w="521" w:type="pct"/>
            <w:noWrap/>
            <w:hideMark/>
          </w:tcPr>
          <w:p w14:paraId="5D4A80A8" w14:textId="77777777" w:rsidR="005F29DF" w:rsidRPr="006C550D" w:rsidRDefault="005F29DF" w:rsidP="005F29DF">
            <w:pPr>
              <w:rPr>
                <w:rFonts w:cstheme="minorHAnsi"/>
              </w:rPr>
            </w:pPr>
          </w:p>
        </w:tc>
        <w:tc>
          <w:tcPr>
            <w:tcW w:w="1527" w:type="pct"/>
            <w:noWrap/>
            <w:hideMark/>
          </w:tcPr>
          <w:p w14:paraId="0E3684C7" w14:textId="77777777" w:rsidR="005F29DF" w:rsidRPr="006C550D" w:rsidRDefault="005F29DF" w:rsidP="005F29DF">
            <w:pPr>
              <w:rPr>
                <w:rFonts w:cstheme="minorHAnsi"/>
              </w:rPr>
            </w:pPr>
            <w:r w:rsidRPr="006C550D">
              <w:rPr>
                <w:rFonts w:cstheme="minorHAnsi"/>
              </w:rPr>
              <w:t>strata</w:t>
            </w:r>
          </w:p>
        </w:tc>
        <w:tc>
          <w:tcPr>
            <w:tcW w:w="1042" w:type="pct"/>
            <w:noWrap/>
            <w:hideMark/>
          </w:tcPr>
          <w:p w14:paraId="5C906E4E" w14:textId="51B572BE" w:rsidR="005F29DF" w:rsidRPr="006C550D" w:rsidRDefault="005F29DF" w:rsidP="005F29DF">
            <w:pPr>
              <w:jc w:val="center"/>
              <w:rPr>
                <w:rFonts w:cstheme="minorHAnsi"/>
              </w:rPr>
            </w:pPr>
            <w:r w:rsidRPr="00E70DD9">
              <w:rPr>
                <w:rFonts w:cstheme="minorHAnsi"/>
              </w:rPr>
              <w:t>Time (months)</w:t>
            </w:r>
          </w:p>
        </w:tc>
        <w:tc>
          <w:tcPr>
            <w:tcW w:w="764" w:type="pct"/>
            <w:noWrap/>
            <w:hideMark/>
          </w:tcPr>
          <w:p w14:paraId="2BE48007" w14:textId="44E388A2" w:rsidR="005F29DF" w:rsidRPr="006C550D" w:rsidRDefault="005F29DF" w:rsidP="005F29DF">
            <w:pPr>
              <w:jc w:val="center"/>
              <w:rPr>
                <w:rFonts w:cstheme="minorHAnsi"/>
              </w:rPr>
            </w:pPr>
            <w:r>
              <w:rPr>
                <w:rFonts w:cstheme="minorHAnsi"/>
              </w:rPr>
              <w:t>S</w:t>
            </w:r>
            <w:r w:rsidRPr="00E70DD9">
              <w:rPr>
                <w:rFonts w:cstheme="minorHAnsi"/>
              </w:rPr>
              <w:t>urvival</w:t>
            </w:r>
          </w:p>
        </w:tc>
        <w:tc>
          <w:tcPr>
            <w:tcW w:w="625" w:type="pct"/>
            <w:noWrap/>
            <w:hideMark/>
          </w:tcPr>
          <w:p w14:paraId="78105046" w14:textId="01A8E00D" w:rsidR="005F29DF" w:rsidRPr="006C550D" w:rsidRDefault="005F29DF" w:rsidP="005F29DF">
            <w:pPr>
              <w:jc w:val="center"/>
              <w:rPr>
                <w:rFonts w:cstheme="minorHAnsi"/>
              </w:rPr>
            </w:pPr>
            <w:r w:rsidRPr="00E70DD9">
              <w:rPr>
                <w:rFonts w:cstheme="minorHAnsi"/>
              </w:rPr>
              <w:t>Lower</w:t>
            </w:r>
            <w:r>
              <w:rPr>
                <w:rFonts w:cstheme="minorHAnsi"/>
              </w:rPr>
              <w:t xml:space="preserve"> CI</w:t>
            </w:r>
          </w:p>
        </w:tc>
        <w:tc>
          <w:tcPr>
            <w:tcW w:w="520" w:type="pct"/>
            <w:noWrap/>
            <w:hideMark/>
          </w:tcPr>
          <w:p w14:paraId="24E4956D" w14:textId="34E07CC6" w:rsidR="005F29DF" w:rsidRPr="006C550D" w:rsidRDefault="005F29DF" w:rsidP="005F29DF">
            <w:pPr>
              <w:jc w:val="center"/>
              <w:rPr>
                <w:rFonts w:cstheme="minorHAnsi"/>
              </w:rPr>
            </w:pPr>
            <w:r w:rsidRPr="00E70DD9">
              <w:rPr>
                <w:rFonts w:cstheme="minorHAnsi"/>
              </w:rPr>
              <w:t>Upper</w:t>
            </w:r>
            <w:r>
              <w:rPr>
                <w:rFonts w:cstheme="minorHAnsi"/>
              </w:rPr>
              <w:t xml:space="preserve"> CI</w:t>
            </w:r>
          </w:p>
        </w:tc>
      </w:tr>
      <w:tr w:rsidR="006C550D" w:rsidRPr="006C550D" w14:paraId="16341518" w14:textId="77777777" w:rsidTr="005F29DF">
        <w:trPr>
          <w:trHeight w:val="290"/>
        </w:trPr>
        <w:tc>
          <w:tcPr>
            <w:tcW w:w="521" w:type="pct"/>
            <w:noWrap/>
            <w:hideMark/>
          </w:tcPr>
          <w:p w14:paraId="2C543F92" w14:textId="77777777" w:rsidR="006C550D" w:rsidRPr="006C550D" w:rsidRDefault="006C550D" w:rsidP="006C550D">
            <w:pPr>
              <w:rPr>
                <w:rFonts w:cstheme="minorHAnsi"/>
              </w:rPr>
            </w:pPr>
            <w:r w:rsidRPr="006C550D">
              <w:rPr>
                <w:rFonts w:cstheme="minorHAnsi"/>
              </w:rPr>
              <w:t>1</w:t>
            </w:r>
          </w:p>
        </w:tc>
        <w:tc>
          <w:tcPr>
            <w:tcW w:w="1527" w:type="pct"/>
            <w:noWrap/>
            <w:hideMark/>
          </w:tcPr>
          <w:p w14:paraId="37178EE5" w14:textId="768AB4F0" w:rsidR="006C550D" w:rsidRPr="006C550D" w:rsidRDefault="006C550D" w:rsidP="006C550D">
            <w:pPr>
              <w:rPr>
                <w:rFonts w:cstheme="minorHAnsi"/>
              </w:rPr>
            </w:pPr>
            <w:r w:rsidRPr="006C550D">
              <w:rPr>
                <w:rFonts w:cstheme="minorHAnsi"/>
              </w:rPr>
              <w:t>Azacitdine plus Venetolcax</w:t>
            </w:r>
          </w:p>
        </w:tc>
        <w:tc>
          <w:tcPr>
            <w:tcW w:w="1042" w:type="pct"/>
            <w:noWrap/>
            <w:hideMark/>
          </w:tcPr>
          <w:p w14:paraId="1DD1AC47" w14:textId="77777777" w:rsidR="006C550D" w:rsidRPr="006C550D" w:rsidRDefault="006C550D" w:rsidP="006C550D">
            <w:pPr>
              <w:jc w:val="center"/>
              <w:rPr>
                <w:rFonts w:cstheme="minorHAnsi"/>
              </w:rPr>
            </w:pPr>
            <w:r w:rsidRPr="006C550D">
              <w:rPr>
                <w:rFonts w:cstheme="minorHAnsi"/>
              </w:rPr>
              <w:t>12</w:t>
            </w:r>
          </w:p>
        </w:tc>
        <w:tc>
          <w:tcPr>
            <w:tcW w:w="764" w:type="pct"/>
            <w:noWrap/>
            <w:hideMark/>
          </w:tcPr>
          <w:p w14:paraId="0FCAE568" w14:textId="77777777" w:rsidR="006C550D" w:rsidRPr="006C550D" w:rsidRDefault="006C550D" w:rsidP="006C550D">
            <w:pPr>
              <w:jc w:val="center"/>
              <w:rPr>
                <w:rFonts w:cstheme="minorHAnsi"/>
              </w:rPr>
            </w:pPr>
            <w:r w:rsidRPr="006C550D">
              <w:rPr>
                <w:rFonts w:cstheme="minorHAnsi"/>
              </w:rPr>
              <w:t>0.35</w:t>
            </w:r>
          </w:p>
        </w:tc>
        <w:tc>
          <w:tcPr>
            <w:tcW w:w="625" w:type="pct"/>
            <w:noWrap/>
            <w:hideMark/>
          </w:tcPr>
          <w:p w14:paraId="75CF7070" w14:textId="77777777" w:rsidR="006C550D" w:rsidRPr="006C550D" w:rsidRDefault="006C550D" w:rsidP="006C550D">
            <w:pPr>
              <w:jc w:val="center"/>
              <w:rPr>
                <w:rFonts w:cstheme="minorHAnsi"/>
              </w:rPr>
            </w:pPr>
            <w:r w:rsidRPr="006C550D">
              <w:rPr>
                <w:rFonts w:cstheme="minorHAnsi"/>
              </w:rPr>
              <w:t>0.20</w:t>
            </w:r>
          </w:p>
        </w:tc>
        <w:tc>
          <w:tcPr>
            <w:tcW w:w="520" w:type="pct"/>
            <w:noWrap/>
            <w:hideMark/>
          </w:tcPr>
          <w:p w14:paraId="32197897" w14:textId="77777777" w:rsidR="006C550D" w:rsidRPr="006C550D" w:rsidRDefault="006C550D" w:rsidP="006C550D">
            <w:pPr>
              <w:jc w:val="center"/>
              <w:rPr>
                <w:rFonts w:cstheme="minorHAnsi"/>
              </w:rPr>
            </w:pPr>
            <w:r w:rsidRPr="006C550D">
              <w:rPr>
                <w:rFonts w:cstheme="minorHAnsi"/>
              </w:rPr>
              <w:t>0.62</w:t>
            </w:r>
          </w:p>
        </w:tc>
      </w:tr>
      <w:tr w:rsidR="006C550D" w:rsidRPr="006C550D" w14:paraId="7AF0418B" w14:textId="77777777" w:rsidTr="005F29DF">
        <w:trPr>
          <w:trHeight w:val="290"/>
        </w:trPr>
        <w:tc>
          <w:tcPr>
            <w:tcW w:w="521" w:type="pct"/>
            <w:noWrap/>
            <w:hideMark/>
          </w:tcPr>
          <w:p w14:paraId="671A0432" w14:textId="77777777" w:rsidR="006C550D" w:rsidRPr="006C550D" w:rsidRDefault="006C550D" w:rsidP="006C550D">
            <w:pPr>
              <w:rPr>
                <w:rFonts w:cstheme="minorHAnsi"/>
              </w:rPr>
            </w:pPr>
            <w:r w:rsidRPr="006C550D">
              <w:rPr>
                <w:rFonts w:cstheme="minorHAnsi"/>
              </w:rPr>
              <w:t>2</w:t>
            </w:r>
          </w:p>
        </w:tc>
        <w:tc>
          <w:tcPr>
            <w:tcW w:w="1527" w:type="pct"/>
            <w:noWrap/>
            <w:hideMark/>
          </w:tcPr>
          <w:p w14:paraId="6C1FE121" w14:textId="336C0F3C" w:rsidR="006C550D" w:rsidRPr="006C550D" w:rsidRDefault="006C550D" w:rsidP="006C550D">
            <w:pPr>
              <w:rPr>
                <w:rFonts w:cstheme="minorHAnsi"/>
              </w:rPr>
            </w:pPr>
            <w:r w:rsidRPr="006C550D">
              <w:rPr>
                <w:rFonts w:cstheme="minorHAnsi"/>
              </w:rPr>
              <w:t>Decitabine plus Venetolcax</w:t>
            </w:r>
          </w:p>
        </w:tc>
        <w:tc>
          <w:tcPr>
            <w:tcW w:w="1042" w:type="pct"/>
            <w:noWrap/>
            <w:hideMark/>
          </w:tcPr>
          <w:p w14:paraId="1E0CAF91" w14:textId="77777777" w:rsidR="006C550D" w:rsidRPr="006C550D" w:rsidRDefault="006C550D" w:rsidP="006C550D">
            <w:pPr>
              <w:jc w:val="center"/>
              <w:rPr>
                <w:rFonts w:cstheme="minorHAnsi"/>
              </w:rPr>
            </w:pPr>
            <w:r w:rsidRPr="006C550D">
              <w:rPr>
                <w:rFonts w:cstheme="minorHAnsi"/>
              </w:rPr>
              <w:t>12</w:t>
            </w:r>
          </w:p>
        </w:tc>
        <w:tc>
          <w:tcPr>
            <w:tcW w:w="764" w:type="pct"/>
            <w:noWrap/>
            <w:hideMark/>
          </w:tcPr>
          <w:p w14:paraId="67B81BD3" w14:textId="77777777" w:rsidR="006C550D" w:rsidRPr="006C550D" w:rsidRDefault="006C550D" w:rsidP="006C550D">
            <w:pPr>
              <w:jc w:val="center"/>
              <w:rPr>
                <w:rFonts w:cstheme="minorHAnsi"/>
              </w:rPr>
            </w:pPr>
            <w:r w:rsidRPr="006C550D">
              <w:rPr>
                <w:rFonts w:cstheme="minorHAnsi"/>
              </w:rPr>
              <w:t>0.26</w:t>
            </w:r>
          </w:p>
        </w:tc>
        <w:tc>
          <w:tcPr>
            <w:tcW w:w="625" w:type="pct"/>
            <w:noWrap/>
            <w:hideMark/>
          </w:tcPr>
          <w:p w14:paraId="1D1058CD" w14:textId="77777777" w:rsidR="006C550D" w:rsidRPr="006C550D" w:rsidRDefault="006C550D" w:rsidP="006C550D">
            <w:pPr>
              <w:jc w:val="center"/>
              <w:rPr>
                <w:rFonts w:cstheme="minorHAnsi"/>
              </w:rPr>
            </w:pPr>
            <w:r w:rsidRPr="006C550D">
              <w:rPr>
                <w:rFonts w:cstheme="minorHAnsi"/>
              </w:rPr>
              <w:t>0.11</w:t>
            </w:r>
          </w:p>
        </w:tc>
        <w:tc>
          <w:tcPr>
            <w:tcW w:w="520" w:type="pct"/>
            <w:noWrap/>
            <w:hideMark/>
          </w:tcPr>
          <w:p w14:paraId="172B8093" w14:textId="77777777" w:rsidR="006C550D" w:rsidRPr="006C550D" w:rsidRDefault="006C550D" w:rsidP="006C550D">
            <w:pPr>
              <w:jc w:val="center"/>
              <w:rPr>
                <w:rFonts w:cstheme="minorHAnsi"/>
              </w:rPr>
            </w:pPr>
            <w:r w:rsidRPr="006C550D">
              <w:rPr>
                <w:rFonts w:cstheme="minorHAnsi"/>
              </w:rPr>
              <w:t>0.62</w:t>
            </w:r>
          </w:p>
        </w:tc>
      </w:tr>
    </w:tbl>
    <w:p w14:paraId="31FB1908" w14:textId="77777777" w:rsidR="005F29DF" w:rsidRDefault="005F29DF" w:rsidP="4D0486C2">
      <w:pPr>
        <w:pStyle w:val="Caption"/>
        <w:keepNext/>
        <w:rPr>
          <w:color w:val="auto"/>
          <w:sz w:val="22"/>
          <w:szCs w:val="22"/>
        </w:rPr>
      </w:pPr>
    </w:p>
    <w:p w14:paraId="4BF22AB2" w14:textId="77777777" w:rsidR="005F29DF" w:rsidRDefault="005F29DF" w:rsidP="4D0486C2">
      <w:pPr>
        <w:pStyle w:val="Caption"/>
        <w:keepNext/>
        <w:rPr>
          <w:color w:val="auto"/>
          <w:sz w:val="22"/>
          <w:szCs w:val="22"/>
        </w:rPr>
      </w:pPr>
    </w:p>
    <w:p w14:paraId="17A4419B" w14:textId="77777777" w:rsidR="005F29DF" w:rsidRDefault="005F29DF" w:rsidP="4D0486C2">
      <w:pPr>
        <w:pStyle w:val="Caption"/>
        <w:keepNext/>
        <w:rPr>
          <w:color w:val="auto"/>
          <w:sz w:val="22"/>
          <w:szCs w:val="22"/>
        </w:rPr>
      </w:pPr>
    </w:p>
    <w:p w14:paraId="6FDF08B0" w14:textId="231F8628" w:rsidR="005F29DF" w:rsidRDefault="005F29DF" w:rsidP="4D0486C2">
      <w:pPr>
        <w:pStyle w:val="Caption"/>
        <w:keepNext/>
        <w:rPr>
          <w:color w:val="auto"/>
          <w:sz w:val="22"/>
          <w:szCs w:val="22"/>
        </w:rPr>
      </w:pPr>
    </w:p>
    <w:p w14:paraId="0B6A784A" w14:textId="77777777" w:rsidR="005F29DF" w:rsidRPr="005F29DF" w:rsidRDefault="005F29DF" w:rsidP="005F29DF"/>
    <w:p w14:paraId="47E1BC09" w14:textId="77777777" w:rsidR="005F29DF" w:rsidRDefault="005F29DF" w:rsidP="4D0486C2">
      <w:pPr>
        <w:pStyle w:val="Caption"/>
        <w:keepNext/>
        <w:rPr>
          <w:color w:val="auto"/>
          <w:sz w:val="22"/>
          <w:szCs w:val="22"/>
        </w:rPr>
      </w:pPr>
    </w:p>
    <w:p w14:paraId="622866CE" w14:textId="5A5D49B6" w:rsidR="006C550D" w:rsidRDefault="004B0DD4" w:rsidP="4D0486C2">
      <w:pPr>
        <w:pStyle w:val="Caption"/>
        <w:keepNext/>
        <w:rPr>
          <w:color w:val="auto"/>
          <w:sz w:val="22"/>
          <w:szCs w:val="22"/>
        </w:rPr>
      </w:pPr>
      <w:r>
        <w:rPr>
          <w:color w:val="auto"/>
          <w:sz w:val="22"/>
          <w:szCs w:val="22"/>
        </w:rPr>
        <w:t>e</w:t>
      </w:r>
      <w:r w:rsidR="2F3C1A3A" w:rsidRPr="4D0486C2">
        <w:rPr>
          <w:color w:val="auto"/>
          <w:sz w:val="22"/>
          <w:szCs w:val="22"/>
        </w:rPr>
        <w:t>Figure</w:t>
      </w:r>
      <w:r w:rsidR="7BB76007" w:rsidRPr="4D0486C2">
        <w:rPr>
          <w:color w:val="auto"/>
          <w:sz w:val="22"/>
          <w:szCs w:val="22"/>
        </w:rPr>
        <w:t xml:space="preserve"> 13: P</w:t>
      </w:r>
      <w:r w:rsidR="77A2C6AA" w:rsidRPr="4D0486C2">
        <w:rPr>
          <w:color w:val="auto"/>
          <w:sz w:val="22"/>
          <w:szCs w:val="22"/>
        </w:rPr>
        <w:t>ropensity score-adjusted  Event-free Survival for AML patients treated with Azacitidine plus Venetoclax vs. Decitabine plus Venetoclax</w:t>
      </w:r>
    </w:p>
    <w:p w14:paraId="422A28B2" w14:textId="524A5CCD" w:rsidR="006C550D" w:rsidRDefault="3D6EFD4C" w:rsidP="06A1B8C2">
      <w:r>
        <w:rPr>
          <w:noProof/>
        </w:rPr>
        <w:drawing>
          <wp:inline distT="0" distB="0" distL="0" distR="0" wp14:anchorId="12A64E1C" wp14:editId="7AF5D703">
            <wp:extent cx="7351654" cy="4610100"/>
            <wp:effectExtent l="0" t="0" r="1905" b="0"/>
            <wp:docPr id="1750517532" name="Picture 17505175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extLst>
                        <a:ext uri="{28A0092B-C50C-407E-A947-70E740481C1C}">
                          <a14:useLocalDpi xmlns:a14="http://schemas.microsoft.com/office/drawing/2010/main" val="0"/>
                        </a:ext>
                      </a:extLst>
                    </a:blip>
                    <a:stretch>
                      <a:fillRect/>
                    </a:stretch>
                  </pic:blipFill>
                  <pic:spPr>
                    <a:xfrm>
                      <a:off x="0" y="0"/>
                      <a:ext cx="7357406" cy="4613707"/>
                    </a:xfrm>
                    <a:prstGeom prst="rect">
                      <a:avLst/>
                    </a:prstGeom>
                  </pic:spPr>
                </pic:pic>
              </a:graphicData>
            </a:graphic>
          </wp:inline>
        </w:drawing>
      </w:r>
    </w:p>
    <w:p w14:paraId="00B7A371" w14:textId="77777777" w:rsidR="00056DAA" w:rsidRDefault="00056DAA" w:rsidP="004234BE">
      <w:pPr>
        <w:rPr>
          <w:rFonts w:cstheme="minorHAnsi"/>
        </w:rPr>
        <w:sectPr w:rsidR="00056DAA" w:rsidSect="003431ED">
          <w:footerReference w:type="default" r:id="rId23"/>
          <w:pgSz w:w="15840" w:h="12240" w:orient="landscape"/>
          <w:pgMar w:top="1440" w:right="1440" w:bottom="1440" w:left="1440" w:header="720" w:footer="720" w:gutter="0"/>
          <w:cols w:space="720"/>
          <w:docGrid w:linePitch="360"/>
        </w:sectPr>
      </w:pPr>
    </w:p>
    <w:p w14:paraId="74C1D9BD" w14:textId="37183CB0" w:rsidR="00056DAA" w:rsidRPr="00056DAA" w:rsidRDefault="00056DAA" w:rsidP="00056DAA">
      <w:pPr>
        <w:pStyle w:val="Heading1"/>
        <w:rPr>
          <w:rFonts w:ascii="Calibri" w:eastAsia="Calibri" w:hAnsi="Calibri" w:cs="Calibri"/>
        </w:rPr>
      </w:pPr>
      <w:bookmarkStart w:id="16" w:name="_Toc96864838"/>
      <w:r>
        <w:lastRenderedPageBreak/>
        <w:t xml:space="preserve">Studies investigating the outcomes of combining </w:t>
      </w:r>
      <w:r w:rsidR="004C4E1E">
        <w:t>Venetoclax</w:t>
      </w:r>
      <w:r>
        <w:t xml:space="preserve"> with </w:t>
      </w:r>
      <w:r w:rsidR="004C4E1E">
        <w:t>HMAs</w:t>
      </w:r>
      <w:bookmarkEnd w:id="16"/>
    </w:p>
    <w:p w14:paraId="4BCB1B6D" w14:textId="77777777" w:rsidR="00056DAA" w:rsidRPr="00056DAA" w:rsidRDefault="00056DAA" w:rsidP="00056DAA">
      <w:pPr>
        <w:spacing w:line="240" w:lineRule="auto"/>
        <w:rPr>
          <w:rFonts w:ascii="Calibri" w:eastAsia="Calibri" w:hAnsi="Calibri" w:cs="Calibri"/>
          <w:sz w:val="24"/>
          <w:szCs w:val="24"/>
        </w:rPr>
      </w:pPr>
      <w:bookmarkStart w:id="17" w:name="_Hlk87211885"/>
    </w:p>
    <w:p w14:paraId="49E7F080" w14:textId="1682DC91" w:rsidR="00056DAA" w:rsidRPr="00056DAA" w:rsidRDefault="00056DAA" w:rsidP="00056DAA">
      <w:pPr>
        <w:keepNext/>
        <w:spacing w:before="120" w:after="240" w:line="240" w:lineRule="auto"/>
        <w:rPr>
          <w:rFonts w:eastAsia="Calibri" w:cstheme="minorHAnsi"/>
          <w:i/>
          <w:iCs/>
          <w:sz w:val="24"/>
          <w:szCs w:val="24"/>
        </w:rPr>
      </w:pPr>
      <w:r w:rsidRPr="006164CA">
        <w:rPr>
          <w:rFonts w:eastAsia="Calibri" w:cstheme="minorHAnsi"/>
          <w:i/>
          <w:iCs/>
          <w:sz w:val="24"/>
          <w:szCs w:val="24"/>
        </w:rPr>
        <w:t>e</w:t>
      </w:r>
      <w:r w:rsidRPr="00056DAA">
        <w:rPr>
          <w:rFonts w:eastAsia="Calibri" w:cstheme="minorHAnsi"/>
          <w:i/>
          <w:iCs/>
          <w:sz w:val="24"/>
          <w:szCs w:val="24"/>
        </w:rPr>
        <w:t xml:space="preserve">Table </w:t>
      </w:r>
      <w:r w:rsidR="006164CA" w:rsidRPr="006164CA">
        <w:rPr>
          <w:rFonts w:eastAsia="Calibri" w:cstheme="minorHAnsi"/>
          <w:i/>
          <w:iCs/>
          <w:sz w:val="24"/>
          <w:szCs w:val="24"/>
        </w:rPr>
        <w:t>1</w:t>
      </w:r>
      <w:r w:rsidR="002A56F3">
        <w:rPr>
          <w:rFonts w:eastAsia="Calibri" w:cstheme="minorHAnsi"/>
          <w:i/>
          <w:iCs/>
          <w:sz w:val="24"/>
          <w:szCs w:val="24"/>
        </w:rPr>
        <w:t>4</w:t>
      </w:r>
      <w:r w:rsidRPr="00056DAA">
        <w:rPr>
          <w:rFonts w:eastAsia="Calibri" w:cstheme="minorHAnsi"/>
          <w:i/>
          <w:iCs/>
          <w:sz w:val="24"/>
          <w:szCs w:val="24"/>
        </w:rPr>
        <w:t xml:space="preserve"> Studies investigating the role of venetoclax in combination with hypomethylating agents in newly diagnosed acute myeloid leukemia</w:t>
      </w:r>
    </w:p>
    <w:tbl>
      <w:tblPr>
        <w:tblStyle w:val="TableGrid1"/>
        <w:tblW w:w="14268" w:type="dxa"/>
        <w:tblInd w:w="0" w:type="dxa"/>
        <w:tblLook w:val="04A0" w:firstRow="1" w:lastRow="0" w:firstColumn="1" w:lastColumn="0" w:noHBand="0" w:noVBand="1"/>
      </w:tblPr>
      <w:tblGrid>
        <w:gridCol w:w="1028"/>
        <w:gridCol w:w="1310"/>
        <w:gridCol w:w="1629"/>
        <w:gridCol w:w="2486"/>
        <w:gridCol w:w="1600"/>
        <w:gridCol w:w="2839"/>
        <w:gridCol w:w="3376"/>
      </w:tblGrid>
      <w:tr w:rsidR="00056DAA" w:rsidRPr="00056DAA" w14:paraId="7C83CAC2" w14:textId="77777777" w:rsidTr="00056DAA">
        <w:trPr>
          <w:trHeight w:val="734"/>
        </w:trPr>
        <w:tc>
          <w:tcPr>
            <w:tcW w:w="1028" w:type="dxa"/>
            <w:tcBorders>
              <w:top w:val="single" w:sz="4" w:space="0" w:color="auto"/>
              <w:left w:val="single" w:sz="4" w:space="0" w:color="auto"/>
              <w:bottom w:val="single" w:sz="4" w:space="0" w:color="auto"/>
              <w:right w:val="single" w:sz="4" w:space="0" w:color="auto"/>
            </w:tcBorders>
            <w:hideMark/>
          </w:tcPr>
          <w:p w14:paraId="6202386A" w14:textId="77777777" w:rsidR="00056DAA" w:rsidRPr="00056DAA" w:rsidRDefault="00056DAA" w:rsidP="00056DAA">
            <w:pPr>
              <w:rPr>
                <w:rFonts w:asciiTheme="minorHAnsi" w:hAnsiTheme="minorHAnsi" w:cstheme="minorHAnsi"/>
                <w:sz w:val="18"/>
                <w:szCs w:val="18"/>
              </w:rPr>
            </w:pPr>
            <w:r w:rsidRPr="00056DAA">
              <w:rPr>
                <w:rFonts w:asciiTheme="minorHAnsi" w:hAnsiTheme="minorHAnsi" w:cstheme="minorHAnsi"/>
                <w:sz w:val="18"/>
                <w:szCs w:val="18"/>
              </w:rPr>
              <w:t>Author/ Year</w:t>
            </w:r>
          </w:p>
        </w:tc>
        <w:tc>
          <w:tcPr>
            <w:tcW w:w="1310" w:type="dxa"/>
            <w:tcBorders>
              <w:top w:val="single" w:sz="4" w:space="0" w:color="auto"/>
              <w:left w:val="single" w:sz="4" w:space="0" w:color="auto"/>
              <w:bottom w:val="single" w:sz="4" w:space="0" w:color="auto"/>
              <w:right w:val="single" w:sz="4" w:space="0" w:color="auto"/>
            </w:tcBorders>
            <w:hideMark/>
          </w:tcPr>
          <w:p w14:paraId="0A3B1327" w14:textId="77777777" w:rsidR="00056DAA" w:rsidRPr="00056DAA" w:rsidRDefault="00056DAA" w:rsidP="00056DAA">
            <w:pPr>
              <w:rPr>
                <w:rFonts w:asciiTheme="minorHAnsi" w:hAnsiTheme="minorHAnsi" w:cstheme="minorHAnsi"/>
                <w:sz w:val="18"/>
                <w:szCs w:val="18"/>
              </w:rPr>
            </w:pPr>
            <w:r w:rsidRPr="00056DAA">
              <w:rPr>
                <w:rFonts w:asciiTheme="minorHAnsi" w:hAnsiTheme="minorHAnsi" w:cstheme="minorHAnsi"/>
                <w:sz w:val="18"/>
                <w:szCs w:val="18"/>
              </w:rPr>
              <w:t>Study design/ setting</w:t>
            </w:r>
          </w:p>
        </w:tc>
        <w:tc>
          <w:tcPr>
            <w:tcW w:w="1629" w:type="dxa"/>
            <w:tcBorders>
              <w:top w:val="single" w:sz="4" w:space="0" w:color="auto"/>
              <w:left w:val="single" w:sz="4" w:space="0" w:color="auto"/>
              <w:bottom w:val="single" w:sz="4" w:space="0" w:color="auto"/>
              <w:right w:val="single" w:sz="4" w:space="0" w:color="auto"/>
            </w:tcBorders>
            <w:hideMark/>
          </w:tcPr>
          <w:p w14:paraId="175A6E13" w14:textId="77777777" w:rsidR="00056DAA" w:rsidRPr="00056DAA" w:rsidRDefault="00056DAA" w:rsidP="00056DAA">
            <w:pPr>
              <w:rPr>
                <w:rFonts w:asciiTheme="minorHAnsi" w:hAnsiTheme="minorHAnsi" w:cstheme="minorHAnsi"/>
                <w:sz w:val="18"/>
                <w:szCs w:val="18"/>
              </w:rPr>
            </w:pPr>
            <w:r w:rsidRPr="00056DAA">
              <w:rPr>
                <w:rFonts w:asciiTheme="minorHAnsi" w:hAnsiTheme="minorHAnsi" w:cstheme="minorHAnsi"/>
                <w:sz w:val="18"/>
                <w:szCs w:val="18"/>
              </w:rPr>
              <w:t>Study population</w:t>
            </w:r>
          </w:p>
        </w:tc>
        <w:tc>
          <w:tcPr>
            <w:tcW w:w="2486" w:type="dxa"/>
            <w:tcBorders>
              <w:top w:val="single" w:sz="4" w:space="0" w:color="auto"/>
              <w:left w:val="single" w:sz="4" w:space="0" w:color="auto"/>
              <w:bottom w:val="single" w:sz="4" w:space="0" w:color="auto"/>
              <w:right w:val="single" w:sz="4" w:space="0" w:color="auto"/>
            </w:tcBorders>
            <w:hideMark/>
          </w:tcPr>
          <w:p w14:paraId="033D9D82" w14:textId="77777777" w:rsidR="00056DAA" w:rsidRPr="00056DAA" w:rsidRDefault="00056DAA" w:rsidP="00056DAA">
            <w:pPr>
              <w:rPr>
                <w:rFonts w:asciiTheme="minorHAnsi" w:hAnsiTheme="minorHAnsi" w:cstheme="minorHAnsi"/>
                <w:sz w:val="18"/>
                <w:szCs w:val="18"/>
              </w:rPr>
            </w:pPr>
            <w:r w:rsidRPr="00056DAA">
              <w:rPr>
                <w:rFonts w:asciiTheme="minorHAnsi" w:hAnsiTheme="minorHAnsi" w:cstheme="minorHAnsi"/>
                <w:sz w:val="18"/>
                <w:szCs w:val="18"/>
              </w:rPr>
              <w:t>Comparison groups (number of patients)</w:t>
            </w:r>
          </w:p>
        </w:tc>
        <w:tc>
          <w:tcPr>
            <w:tcW w:w="1600" w:type="dxa"/>
            <w:tcBorders>
              <w:top w:val="single" w:sz="4" w:space="0" w:color="auto"/>
              <w:left w:val="single" w:sz="4" w:space="0" w:color="auto"/>
              <w:bottom w:val="single" w:sz="4" w:space="0" w:color="auto"/>
              <w:right w:val="single" w:sz="4" w:space="0" w:color="auto"/>
            </w:tcBorders>
            <w:hideMark/>
          </w:tcPr>
          <w:p w14:paraId="6DD02617" w14:textId="77777777" w:rsidR="00056DAA" w:rsidRPr="00056DAA" w:rsidRDefault="00056DAA" w:rsidP="00056DAA">
            <w:pPr>
              <w:rPr>
                <w:rFonts w:asciiTheme="minorHAnsi" w:hAnsiTheme="minorHAnsi" w:cstheme="minorHAnsi"/>
                <w:sz w:val="18"/>
                <w:szCs w:val="18"/>
              </w:rPr>
            </w:pPr>
            <w:r w:rsidRPr="00056DAA">
              <w:rPr>
                <w:rFonts w:asciiTheme="minorHAnsi" w:hAnsiTheme="minorHAnsi" w:cstheme="minorHAnsi"/>
                <w:sz w:val="18"/>
                <w:szCs w:val="18"/>
              </w:rPr>
              <w:t>Dose and schedule</w:t>
            </w:r>
          </w:p>
        </w:tc>
        <w:tc>
          <w:tcPr>
            <w:tcW w:w="2839" w:type="dxa"/>
            <w:tcBorders>
              <w:top w:val="single" w:sz="4" w:space="0" w:color="auto"/>
              <w:left w:val="single" w:sz="4" w:space="0" w:color="auto"/>
              <w:bottom w:val="single" w:sz="4" w:space="0" w:color="auto"/>
              <w:right w:val="single" w:sz="4" w:space="0" w:color="auto"/>
            </w:tcBorders>
            <w:hideMark/>
          </w:tcPr>
          <w:p w14:paraId="65524474" w14:textId="77777777" w:rsidR="00056DAA" w:rsidRPr="00056DAA" w:rsidRDefault="00056DAA" w:rsidP="00056DAA">
            <w:pPr>
              <w:rPr>
                <w:rFonts w:asciiTheme="minorHAnsi" w:hAnsiTheme="minorHAnsi" w:cstheme="minorHAnsi"/>
                <w:sz w:val="18"/>
                <w:szCs w:val="18"/>
              </w:rPr>
            </w:pPr>
            <w:r w:rsidRPr="00056DAA">
              <w:rPr>
                <w:rFonts w:asciiTheme="minorHAnsi" w:hAnsiTheme="minorHAnsi" w:cstheme="minorHAnsi"/>
                <w:sz w:val="18"/>
                <w:szCs w:val="18"/>
              </w:rPr>
              <w:t>Outcomes*</w:t>
            </w:r>
          </w:p>
        </w:tc>
        <w:tc>
          <w:tcPr>
            <w:tcW w:w="3376" w:type="dxa"/>
            <w:tcBorders>
              <w:top w:val="single" w:sz="4" w:space="0" w:color="auto"/>
              <w:left w:val="single" w:sz="4" w:space="0" w:color="auto"/>
              <w:bottom w:val="single" w:sz="4" w:space="0" w:color="auto"/>
              <w:right w:val="single" w:sz="4" w:space="0" w:color="auto"/>
            </w:tcBorders>
            <w:hideMark/>
          </w:tcPr>
          <w:p w14:paraId="20190FE7" w14:textId="77777777" w:rsidR="00056DAA" w:rsidRPr="00056DAA" w:rsidRDefault="00056DAA" w:rsidP="00056DAA">
            <w:pPr>
              <w:rPr>
                <w:rFonts w:asciiTheme="minorHAnsi" w:hAnsiTheme="minorHAnsi" w:cstheme="minorHAnsi"/>
                <w:sz w:val="18"/>
                <w:szCs w:val="18"/>
              </w:rPr>
            </w:pPr>
            <w:r w:rsidRPr="00056DAA">
              <w:rPr>
                <w:rFonts w:asciiTheme="minorHAnsi" w:hAnsiTheme="minorHAnsi" w:cstheme="minorHAnsi"/>
                <w:sz w:val="18"/>
                <w:szCs w:val="18"/>
              </w:rPr>
              <w:t>Remarks/ Comments</w:t>
            </w:r>
          </w:p>
        </w:tc>
      </w:tr>
      <w:tr w:rsidR="00056DAA" w:rsidRPr="00056DAA" w14:paraId="0183D150" w14:textId="77777777" w:rsidTr="00056DAA">
        <w:trPr>
          <w:trHeight w:val="734"/>
        </w:trPr>
        <w:tc>
          <w:tcPr>
            <w:tcW w:w="1028" w:type="dxa"/>
            <w:tcBorders>
              <w:top w:val="single" w:sz="4" w:space="0" w:color="auto"/>
              <w:left w:val="single" w:sz="4" w:space="0" w:color="auto"/>
              <w:bottom w:val="single" w:sz="4" w:space="0" w:color="auto"/>
              <w:right w:val="single" w:sz="4" w:space="0" w:color="auto"/>
            </w:tcBorders>
            <w:hideMark/>
          </w:tcPr>
          <w:p w14:paraId="67067D5E" w14:textId="0D81250F" w:rsidR="00056DAA" w:rsidRPr="00056DAA" w:rsidRDefault="00056DAA" w:rsidP="00056DAA">
            <w:pPr>
              <w:rPr>
                <w:rFonts w:asciiTheme="minorHAnsi" w:hAnsiTheme="minorHAnsi" w:cstheme="minorHAnsi"/>
                <w:sz w:val="18"/>
                <w:szCs w:val="18"/>
              </w:rPr>
            </w:pPr>
            <w:r w:rsidRPr="00056DAA">
              <w:rPr>
                <w:rFonts w:asciiTheme="minorHAnsi" w:hAnsiTheme="minorHAnsi" w:cstheme="minorHAnsi"/>
                <w:sz w:val="18"/>
                <w:szCs w:val="18"/>
              </w:rPr>
              <w:t xml:space="preserve">DiNardo </w:t>
            </w:r>
            <w:r w:rsidRPr="00056DAA">
              <w:rPr>
                <w:rFonts w:cstheme="minorHAnsi"/>
                <w:sz w:val="18"/>
                <w:szCs w:val="18"/>
              </w:rPr>
              <w:fldChar w:fldCharType="begin">
                <w:fldData xml:space="preserve">PEVuZE5vdGU+PENpdGU+PEF1dGhvcj5EaU5hcmRvPC9BdXRob3I+PFllYXI+MjAxOTwvWWVhcj48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</w:fldData>
              </w:fldChar>
            </w:r>
            <w:r w:rsidR="002D2D6E">
              <w:rPr>
                <w:rFonts w:cstheme="minorHAnsi"/>
                <w:sz w:val="18"/>
                <w:szCs w:val="18"/>
              </w:rPr>
              <w:instrText xml:space="preserve"> ADDIN EN.CITE </w:instrText>
            </w:r>
            <w:r w:rsidR="002D2D6E">
              <w:rPr>
                <w:rFonts w:cstheme="minorHAnsi"/>
                <w:sz w:val="18"/>
                <w:szCs w:val="18"/>
              </w:rPr>
              <w:fldChar w:fldCharType="begin">
                <w:fldData xml:space="preserve">PEVuZE5vdGU+PENpdGU+PEF1dGhvcj5EaU5hcmRvPC9BdXRob3I+PFllYXI+MjAxOTwvWWVhcj48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</w:fldData>
              </w:fldChar>
            </w:r>
            <w:r w:rsidR="002D2D6E">
              <w:rPr>
                <w:rFonts w:cstheme="minorHAnsi"/>
                <w:sz w:val="18"/>
                <w:szCs w:val="18"/>
              </w:rPr>
              <w:instrText xml:space="preserve"> ADDIN EN.CITE.DATA </w:instrText>
            </w:r>
            <w:r w:rsidR="002D2D6E">
              <w:rPr>
                <w:rFonts w:cstheme="minorHAnsi"/>
                <w:sz w:val="18"/>
                <w:szCs w:val="18"/>
              </w:rPr>
            </w:r>
            <w:r w:rsidR="002D2D6E">
              <w:rPr>
                <w:rFonts w:cstheme="minorHAnsi"/>
                <w:sz w:val="18"/>
                <w:szCs w:val="18"/>
              </w:rPr>
              <w:fldChar w:fldCharType="end"/>
            </w:r>
            <w:r w:rsidRPr="00056DAA">
              <w:rPr>
                <w:rFonts w:cstheme="minorHAnsi"/>
                <w:sz w:val="18"/>
                <w:szCs w:val="18"/>
              </w:rPr>
            </w:r>
            <w:r w:rsidRPr="00056DAA">
              <w:rPr>
                <w:rFonts w:cstheme="minorHAnsi"/>
                <w:sz w:val="18"/>
                <w:szCs w:val="18"/>
              </w:rPr>
              <w:fldChar w:fldCharType="separate"/>
            </w:r>
            <w:r w:rsidR="002D2D6E">
              <w:rPr>
                <w:rFonts w:cstheme="minorHAnsi"/>
                <w:noProof/>
                <w:sz w:val="18"/>
                <w:szCs w:val="18"/>
              </w:rPr>
              <w:t>(1)</w:t>
            </w:r>
            <w:r w:rsidRPr="00056DAA">
              <w:rPr>
                <w:rFonts w:cstheme="minorHAnsi"/>
                <w:sz w:val="18"/>
                <w:szCs w:val="18"/>
              </w:rPr>
              <w:fldChar w:fldCharType="end"/>
            </w:r>
            <w:r w:rsidRPr="00056DAA">
              <w:rPr>
                <w:rFonts w:asciiTheme="minorHAnsi" w:hAnsiTheme="minorHAnsi" w:cstheme="minorHAnsi"/>
                <w:sz w:val="18"/>
                <w:szCs w:val="18"/>
              </w:rPr>
              <w:t>/2019</w:t>
            </w:r>
          </w:p>
        </w:tc>
        <w:tc>
          <w:tcPr>
            <w:tcW w:w="1310" w:type="dxa"/>
            <w:tcBorders>
              <w:top w:val="single" w:sz="4" w:space="0" w:color="auto"/>
              <w:left w:val="single" w:sz="4" w:space="0" w:color="auto"/>
              <w:bottom w:val="single" w:sz="4" w:space="0" w:color="auto"/>
              <w:right w:val="single" w:sz="4" w:space="0" w:color="auto"/>
            </w:tcBorders>
            <w:hideMark/>
          </w:tcPr>
          <w:p w14:paraId="7F0479F4" w14:textId="77777777" w:rsidR="00056DAA" w:rsidRPr="00056DAA" w:rsidRDefault="00056DAA" w:rsidP="00056DAA">
            <w:pPr>
              <w:rPr>
                <w:rFonts w:asciiTheme="minorHAnsi" w:hAnsiTheme="minorHAnsi" w:cstheme="minorHAnsi"/>
                <w:sz w:val="18"/>
                <w:szCs w:val="18"/>
              </w:rPr>
            </w:pPr>
            <w:r w:rsidRPr="00056DAA">
              <w:rPr>
                <w:rFonts w:asciiTheme="minorHAnsi" w:hAnsiTheme="minorHAnsi" w:cstheme="minorHAnsi"/>
                <w:sz w:val="18"/>
                <w:szCs w:val="18"/>
              </w:rPr>
              <w:t>Phase Ib, open-label, uncontrolled Study/ Multi-institutional</w:t>
            </w:r>
          </w:p>
        </w:tc>
        <w:tc>
          <w:tcPr>
            <w:tcW w:w="1629" w:type="dxa"/>
            <w:tcBorders>
              <w:top w:val="single" w:sz="4" w:space="0" w:color="auto"/>
              <w:left w:val="single" w:sz="4" w:space="0" w:color="auto"/>
              <w:bottom w:val="single" w:sz="4" w:space="0" w:color="auto"/>
              <w:right w:val="single" w:sz="4" w:space="0" w:color="auto"/>
            </w:tcBorders>
            <w:hideMark/>
          </w:tcPr>
          <w:p w14:paraId="69C77AAD" w14:textId="77777777" w:rsidR="00056DAA" w:rsidRPr="00056DAA" w:rsidRDefault="00056DAA" w:rsidP="00056DAA">
            <w:pPr>
              <w:rPr>
                <w:rFonts w:asciiTheme="minorHAnsi" w:hAnsiTheme="minorHAnsi" w:cstheme="minorHAnsi"/>
                <w:sz w:val="18"/>
                <w:szCs w:val="18"/>
              </w:rPr>
            </w:pPr>
            <w:r w:rsidRPr="00056DAA">
              <w:rPr>
                <w:rFonts w:asciiTheme="minorHAnsi" w:hAnsiTheme="minorHAnsi" w:cstheme="minorHAnsi"/>
                <w:sz w:val="18"/>
                <w:szCs w:val="18"/>
              </w:rPr>
              <w:t>All newly diagnosed AML patients unfit for induction chemotherapy because ≥ 65 years or coexisting conditions</w:t>
            </w:r>
          </w:p>
        </w:tc>
        <w:tc>
          <w:tcPr>
            <w:tcW w:w="2486" w:type="dxa"/>
            <w:tcBorders>
              <w:top w:val="single" w:sz="4" w:space="0" w:color="auto"/>
              <w:left w:val="single" w:sz="4" w:space="0" w:color="auto"/>
              <w:bottom w:val="single" w:sz="4" w:space="0" w:color="auto"/>
              <w:right w:val="single" w:sz="4" w:space="0" w:color="auto"/>
            </w:tcBorders>
            <w:hideMark/>
          </w:tcPr>
          <w:p w14:paraId="24BA3490" w14:textId="77777777" w:rsidR="00056DAA" w:rsidRPr="00056DAA" w:rsidRDefault="00056DAA" w:rsidP="00056DAA">
            <w:pPr>
              <w:rPr>
                <w:rFonts w:asciiTheme="minorHAnsi" w:hAnsiTheme="minorHAnsi" w:cstheme="minorHAnsi"/>
                <w:sz w:val="18"/>
                <w:szCs w:val="18"/>
              </w:rPr>
            </w:pPr>
            <w:r w:rsidRPr="00056DAA">
              <w:rPr>
                <w:rFonts w:asciiTheme="minorHAnsi" w:hAnsiTheme="minorHAnsi" w:cstheme="minorHAnsi"/>
                <w:sz w:val="18"/>
                <w:szCs w:val="18"/>
              </w:rPr>
              <w:t>AZA-VEN (73).</w:t>
            </w:r>
          </w:p>
          <w:p w14:paraId="167F3981" w14:textId="77777777" w:rsidR="00056DAA" w:rsidRPr="00056DAA" w:rsidRDefault="00056DAA" w:rsidP="00056DAA">
            <w:pPr>
              <w:rPr>
                <w:rFonts w:asciiTheme="minorHAnsi" w:hAnsiTheme="minorHAnsi" w:cstheme="minorHAnsi"/>
                <w:sz w:val="18"/>
                <w:szCs w:val="18"/>
              </w:rPr>
            </w:pPr>
            <w:r w:rsidRPr="00056DAA">
              <w:rPr>
                <w:rFonts w:asciiTheme="minorHAnsi" w:hAnsiTheme="minorHAnsi" w:cstheme="minorHAnsi"/>
                <w:sz w:val="18"/>
                <w:szCs w:val="18"/>
              </w:rPr>
              <w:t xml:space="preserve">DEC-VEN (72). </w:t>
            </w:r>
          </w:p>
        </w:tc>
        <w:tc>
          <w:tcPr>
            <w:tcW w:w="1600" w:type="dxa"/>
            <w:tcBorders>
              <w:top w:val="single" w:sz="4" w:space="0" w:color="auto"/>
              <w:left w:val="single" w:sz="4" w:space="0" w:color="auto"/>
              <w:bottom w:val="single" w:sz="4" w:space="0" w:color="auto"/>
              <w:right w:val="single" w:sz="4" w:space="0" w:color="auto"/>
            </w:tcBorders>
            <w:hideMark/>
          </w:tcPr>
          <w:p w14:paraId="29CDBE64" w14:textId="77777777" w:rsidR="00056DAA" w:rsidRPr="00056DAA" w:rsidRDefault="00056DAA" w:rsidP="00056DAA">
            <w:pPr>
              <w:rPr>
                <w:rFonts w:asciiTheme="minorHAnsi" w:hAnsiTheme="minorHAnsi" w:cstheme="minorHAnsi"/>
                <w:sz w:val="18"/>
                <w:szCs w:val="18"/>
              </w:rPr>
            </w:pPr>
            <w:r w:rsidRPr="00056DAA">
              <w:rPr>
                <w:rFonts w:asciiTheme="minorHAnsi" w:hAnsiTheme="minorHAnsi" w:cstheme="minorHAnsi"/>
                <w:sz w:val="18"/>
                <w:szCs w:val="18"/>
              </w:rPr>
              <w:t xml:space="preserve">AZA: 75 mg/m2 IV/SC for 7 days of 28 days cycle. </w:t>
            </w:r>
          </w:p>
          <w:p w14:paraId="550DC277" w14:textId="77777777" w:rsidR="00056DAA" w:rsidRPr="00056DAA" w:rsidRDefault="00056DAA" w:rsidP="00056DAA">
            <w:pPr>
              <w:rPr>
                <w:rFonts w:asciiTheme="minorHAnsi" w:hAnsiTheme="minorHAnsi" w:cstheme="minorHAnsi"/>
                <w:sz w:val="18"/>
                <w:szCs w:val="18"/>
              </w:rPr>
            </w:pPr>
            <w:r w:rsidRPr="00056DAA">
              <w:rPr>
                <w:rFonts w:asciiTheme="minorHAnsi" w:hAnsiTheme="minorHAnsi" w:cstheme="minorHAnsi"/>
                <w:sz w:val="18"/>
                <w:szCs w:val="18"/>
              </w:rPr>
              <w:t xml:space="preserve">DEC: 20 mg/m2 IV for 5 days of 28 days cycle. </w:t>
            </w:r>
          </w:p>
          <w:p w14:paraId="0BEA3BA8" w14:textId="77777777" w:rsidR="00056DAA" w:rsidRPr="00056DAA" w:rsidRDefault="00056DAA" w:rsidP="00056DAA">
            <w:pPr>
              <w:rPr>
                <w:rFonts w:asciiTheme="minorHAnsi" w:hAnsiTheme="minorHAnsi" w:cstheme="minorHAnsi"/>
                <w:sz w:val="18"/>
                <w:szCs w:val="18"/>
              </w:rPr>
            </w:pPr>
            <w:r w:rsidRPr="00056DAA">
              <w:rPr>
                <w:rFonts w:asciiTheme="minorHAnsi" w:hAnsiTheme="minorHAnsi" w:cstheme="minorHAnsi"/>
                <w:sz w:val="18"/>
                <w:szCs w:val="18"/>
              </w:rPr>
              <w:t>VEN: ramp up dose to 400, 800 or 1200 mg QD in escalation stage and 400 and 800 in expansion stage.</w:t>
            </w:r>
          </w:p>
        </w:tc>
        <w:tc>
          <w:tcPr>
            <w:tcW w:w="2839" w:type="dxa"/>
            <w:tcBorders>
              <w:top w:val="single" w:sz="4" w:space="0" w:color="auto"/>
              <w:left w:val="single" w:sz="4" w:space="0" w:color="auto"/>
              <w:bottom w:val="single" w:sz="4" w:space="0" w:color="auto"/>
              <w:right w:val="single" w:sz="4" w:space="0" w:color="auto"/>
            </w:tcBorders>
            <w:hideMark/>
          </w:tcPr>
          <w:p w14:paraId="33FF4924" w14:textId="77777777" w:rsidR="00056DAA" w:rsidRPr="00056DAA" w:rsidRDefault="00056DAA" w:rsidP="00056DAA">
            <w:pPr>
              <w:rPr>
                <w:rFonts w:asciiTheme="minorHAnsi" w:hAnsiTheme="minorHAnsi" w:cstheme="minorHAnsi"/>
                <w:sz w:val="18"/>
                <w:szCs w:val="18"/>
              </w:rPr>
            </w:pPr>
            <w:r w:rsidRPr="00056DAA">
              <w:rPr>
                <w:rFonts w:asciiTheme="minorHAnsi" w:hAnsiTheme="minorHAnsi" w:cstheme="minorHAnsi"/>
                <w:sz w:val="18"/>
                <w:szCs w:val="18"/>
              </w:rPr>
              <w:t xml:space="preserve">-HMA-VEN: m-OS: 17.5. CCR: 67%. </w:t>
            </w:r>
          </w:p>
          <w:p w14:paraId="63A5AAE4" w14:textId="77777777" w:rsidR="00056DAA" w:rsidRPr="00056DAA" w:rsidRDefault="00056DAA" w:rsidP="00056DAA">
            <w:pPr>
              <w:rPr>
                <w:rFonts w:asciiTheme="minorHAnsi" w:hAnsiTheme="minorHAnsi" w:cstheme="minorHAnsi"/>
                <w:sz w:val="18"/>
                <w:szCs w:val="18"/>
              </w:rPr>
            </w:pPr>
            <w:r w:rsidRPr="00056DAA">
              <w:rPr>
                <w:rFonts w:asciiTheme="minorHAnsi" w:hAnsiTheme="minorHAnsi" w:cstheme="minorHAnsi"/>
                <w:sz w:val="18"/>
                <w:szCs w:val="18"/>
              </w:rPr>
              <w:t>-AZA-VEN (400 mg): m-OS: NR. CCR: 76%.</w:t>
            </w:r>
          </w:p>
          <w:p w14:paraId="6599CB3C" w14:textId="77777777" w:rsidR="00056DAA" w:rsidRPr="00056DAA" w:rsidRDefault="00056DAA" w:rsidP="00056DAA">
            <w:pPr>
              <w:rPr>
                <w:rFonts w:asciiTheme="minorHAnsi" w:hAnsiTheme="minorHAnsi" w:cstheme="minorHAnsi"/>
                <w:sz w:val="18"/>
                <w:szCs w:val="18"/>
              </w:rPr>
            </w:pPr>
            <w:r w:rsidRPr="00056DAA">
              <w:rPr>
                <w:rFonts w:asciiTheme="minorHAnsi" w:hAnsiTheme="minorHAnsi" w:cstheme="minorHAnsi"/>
                <w:sz w:val="18"/>
                <w:szCs w:val="18"/>
              </w:rPr>
              <w:t>-DEC-VEN (400 mg): m-OS: 14.2. CCR: 71%.</w:t>
            </w:r>
          </w:p>
        </w:tc>
        <w:tc>
          <w:tcPr>
            <w:tcW w:w="3376" w:type="dxa"/>
            <w:tcBorders>
              <w:top w:val="single" w:sz="4" w:space="0" w:color="auto"/>
              <w:left w:val="single" w:sz="4" w:space="0" w:color="auto"/>
              <w:bottom w:val="single" w:sz="4" w:space="0" w:color="auto"/>
              <w:right w:val="single" w:sz="4" w:space="0" w:color="auto"/>
            </w:tcBorders>
            <w:hideMark/>
          </w:tcPr>
          <w:p w14:paraId="5816B7E7" w14:textId="77777777" w:rsidR="00056DAA" w:rsidRPr="00056DAA" w:rsidRDefault="00056DAA" w:rsidP="00056DAA">
            <w:pPr>
              <w:rPr>
                <w:rFonts w:asciiTheme="minorHAnsi" w:hAnsiTheme="minorHAnsi" w:cstheme="minorHAnsi"/>
                <w:sz w:val="18"/>
                <w:szCs w:val="18"/>
              </w:rPr>
            </w:pPr>
            <w:r w:rsidRPr="00056DAA">
              <w:rPr>
                <w:rFonts w:asciiTheme="minorHAnsi" w:hAnsiTheme="minorHAnsi" w:cstheme="minorHAnsi"/>
                <w:sz w:val="18"/>
                <w:szCs w:val="18"/>
              </w:rPr>
              <w:t xml:space="preserve">-Because of strict eligibility criteria and the uncontrolled nature of single-arm studies, outcomes have limited generalizability. </w:t>
            </w:r>
          </w:p>
          <w:p w14:paraId="7A9A0376" w14:textId="77777777" w:rsidR="00056DAA" w:rsidRPr="00056DAA" w:rsidRDefault="00056DAA" w:rsidP="00056DAA">
            <w:pPr>
              <w:rPr>
                <w:rFonts w:asciiTheme="minorHAnsi" w:hAnsiTheme="minorHAnsi" w:cstheme="minorHAnsi"/>
                <w:sz w:val="18"/>
                <w:szCs w:val="18"/>
              </w:rPr>
            </w:pPr>
            <w:r w:rsidRPr="00056DAA">
              <w:rPr>
                <w:rFonts w:asciiTheme="minorHAnsi" w:hAnsiTheme="minorHAnsi" w:cstheme="minorHAnsi"/>
                <w:sz w:val="18"/>
                <w:szCs w:val="18"/>
              </w:rPr>
              <w:t>-Median follow-up was 8.9 mo.</w:t>
            </w:r>
          </w:p>
        </w:tc>
      </w:tr>
      <w:tr w:rsidR="00056DAA" w:rsidRPr="00056DAA" w14:paraId="7352DE2F" w14:textId="77777777" w:rsidTr="00056DAA">
        <w:trPr>
          <w:trHeight w:val="361"/>
        </w:trPr>
        <w:tc>
          <w:tcPr>
            <w:tcW w:w="1028" w:type="dxa"/>
            <w:tcBorders>
              <w:top w:val="single" w:sz="4" w:space="0" w:color="auto"/>
              <w:left w:val="single" w:sz="4" w:space="0" w:color="auto"/>
              <w:bottom w:val="single" w:sz="4" w:space="0" w:color="auto"/>
              <w:right w:val="single" w:sz="4" w:space="0" w:color="auto"/>
            </w:tcBorders>
            <w:hideMark/>
          </w:tcPr>
          <w:p w14:paraId="037076E2" w14:textId="4CD787BD" w:rsidR="00056DAA" w:rsidRPr="00056DAA" w:rsidRDefault="00056DAA" w:rsidP="00056DAA">
            <w:pPr>
              <w:rPr>
                <w:rFonts w:asciiTheme="minorHAnsi" w:hAnsiTheme="minorHAnsi" w:cstheme="minorHAnsi"/>
                <w:sz w:val="18"/>
                <w:szCs w:val="18"/>
              </w:rPr>
            </w:pPr>
            <w:r w:rsidRPr="00056DAA">
              <w:rPr>
                <w:rFonts w:asciiTheme="minorHAnsi" w:hAnsiTheme="minorHAnsi" w:cstheme="minorHAnsi"/>
                <w:sz w:val="18"/>
                <w:szCs w:val="18"/>
              </w:rPr>
              <w:t xml:space="preserve">Dinardo </w:t>
            </w:r>
            <w:r w:rsidRPr="00056DAA">
              <w:rPr>
                <w:rFonts w:cstheme="minorHAnsi"/>
                <w:sz w:val="18"/>
                <w:szCs w:val="18"/>
              </w:rPr>
              <w:fldChar w:fldCharType="begin"/>
            </w:r>
            <w:r w:rsidR="002D2D6E">
              <w:rPr>
                <w:rFonts w:cstheme="minorHAnsi"/>
                <w:sz w:val="18"/>
                <w:szCs w:val="18"/>
              </w:rPr>
              <w:instrText xml:space="preserve"> ADDIN EN.CITE &lt;EndNote&gt;&lt;Cite&gt;&lt;Author&gt;DiNardo&lt;/Author&gt;&lt;Year&gt;2020&lt;/Year&gt;&lt;RecNum&gt;12&lt;/RecNum&gt;&lt;DisplayText&gt;(2)&lt;/DisplayText&gt;&lt;record&gt;&lt;rec-number&gt;12&lt;/rec-number&gt;&lt;foreign-keys&gt;&lt;key app="EN" db-id="5d2tfaxd5v5wt8erttivfvefazxdwf0z5xtz" timestamp="1636122675"&gt;12&lt;/key&gt;&lt;/foreign-keys&gt;&lt;ref-type name="Journal Article"&gt;17&lt;/ref-type&gt;&lt;contributors&gt;&lt;authors&gt;&lt;author&gt;DiNardo, Courtney D.&lt;/author&gt;&lt;author&gt;Jonas, Brian A.&lt;/author&gt;&lt;author&gt;Pullarkat, Vinod&lt;/author&gt;&lt;author&gt;Thirman, Michael J.&lt;/author&gt;&lt;author&gt;Garcia, Jacqueline S.&lt;/author&gt;&lt;author&gt;Wei, Andrew H.&lt;/author&gt;&lt;author&gt;Konopleva, Marina&lt;/author&gt;&lt;author&gt;Döhner, Hartmut&lt;/author&gt;&lt;author&gt;Letai, Anthony&lt;/author&gt;&lt;author&gt;Fenaux, Pierre&lt;/author&gt;&lt;author&gt;Koller, Elizabeth&lt;/author&gt;&lt;author&gt;Havelange, Violaine&lt;/author&gt;&lt;author&gt;Leber, Brian&lt;/author&gt;&lt;author&gt;Esteve, Jordi&lt;/author&gt;&lt;author&gt;Wang, Jianxiang&lt;/author&gt;&lt;author&gt;Pejsa, Vlatko&lt;/author&gt;&lt;author&gt;Hájek, Roman&lt;/author&gt;&lt;author&gt;Porkka, Kimmo&lt;/author&gt;&lt;author&gt;Illés, Árpád&lt;/author&gt;&lt;author&gt;Lavie, David&lt;/author&gt;&lt;author&gt;Lemoli, Roberto M.&lt;/author&gt;&lt;author&gt;Yamamoto, Kazuhito&lt;/author&gt;&lt;author&gt;Yoon, Sung-Soo&lt;/author&gt;&lt;author&gt;Jang, Jun-Ho&lt;/author&gt;&lt;author&gt;Yeh, Su-Peng&lt;/author&gt;&lt;author&gt;Turgut, Mehmet&lt;/author&gt;&lt;author&gt;Hong, Wan-Jen&lt;/author&gt;&lt;author&gt;Zhou, Ying&lt;/author&gt;&lt;author&gt;Potluri, Jalaja&lt;/author&gt;&lt;author&gt;Pratz, Keith W.&lt;/author&gt;&lt;/authors&gt;&lt;/contributors&gt;&lt;titles&gt;&lt;title&gt;Azacitidine and Venetoclax in Previously Untreated Acute Myeloid Leukemia&lt;/title&gt;&lt;secondary-title&gt;New England Journal of Medicine&lt;/secondary-title&gt;&lt;/titles&gt;&lt;periodical&gt;&lt;full-title&gt;New England Journal of Medicine&lt;/full-title&gt;&lt;/periodical&gt;&lt;pages&gt;617-629&lt;/pages&gt;&lt;volume&gt;383&lt;/volume&gt;&lt;number&gt;7&lt;/number&gt;&lt;dates&gt;&lt;year&gt;2020&lt;/year&gt;&lt;/dates&gt;&lt;accession-num&gt;32786187&lt;/accession-num&gt;&lt;urls&gt;&lt;related-urls&gt;&lt;url&gt;https://www.nejm.org/doi/full/10.1056/NEJMoa2012971&lt;/url&gt;&lt;/related-urls&gt;&lt;/urls&gt;&lt;electronic-resource-num&gt;10.1056/NEJMoa2012971&lt;/electronic-resource-num&gt;&lt;/record&gt;&lt;/Cite&gt;&lt;/EndNote&gt;</w:instrText>
            </w:r>
            <w:r w:rsidRPr="00056DAA">
              <w:rPr>
                <w:rFonts w:cstheme="minorHAnsi"/>
                <w:sz w:val="18"/>
                <w:szCs w:val="18"/>
              </w:rPr>
              <w:fldChar w:fldCharType="separate"/>
            </w:r>
            <w:r w:rsidR="002D2D6E">
              <w:rPr>
                <w:rFonts w:cstheme="minorHAnsi"/>
                <w:noProof/>
                <w:sz w:val="18"/>
                <w:szCs w:val="18"/>
              </w:rPr>
              <w:t>(2)</w:t>
            </w:r>
            <w:r w:rsidRPr="00056DAA">
              <w:rPr>
                <w:rFonts w:cstheme="minorHAnsi"/>
                <w:sz w:val="18"/>
                <w:szCs w:val="18"/>
              </w:rPr>
              <w:fldChar w:fldCharType="end"/>
            </w:r>
            <w:r w:rsidRPr="00056DAA">
              <w:rPr>
                <w:rFonts w:asciiTheme="minorHAnsi" w:hAnsiTheme="minorHAnsi" w:cstheme="minorHAnsi"/>
                <w:sz w:val="18"/>
                <w:szCs w:val="18"/>
              </w:rPr>
              <w:t>/ 2020</w:t>
            </w:r>
          </w:p>
        </w:tc>
        <w:tc>
          <w:tcPr>
            <w:tcW w:w="1310" w:type="dxa"/>
            <w:tcBorders>
              <w:top w:val="single" w:sz="4" w:space="0" w:color="auto"/>
              <w:left w:val="single" w:sz="4" w:space="0" w:color="auto"/>
              <w:bottom w:val="single" w:sz="4" w:space="0" w:color="auto"/>
              <w:right w:val="single" w:sz="4" w:space="0" w:color="auto"/>
            </w:tcBorders>
            <w:hideMark/>
          </w:tcPr>
          <w:p w14:paraId="0C8D7C8B" w14:textId="77777777" w:rsidR="00056DAA" w:rsidRPr="00056DAA" w:rsidRDefault="00056DAA" w:rsidP="00056DAA">
            <w:pPr>
              <w:rPr>
                <w:rFonts w:asciiTheme="minorHAnsi" w:hAnsiTheme="minorHAnsi" w:cstheme="minorHAnsi"/>
                <w:sz w:val="18"/>
                <w:szCs w:val="18"/>
              </w:rPr>
            </w:pPr>
            <w:r w:rsidRPr="00056DAA">
              <w:rPr>
                <w:rFonts w:asciiTheme="minorHAnsi" w:hAnsiTheme="minorHAnsi" w:cstheme="minorHAnsi"/>
                <w:sz w:val="18"/>
                <w:szCs w:val="18"/>
              </w:rPr>
              <w:t xml:space="preserve">Phase III, Randomized, blinded, controlled Study/ Multi-institutional </w:t>
            </w:r>
          </w:p>
        </w:tc>
        <w:tc>
          <w:tcPr>
            <w:tcW w:w="1629" w:type="dxa"/>
            <w:tcBorders>
              <w:top w:val="single" w:sz="4" w:space="0" w:color="auto"/>
              <w:left w:val="single" w:sz="4" w:space="0" w:color="auto"/>
              <w:bottom w:val="single" w:sz="4" w:space="0" w:color="auto"/>
              <w:right w:val="single" w:sz="4" w:space="0" w:color="auto"/>
            </w:tcBorders>
            <w:hideMark/>
          </w:tcPr>
          <w:p w14:paraId="2AEF9C11" w14:textId="77777777" w:rsidR="00056DAA" w:rsidRPr="00056DAA" w:rsidRDefault="00056DAA" w:rsidP="00056DAA">
            <w:pPr>
              <w:rPr>
                <w:rFonts w:asciiTheme="minorHAnsi" w:hAnsiTheme="minorHAnsi" w:cstheme="minorHAnsi"/>
                <w:sz w:val="18"/>
                <w:szCs w:val="18"/>
              </w:rPr>
            </w:pPr>
            <w:r w:rsidRPr="00056DAA">
              <w:rPr>
                <w:rFonts w:asciiTheme="minorHAnsi" w:hAnsiTheme="minorHAnsi" w:cstheme="minorHAnsi"/>
                <w:sz w:val="18"/>
                <w:szCs w:val="18"/>
              </w:rPr>
              <w:t>All newly diagnosed AML patients unfit for induction chemotherapy because ≥ 75 years or coexisting conditions</w:t>
            </w:r>
          </w:p>
        </w:tc>
        <w:tc>
          <w:tcPr>
            <w:tcW w:w="2486" w:type="dxa"/>
            <w:tcBorders>
              <w:top w:val="single" w:sz="4" w:space="0" w:color="auto"/>
              <w:left w:val="single" w:sz="4" w:space="0" w:color="auto"/>
              <w:bottom w:val="single" w:sz="4" w:space="0" w:color="auto"/>
              <w:right w:val="single" w:sz="4" w:space="0" w:color="auto"/>
            </w:tcBorders>
            <w:hideMark/>
          </w:tcPr>
          <w:p w14:paraId="4542FB29" w14:textId="77777777" w:rsidR="00056DAA" w:rsidRPr="00056DAA" w:rsidRDefault="00056DAA" w:rsidP="00056DAA">
            <w:pPr>
              <w:rPr>
                <w:rFonts w:asciiTheme="minorHAnsi" w:hAnsiTheme="minorHAnsi" w:cstheme="minorHAnsi"/>
                <w:sz w:val="18"/>
                <w:szCs w:val="18"/>
              </w:rPr>
            </w:pPr>
            <w:r w:rsidRPr="00056DAA">
              <w:rPr>
                <w:rFonts w:asciiTheme="minorHAnsi" w:hAnsiTheme="minorHAnsi" w:cstheme="minorHAnsi"/>
                <w:sz w:val="18"/>
                <w:szCs w:val="18"/>
              </w:rPr>
              <w:t>AZA-Placebo (145) vs. AZA-VEN (286)</w:t>
            </w:r>
          </w:p>
        </w:tc>
        <w:tc>
          <w:tcPr>
            <w:tcW w:w="1600" w:type="dxa"/>
            <w:tcBorders>
              <w:top w:val="single" w:sz="4" w:space="0" w:color="auto"/>
              <w:left w:val="single" w:sz="4" w:space="0" w:color="auto"/>
              <w:bottom w:val="single" w:sz="4" w:space="0" w:color="auto"/>
              <w:right w:val="single" w:sz="4" w:space="0" w:color="auto"/>
            </w:tcBorders>
          </w:tcPr>
          <w:p w14:paraId="35AA3C92" w14:textId="77777777" w:rsidR="00056DAA" w:rsidRPr="00056DAA" w:rsidRDefault="00056DAA" w:rsidP="00056DAA">
            <w:pPr>
              <w:rPr>
                <w:rFonts w:asciiTheme="minorHAnsi" w:hAnsiTheme="minorHAnsi" w:cstheme="minorHAnsi"/>
                <w:sz w:val="18"/>
                <w:szCs w:val="18"/>
              </w:rPr>
            </w:pPr>
            <w:r w:rsidRPr="00056DAA">
              <w:rPr>
                <w:rFonts w:asciiTheme="minorHAnsi" w:hAnsiTheme="minorHAnsi" w:cstheme="minorHAnsi"/>
                <w:sz w:val="18"/>
                <w:szCs w:val="18"/>
              </w:rPr>
              <w:t xml:space="preserve">AZA: 75 mg/m2 IV/SC for 7 days of 28 days cycle. VEN: ramp up dose to 400 mg QD. </w:t>
            </w:r>
          </w:p>
          <w:p w14:paraId="5EE27D5C" w14:textId="77777777" w:rsidR="00056DAA" w:rsidRPr="00056DAA" w:rsidRDefault="00056DAA" w:rsidP="00056DAA">
            <w:pPr>
              <w:rPr>
                <w:rFonts w:asciiTheme="minorHAnsi" w:hAnsiTheme="minorHAnsi" w:cstheme="minorHAnsi"/>
                <w:sz w:val="18"/>
                <w:szCs w:val="18"/>
              </w:rPr>
            </w:pPr>
          </w:p>
        </w:tc>
        <w:tc>
          <w:tcPr>
            <w:tcW w:w="2839" w:type="dxa"/>
            <w:tcBorders>
              <w:top w:val="single" w:sz="4" w:space="0" w:color="auto"/>
              <w:left w:val="single" w:sz="4" w:space="0" w:color="auto"/>
              <w:bottom w:val="single" w:sz="4" w:space="0" w:color="auto"/>
              <w:right w:val="single" w:sz="4" w:space="0" w:color="auto"/>
            </w:tcBorders>
          </w:tcPr>
          <w:p w14:paraId="31F027D6" w14:textId="77777777" w:rsidR="00056DAA" w:rsidRPr="00056DAA" w:rsidRDefault="00056DAA" w:rsidP="00056DAA">
            <w:pPr>
              <w:rPr>
                <w:rFonts w:asciiTheme="minorHAnsi" w:hAnsiTheme="minorHAnsi" w:cstheme="minorHAnsi"/>
                <w:sz w:val="18"/>
                <w:szCs w:val="18"/>
              </w:rPr>
            </w:pPr>
            <w:r w:rsidRPr="00056DAA">
              <w:rPr>
                <w:rFonts w:asciiTheme="minorHAnsi" w:hAnsiTheme="minorHAnsi" w:cstheme="minorHAnsi"/>
                <w:sz w:val="18"/>
                <w:szCs w:val="18"/>
              </w:rPr>
              <w:t xml:space="preserve">m-OS: 9.6 vs. 14.7, P&lt;0.01. m-EFS: 7 vs. 9.8, P&lt;0.01. CCR: 28.3% vs. 66.4%, P&lt;0.001. </w:t>
            </w:r>
          </w:p>
          <w:p w14:paraId="6535086B" w14:textId="77777777" w:rsidR="00056DAA" w:rsidRPr="00056DAA" w:rsidRDefault="00056DAA" w:rsidP="00056DAA">
            <w:pPr>
              <w:rPr>
                <w:rFonts w:asciiTheme="minorHAnsi" w:hAnsiTheme="minorHAnsi" w:cstheme="minorHAnsi"/>
                <w:sz w:val="18"/>
                <w:szCs w:val="18"/>
              </w:rPr>
            </w:pPr>
          </w:p>
        </w:tc>
        <w:tc>
          <w:tcPr>
            <w:tcW w:w="3376" w:type="dxa"/>
            <w:tcBorders>
              <w:top w:val="single" w:sz="4" w:space="0" w:color="auto"/>
              <w:left w:val="single" w:sz="4" w:space="0" w:color="auto"/>
              <w:bottom w:val="single" w:sz="4" w:space="0" w:color="auto"/>
              <w:right w:val="single" w:sz="4" w:space="0" w:color="auto"/>
            </w:tcBorders>
            <w:hideMark/>
          </w:tcPr>
          <w:p w14:paraId="3E90DC3E" w14:textId="77777777" w:rsidR="00056DAA" w:rsidRPr="00056DAA" w:rsidRDefault="00056DAA" w:rsidP="00056DAA">
            <w:pPr>
              <w:rPr>
                <w:rFonts w:asciiTheme="minorHAnsi" w:hAnsiTheme="minorHAnsi" w:cstheme="minorHAnsi"/>
                <w:sz w:val="18"/>
                <w:szCs w:val="18"/>
              </w:rPr>
            </w:pPr>
            <w:r w:rsidRPr="00056DAA">
              <w:rPr>
                <w:rFonts w:asciiTheme="minorHAnsi" w:hAnsiTheme="minorHAnsi" w:cstheme="minorHAnsi"/>
                <w:sz w:val="18"/>
                <w:szCs w:val="18"/>
              </w:rPr>
              <w:t xml:space="preserve">-Randomized trials control for both observable and unobservable confounding. </w:t>
            </w:r>
          </w:p>
          <w:p w14:paraId="565E1B87" w14:textId="77777777" w:rsidR="00056DAA" w:rsidRPr="00056DAA" w:rsidRDefault="00056DAA" w:rsidP="00056DAA">
            <w:pPr>
              <w:rPr>
                <w:rFonts w:asciiTheme="minorHAnsi" w:hAnsiTheme="minorHAnsi" w:cstheme="minorHAnsi"/>
                <w:sz w:val="18"/>
                <w:szCs w:val="18"/>
              </w:rPr>
            </w:pPr>
            <w:r w:rsidRPr="00056DAA">
              <w:rPr>
                <w:rFonts w:asciiTheme="minorHAnsi" w:hAnsiTheme="minorHAnsi" w:cstheme="minorHAnsi"/>
                <w:sz w:val="18"/>
                <w:szCs w:val="18"/>
              </w:rPr>
              <w:t xml:space="preserve">-Median follow-up was 20.5 mo. </w:t>
            </w:r>
          </w:p>
        </w:tc>
      </w:tr>
      <w:tr w:rsidR="00056DAA" w:rsidRPr="00056DAA" w14:paraId="258CDDC5" w14:textId="77777777" w:rsidTr="00056DAA">
        <w:trPr>
          <w:trHeight w:val="372"/>
        </w:trPr>
        <w:tc>
          <w:tcPr>
            <w:tcW w:w="1028" w:type="dxa"/>
            <w:tcBorders>
              <w:top w:val="single" w:sz="4" w:space="0" w:color="auto"/>
              <w:left w:val="single" w:sz="4" w:space="0" w:color="auto"/>
              <w:bottom w:val="single" w:sz="4" w:space="0" w:color="auto"/>
              <w:right w:val="single" w:sz="4" w:space="0" w:color="auto"/>
            </w:tcBorders>
            <w:hideMark/>
          </w:tcPr>
          <w:p w14:paraId="4D22B09A" w14:textId="1C5D1C49" w:rsidR="00056DAA" w:rsidRPr="00056DAA" w:rsidRDefault="00056DAA" w:rsidP="00056DAA">
            <w:pPr>
              <w:rPr>
                <w:rFonts w:asciiTheme="minorHAnsi" w:hAnsiTheme="minorHAnsi" w:cstheme="minorHAnsi"/>
                <w:sz w:val="18"/>
                <w:szCs w:val="18"/>
              </w:rPr>
            </w:pPr>
            <w:r w:rsidRPr="00056DAA">
              <w:rPr>
                <w:rFonts w:asciiTheme="minorHAnsi" w:hAnsiTheme="minorHAnsi" w:cstheme="minorHAnsi"/>
                <w:sz w:val="18"/>
                <w:szCs w:val="18"/>
              </w:rPr>
              <w:t>Larbrado</w:t>
            </w:r>
            <w:r w:rsidR="006164CA" w:rsidRPr="006164CA">
              <w:rPr>
                <w:rFonts w:asciiTheme="minorHAnsi" w:hAnsiTheme="minorHAnsi" w:cstheme="minorHAnsi"/>
                <w:sz w:val="18"/>
                <w:szCs w:val="18"/>
              </w:rPr>
              <w:t>r</w:t>
            </w:r>
            <w:r w:rsidRPr="00056DAA">
              <w:rPr>
                <w:rFonts w:asciiTheme="minorHAnsi" w:hAnsiTheme="minorHAnsi" w:cstheme="minorHAnsi"/>
                <w:sz w:val="18"/>
                <w:szCs w:val="18"/>
              </w:rPr>
              <w:t xml:space="preserve"> </w:t>
            </w:r>
            <w:r w:rsidRPr="00056DAA">
              <w:rPr>
                <w:rFonts w:cstheme="minorHAnsi"/>
                <w:sz w:val="18"/>
                <w:szCs w:val="18"/>
              </w:rPr>
              <w:fldChar w:fldCharType="begin"/>
            </w:r>
            <w:r w:rsidR="002D2D6E">
              <w:rPr>
                <w:rFonts w:cstheme="minorHAnsi"/>
                <w:sz w:val="18"/>
                <w:szCs w:val="18"/>
              </w:rPr>
              <w:instrText xml:space="preserve"> ADDIN EN.CITE &lt;EndNote&gt;&lt;Cite&gt;&lt;Author&gt;Labrador&lt;/Author&gt;&lt;Year&gt;2020&lt;/Year&gt;&lt;RecNum&gt;16&lt;/RecNum&gt;&lt;DisplayText&gt;(3)&lt;/DisplayText&gt;&lt;record&gt;&lt;rec-number&gt;16&lt;/rec-number&gt;&lt;foreign-keys&gt;&lt;key app="EN" db-id="5d2tfaxd5v5wt8erttivfvefazxdwf0z5xtz" timestamp="1636309255"&gt;16&lt;/key&gt;&lt;/foreign-keys&gt;&lt;ref-type name="Journal Article"&gt;17&lt;/ref-type&gt;&lt;contributors&gt;&lt;authors&gt;&lt;author&gt;Labrador, Jorge&lt;/author&gt;&lt;author&gt;Martínez-Cuadrón, David&lt;/author&gt;&lt;author&gt;de la Fuente, Adolfo&lt;/author&gt;&lt;author&gt;Rodriguez-Veiga, Rebeca&lt;/author&gt;&lt;author&gt;Serrano, Josefina&lt;/author&gt;&lt;author&gt;Tormo, Mar&lt;/author&gt;&lt;author&gt;Perez-Simon, Jose Antonio&lt;/author&gt;&lt;author&gt;Ramos, Fernando&lt;/author&gt;&lt;author&gt;del Castillo, Teresa Bernal&lt;/author&gt;&lt;author&gt;Lopez-Pavia, Maria&lt;/author&gt;&lt;/authors&gt;&lt;/contributors&gt;&lt;titles&gt;&lt;title&gt;Azacitidine Vs. Decitabine in Unfit Newly Diagnosed Acute Myeloid Leukemia Patients: Results from the Pethema Registry&lt;/title&gt;&lt;secondary-title&gt;Blood&lt;/secondary-title&gt;&lt;/titles&gt;&lt;periodical&gt;&lt;full-title&gt;Blood&lt;/full-title&gt;&lt;abbr-1&gt;Blood&lt;/abbr-1&gt;&lt;/periodical&gt;&lt;pages&gt;25-27&lt;/pages&gt;&lt;volume&gt;136&lt;/volume&gt;&lt;dates&gt;&lt;year&gt;2020&lt;/year&gt;&lt;/dates&gt;&lt;isbn&gt;0006-4971&lt;/isbn&gt;&lt;urls&gt;&lt;/urls&gt;&lt;/record&gt;&lt;/Cite&gt;&lt;/EndNote&gt;</w:instrText>
            </w:r>
            <w:r w:rsidRPr="00056DAA">
              <w:rPr>
                <w:rFonts w:cstheme="minorHAnsi"/>
                <w:sz w:val="18"/>
                <w:szCs w:val="18"/>
              </w:rPr>
              <w:fldChar w:fldCharType="separate"/>
            </w:r>
            <w:r w:rsidR="002D2D6E">
              <w:rPr>
                <w:rFonts w:cstheme="minorHAnsi"/>
                <w:noProof/>
                <w:sz w:val="18"/>
                <w:szCs w:val="18"/>
              </w:rPr>
              <w:t>(3)</w:t>
            </w:r>
            <w:r w:rsidRPr="00056DAA">
              <w:rPr>
                <w:rFonts w:cstheme="minorHAnsi"/>
                <w:sz w:val="18"/>
                <w:szCs w:val="18"/>
              </w:rPr>
              <w:fldChar w:fldCharType="end"/>
            </w:r>
            <w:r w:rsidRPr="00056DAA">
              <w:rPr>
                <w:rFonts w:asciiTheme="minorHAnsi" w:hAnsiTheme="minorHAnsi" w:cstheme="minorHAnsi"/>
                <w:sz w:val="18"/>
                <w:szCs w:val="18"/>
              </w:rPr>
              <w:t>/ 2020</w:t>
            </w:r>
          </w:p>
        </w:tc>
        <w:tc>
          <w:tcPr>
            <w:tcW w:w="1310" w:type="dxa"/>
            <w:tcBorders>
              <w:top w:val="single" w:sz="4" w:space="0" w:color="auto"/>
              <w:left w:val="single" w:sz="4" w:space="0" w:color="auto"/>
              <w:bottom w:val="single" w:sz="4" w:space="0" w:color="auto"/>
              <w:right w:val="single" w:sz="4" w:space="0" w:color="auto"/>
            </w:tcBorders>
            <w:hideMark/>
          </w:tcPr>
          <w:p w14:paraId="46DDE3C7" w14:textId="77777777" w:rsidR="00056DAA" w:rsidRPr="00056DAA" w:rsidRDefault="00056DAA" w:rsidP="00056DAA">
            <w:pPr>
              <w:rPr>
                <w:rFonts w:asciiTheme="minorHAnsi" w:hAnsiTheme="minorHAnsi" w:cstheme="minorHAnsi"/>
                <w:sz w:val="18"/>
                <w:szCs w:val="18"/>
              </w:rPr>
            </w:pPr>
            <w:r w:rsidRPr="00056DAA">
              <w:rPr>
                <w:rFonts w:asciiTheme="minorHAnsi" w:hAnsiTheme="minorHAnsi" w:cstheme="minorHAnsi"/>
                <w:sz w:val="18"/>
                <w:szCs w:val="18"/>
              </w:rPr>
              <w:t>Retrospective cohort/ Database. Multi-institutional</w:t>
            </w:r>
          </w:p>
        </w:tc>
        <w:tc>
          <w:tcPr>
            <w:tcW w:w="1629" w:type="dxa"/>
            <w:tcBorders>
              <w:top w:val="single" w:sz="4" w:space="0" w:color="auto"/>
              <w:left w:val="single" w:sz="4" w:space="0" w:color="auto"/>
              <w:bottom w:val="single" w:sz="4" w:space="0" w:color="auto"/>
              <w:right w:val="single" w:sz="4" w:space="0" w:color="auto"/>
            </w:tcBorders>
            <w:hideMark/>
          </w:tcPr>
          <w:p w14:paraId="49782F58" w14:textId="77777777" w:rsidR="00056DAA" w:rsidRPr="00056DAA" w:rsidRDefault="00056DAA" w:rsidP="00056DAA">
            <w:pPr>
              <w:rPr>
                <w:rFonts w:asciiTheme="minorHAnsi" w:hAnsiTheme="minorHAnsi" w:cstheme="minorHAnsi"/>
                <w:sz w:val="18"/>
                <w:szCs w:val="18"/>
              </w:rPr>
            </w:pPr>
            <w:r w:rsidRPr="00056DAA">
              <w:rPr>
                <w:rFonts w:asciiTheme="minorHAnsi" w:hAnsiTheme="minorHAnsi" w:cstheme="minorHAnsi"/>
                <w:sz w:val="18"/>
                <w:szCs w:val="18"/>
              </w:rPr>
              <w:t>Newly diagnosed AML patients unfit for induction</w:t>
            </w:r>
          </w:p>
        </w:tc>
        <w:tc>
          <w:tcPr>
            <w:tcW w:w="2486" w:type="dxa"/>
            <w:tcBorders>
              <w:top w:val="single" w:sz="4" w:space="0" w:color="auto"/>
              <w:left w:val="single" w:sz="4" w:space="0" w:color="auto"/>
              <w:bottom w:val="single" w:sz="4" w:space="0" w:color="auto"/>
              <w:right w:val="single" w:sz="4" w:space="0" w:color="auto"/>
            </w:tcBorders>
            <w:hideMark/>
          </w:tcPr>
          <w:p w14:paraId="22BD2BF2" w14:textId="77777777" w:rsidR="00056DAA" w:rsidRPr="00056DAA" w:rsidRDefault="00056DAA" w:rsidP="00056DAA">
            <w:pPr>
              <w:rPr>
                <w:rFonts w:asciiTheme="minorHAnsi" w:hAnsiTheme="minorHAnsi" w:cstheme="minorHAnsi"/>
                <w:sz w:val="18"/>
                <w:szCs w:val="18"/>
              </w:rPr>
            </w:pPr>
            <w:r w:rsidRPr="00056DAA">
              <w:rPr>
                <w:rFonts w:asciiTheme="minorHAnsi" w:hAnsiTheme="minorHAnsi" w:cstheme="minorHAnsi"/>
                <w:sz w:val="18"/>
                <w:szCs w:val="18"/>
              </w:rPr>
              <w:t xml:space="preserve">AZA (497) vs. DEC (141). </w:t>
            </w:r>
          </w:p>
        </w:tc>
        <w:tc>
          <w:tcPr>
            <w:tcW w:w="1600" w:type="dxa"/>
            <w:tcBorders>
              <w:top w:val="single" w:sz="4" w:space="0" w:color="auto"/>
              <w:left w:val="single" w:sz="4" w:space="0" w:color="auto"/>
              <w:bottom w:val="single" w:sz="4" w:space="0" w:color="auto"/>
              <w:right w:val="single" w:sz="4" w:space="0" w:color="auto"/>
            </w:tcBorders>
          </w:tcPr>
          <w:p w14:paraId="4E4BA8BF" w14:textId="77777777" w:rsidR="00056DAA" w:rsidRPr="00056DAA" w:rsidRDefault="00056DAA" w:rsidP="00056DAA">
            <w:pPr>
              <w:rPr>
                <w:rFonts w:asciiTheme="minorHAnsi" w:hAnsiTheme="minorHAnsi" w:cstheme="minorHAnsi"/>
                <w:sz w:val="18"/>
                <w:szCs w:val="18"/>
              </w:rPr>
            </w:pPr>
            <w:r w:rsidRPr="00056DAA">
              <w:rPr>
                <w:rFonts w:asciiTheme="minorHAnsi" w:hAnsiTheme="minorHAnsi" w:cstheme="minorHAnsi"/>
                <w:sz w:val="18"/>
                <w:szCs w:val="18"/>
              </w:rPr>
              <w:t xml:space="preserve">AZA: 75 mg/m2 IV/SC for 7 days of 28 days cycle. </w:t>
            </w:r>
          </w:p>
          <w:p w14:paraId="47958C51" w14:textId="77777777" w:rsidR="00056DAA" w:rsidRPr="00056DAA" w:rsidRDefault="00056DAA" w:rsidP="00056DAA">
            <w:pPr>
              <w:rPr>
                <w:rFonts w:asciiTheme="minorHAnsi" w:hAnsiTheme="minorHAnsi" w:cstheme="minorHAnsi"/>
                <w:sz w:val="18"/>
                <w:szCs w:val="18"/>
              </w:rPr>
            </w:pPr>
            <w:r w:rsidRPr="00056DAA">
              <w:rPr>
                <w:rFonts w:asciiTheme="minorHAnsi" w:hAnsiTheme="minorHAnsi" w:cstheme="minorHAnsi"/>
                <w:sz w:val="18"/>
                <w:szCs w:val="18"/>
              </w:rPr>
              <w:t xml:space="preserve">DEC: 20 mg/m2 IV/SC for 5 days of 28 days cycle. </w:t>
            </w:r>
          </w:p>
          <w:p w14:paraId="4F34CC9A" w14:textId="77777777" w:rsidR="00056DAA" w:rsidRPr="00056DAA" w:rsidRDefault="00056DAA" w:rsidP="00056DAA">
            <w:pPr>
              <w:rPr>
                <w:rFonts w:asciiTheme="minorHAnsi" w:hAnsiTheme="minorHAnsi" w:cstheme="minorHAnsi"/>
                <w:sz w:val="18"/>
                <w:szCs w:val="18"/>
              </w:rPr>
            </w:pPr>
          </w:p>
        </w:tc>
        <w:tc>
          <w:tcPr>
            <w:tcW w:w="2839" w:type="dxa"/>
            <w:tcBorders>
              <w:top w:val="single" w:sz="4" w:space="0" w:color="auto"/>
              <w:left w:val="single" w:sz="4" w:space="0" w:color="auto"/>
              <w:bottom w:val="single" w:sz="4" w:space="0" w:color="auto"/>
              <w:right w:val="single" w:sz="4" w:space="0" w:color="auto"/>
            </w:tcBorders>
          </w:tcPr>
          <w:p w14:paraId="379A0D3B" w14:textId="77777777" w:rsidR="00056DAA" w:rsidRPr="00056DAA" w:rsidRDefault="00056DAA" w:rsidP="00056DAA">
            <w:pPr>
              <w:rPr>
                <w:rFonts w:asciiTheme="minorHAnsi" w:hAnsiTheme="minorHAnsi" w:cstheme="minorHAnsi"/>
                <w:sz w:val="18"/>
                <w:szCs w:val="18"/>
              </w:rPr>
            </w:pPr>
            <w:r w:rsidRPr="00056DAA">
              <w:rPr>
                <w:rFonts w:asciiTheme="minorHAnsi" w:hAnsiTheme="minorHAnsi" w:cstheme="minorHAnsi"/>
                <w:sz w:val="18"/>
                <w:szCs w:val="18"/>
              </w:rPr>
              <w:t xml:space="preserve">m-OS: 10 vs. 8, P=0.46. CCR: 18.5% vs. 22%, P=0.35. </w:t>
            </w:r>
          </w:p>
          <w:p w14:paraId="2BFA6FBE" w14:textId="77777777" w:rsidR="00056DAA" w:rsidRPr="00056DAA" w:rsidRDefault="00056DAA" w:rsidP="00056DAA">
            <w:pPr>
              <w:rPr>
                <w:rFonts w:asciiTheme="minorHAnsi" w:hAnsiTheme="minorHAnsi" w:cstheme="minorHAnsi"/>
                <w:sz w:val="18"/>
                <w:szCs w:val="18"/>
              </w:rPr>
            </w:pPr>
          </w:p>
        </w:tc>
        <w:tc>
          <w:tcPr>
            <w:tcW w:w="3376" w:type="dxa"/>
            <w:tcBorders>
              <w:top w:val="single" w:sz="4" w:space="0" w:color="auto"/>
              <w:left w:val="single" w:sz="4" w:space="0" w:color="auto"/>
              <w:bottom w:val="single" w:sz="4" w:space="0" w:color="auto"/>
              <w:right w:val="single" w:sz="4" w:space="0" w:color="auto"/>
            </w:tcBorders>
            <w:hideMark/>
          </w:tcPr>
          <w:p w14:paraId="419DA7A9" w14:textId="77777777" w:rsidR="00056DAA" w:rsidRPr="00056DAA" w:rsidRDefault="00056DAA" w:rsidP="00056DAA">
            <w:pPr>
              <w:rPr>
                <w:rFonts w:asciiTheme="minorHAnsi" w:hAnsiTheme="minorHAnsi" w:cstheme="minorHAnsi"/>
                <w:sz w:val="18"/>
                <w:szCs w:val="18"/>
              </w:rPr>
            </w:pPr>
            <w:r w:rsidRPr="00056DAA">
              <w:rPr>
                <w:rFonts w:asciiTheme="minorHAnsi" w:hAnsiTheme="minorHAnsi" w:cstheme="minorHAnsi"/>
                <w:sz w:val="18"/>
                <w:szCs w:val="18"/>
              </w:rPr>
              <w:t>-Outcomes were not adjusted. Median follow-up was 12 mo.</w:t>
            </w:r>
          </w:p>
          <w:p w14:paraId="5835DDDA" w14:textId="77777777" w:rsidR="00056DAA" w:rsidRPr="00056DAA" w:rsidRDefault="00056DAA" w:rsidP="00056DAA">
            <w:pPr>
              <w:rPr>
                <w:rFonts w:asciiTheme="minorHAnsi" w:hAnsiTheme="minorHAnsi" w:cstheme="minorHAnsi"/>
                <w:sz w:val="18"/>
                <w:szCs w:val="18"/>
              </w:rPr>
            </w:pPr>
            <w:r w:rsidRPr="00056DAA">
              <w:rPr>
                <w:rFonts w:asciiTheme="minorHAnsi" w:hAnsiTheme="minorHAnsi" w:cstheme="minorHAnsi"/>
                <w:sz w:val="18"/>
                <w:szCs w:val="18"/>
              </w:rPr>
              <w:t xml:space="preserve">- Published in abstract form. </w:t>
            </w:r>
          </w:p>
        </w:tc>
      </w:tr>
      <w:tr w:rsidR="00056DAA" w:rsidRPr="00056DAA" w14:paraId="153CF952" w14:textId="77777777" w:rsidTr="00056DAA">
        <w:trPr>
          <w:trHeight w:val="372"/>
        </w:trPr>
        <w:tc>
          <w:tcPr>
            <w:tcW w:w="1028" w:type="dxa"/>
            <w:tcBorders>
              <w:top w:val="single" w:sz="4" w:space="0" w:color="auto"/>
              <w:left w:val="single" w:sz="4" w:space="0" w:color="auto"/>
              <w:bottom w:val="single" w:sz="4" w:space="0" w:color="auto"/>
              <w:right w:val="single" w:sz="4" w:space="0" w:color="auto"/>
            </w:tcBorders>
            <w:hideMark/>
          </w:tcPr>
          <w:p w14:paraId="2824A5C9" w14:textId="68AF36AB" w:rsidR="00056DAA" w:rsidRPr="00056DAA" w:rsidRDefault="00056DAA" w:rsidP="00056DAA">
            <w:pPr>
              <w:rPr>
                <w:rFonts w:asciiTheme="minorHAnsi" w:hAnsiTheme="minorHAnsi" w:cstheme="minorHAnsi"/>
                <w:sz w:val="18"/>
                <w:szCs w:val="18"/>
              </w:rPr>
            </w:pPr>
            <w:r w:rsidRPr="00056DAA">
              <w:rPr>
                <w:rFonts w:asciiTheme="minorHAnsi" w:hAnsiTheme="minorHAnsi" w:cstheme="minorHAnsi"/>
                <w:sz w:val="18"/>
                <w:szCs w:val="18"/>
              </w:rPr>
              <w:lastRenderedPageBreak/>
              <w:t xml:space="preserve">Morsia </w:t>
            </w:r>
            <w:r w:rsidRPr="00056DAA">
              <w:rPr>
                <w:rFonts w:cstheme="minorHAnsi"/>
                <w:sz w:val="18"/>
                <w:szCs w:val="18"/>
              </w:rPr>
              <w:fldChar w:fldCharType="begin"/>
            </w:r>
            <w:r w:rsidR="002D2D6E">
              <w:rPr>
                <w:rFonts w:cstheme="minorHAnsi"/>
                <w:sz w:val="18"/>
                <w:szCs w:val="18"/>
              </w:rPr>
              <w:instrText xml:space="preserve"> ADDIN EN.CITE &lt;EndNote&gt;&lt;Cite&gt;&lt;Author&gt;Morsia&lt;/Author&gt;&lt;Year&gt;2020&lt;/Year&gt;&lt;RecNum&gt;24&lt;/RecNum&gt;&lt;DisplayText&gt;(4)&lt;/DisplayText&gt;&lt;record&gt;&lt;rec-number&gt;24&lt;/rec-number&gt;&lt;foreign-keys&gt;&lt;key app="EN" db-id="5d2tfaxd5v5wt8erttivfvefazxdwf0z5xtz" timestamp="1636319141"&gt;24&lt;/key&gt;&lt;/foreign-keys&gt;&lt;ref-type name="Journal Article"&gt;17&lt;/ref-type&gt;&lt;contributors&gt;&lt;authors&gt;&lt;author&gt;Morsia, Erika&lt;/author&gt;&lt;author&gt;McCullough, Kristen&lt;/author&gt;&lt;author&gt;Joshi, Maansi&lt;/author&gt;&lt;author&gt;Cook, Joselle&lt;/author&gt;&lt;author&gt;Alkhateeb, Hassan B.&lt;/author&gt;&lt;author&gt;Al-Kali, Aref&lt;/author&gt;&lt;author&gt;Begna, Kebede&lt;/author&gt;&lt;author&gt;Elliott, Michelle&lt;/author&gt;&lt;author&gt;Hogan, William&lt;/author&gt;&lt;author&gt;Litzow, Mark&lt;/author&gt;&lt;author&gt;Shah, Mithun&lt;/author&gt;&lt;author&gt;Pardanani, Animesh&lt;/author&gt;&lt;author&gt;Patnaik, Mrinal&lt;/author&gt;&lt;author&gt;Tefferi, Ayalew&lt;/author&gt;&lt;author&gt;Gangat, Naseema&lt;/author&gt;&lt;/authors&gt;&lt;/contributors&gt;&lt;titles&gt;&lt;title&gt;Venetoclax and hypomethylating agents in acute myeloid leukemia: Mayo Clinic series on 86 patients&lt;/title&gt;&lt;secondary-title&gt;American Journal of Hematology&lt;/secondary-title&gt;&lt;/titles&gt;&lt;periodical&gt;&lt;full-title&gt;American Journal of Hematology&lt;/full-title&gt;&lt;/periodical&gt;&lt;pages&gt;1511-1521&lt;/pages&gt;&lt;volume&gt;95&lt;/volume&gt;&lt;number&gt;12&lt;/number&gt;&lt;dates&gt;&lt;year&gt;2020&lt;/year&gt;&lt;/dates&gt;&lt;isbn&gt;0361-8609&lt;/isbn&gt;&lt;urls&gt;&lt;related-urls&gt;&lt;url&gt;https://onlinelibrary.wiley.com/doi/abs/10.1002/ajh.25978&lt;/url&gt;&lt;/related-urls&gt;&lt;/urls&gt;&lt;electronic-resource-num&gt;https://doi.org/10.1002/ajh.25978&lt;/electronic-resource-num&gt;&lt;/record&gt;&lt;/Cite&gt;&lt;/EndNote&gt;</w:instrText>
            </w:r>
            <w:r w:rsidRPr="00056DAA">
              <w:rPr>
                <w:rFonts w:cstheme="minorHAnsi"/>
                <w:sz w:val="18"/>
                <w:szCs w:val="18"/>
              </w:rPr>
              <w:fldChar w:fldCharType="separate"/>
            </w:r>
            <w:r w:rsidR="002D2D6E">
              <w:rPr>
                <w:rFonts w:cstheme="minorHAnsi"/>
                <w:noProof/>
                <w:sz w:val="18"/>
                <w:szCs w:val="18"/>
              </w:rPr>
              <w:t>(4)</w:t>
            </w:r>
            <w:r w:rsidRPr="00056DAA">
              <w:rPr>
                <w:rFonts w:cstheme="minorHAnsi"/>
                <w:sz w:val="18"/>
                <w:szCs w:val="18"/>
              </w:rPr>
              <w:fldChar w:fldCharType="end"/>
            </w:r>
            <w:r w:rsidRPr="00056DAA">
              <w:rPr>
                <w:rFonts w:asciiTheme="minorHAnsi" w:hAnsiTheme="minorHAnsi" w:cstheme="minorHAnsi"/>
                <w:sz w:val="18"/>
                <w:szCs w:val="18"/>
              </w:rPr>
              <w:t>/2020</w:t>
            </w:r>
          </w:p>
        </w:tc>
        <w:tc>
          <w:tcPr>
            <w:tcW w:w="1310" w:type="dxa"/>
            <w:tcBorders>
              <w:top w:val="single" w:sz="4" w:space="0" w:color="auto"/>
              <w:left w:val="single" w:sz="4" w:space="0" w:color="auto"/>
              <w:bottom w:val="single" w:sz="4" w:space="0" w:color="auto"/>
              <w:right w:val="single" w:sz="4" w:space="0" w:color="auto"/>
            </w:tcBorders>
            <w:hideMark/>
          </w:tcPr>
          <w:p w14:paraId="20F8D3FB" w14:textId="77777777" w:rsidR="00056DAA" w:rsidRPr="00056DAA" w:rsidRDefault="00056DAA" w:rsidP="00056DAA">
            <w:pPr>
              <w:rPr>
                <w:rFonts w:asciiTheme="minorHAnsi" w:hAnsiTheme="minorHAnsi" w:cstheme="minorHAnsi"/>
                <w:sz w:val="18"/>
                <w:szCs w:val="18"/>
              </w:rPr>
            </w:pPr>
            <w:r w:rsidRPr="00056DAA">
              <w:rPr>
                <w:rFonts w:asciiTheme="minorHAnsi" w:hAnsiTheme="minorHAnsi" w:cstheme="minorHAnsi"/>
                <w:sz w:val="18"/>
                <w:szCs w:val="18"/>
              </w:rPr>
              <w:t>Retrospective cohort/ Single-center</w:t>
            </w:r>
          </w:p>
        </w:tc>
        <w:tc>
          <w:tcPr>
            <w:tcW w:w="1629" w:type="dxa"/>
            <w:tcBorders>
              <w:top w:val="single" w:sz="4" w:space="0" w:color="auto"/>
              <w:left w:val="single" w:sz="4" w:space="0" w:color="auto"/>
              <w:bottom w:val="single" w:sz="4" w:space="0" w:color="auto"/>
              <w:right w:val="single" w:sz="4" w:space="0" w:color="auto"/>
            </w:tcBorders>
            <w:hideMark/>
          </w:tcPr>
          <w:p w14:paraId="04E9145C" w14:textId="77777777" w:rsidR="00056DAA" w:rsidRPr="00056DAA" w:rsidRDefault="00056DAA" w:rsidP="00056DAA">
            <w:pPr>
              <w:rPr>
                <w:rFonts w:asciiTheme="minorHAnsi" w:hAnsiTheme="minorHAnsi" w:cstheme="minorHAnsi"/>
                <w:sz w:val="18"/>
                <w:szCs w:val="18"/>
              </w:rPr>
            </w:pPr>
            <w:r w:rsidRPr="00056DAA">
              <w:rPr>
                <w:rFonts w:asciiTheme="minorHAnsi" w:hAnsiTheme="minorHAnsi" w:cstheme="minorHAnsi"/>
                <w:sz w:val="18"/>
                <w:szCs w:val="18"/>
              </w:rPr>
              <w:t>All newly diagnosed  and R/R AML patients treated with HMA with or without VEN. Patients ≥ 18 years.</w:t>
            </w:r>
          </w:p>
        </w:tc>
        <w:tc>
          <w:tcPr>
            <w:tcW w:w="2486" w:type="dxa"/>
            <w:tcBorders>
              <w:top w:val="single" w:sz="4" w:space="0" w:color="auto"/>
              <w:left w:val="single" w:sz="4" w:space="0" w:color="auto"/>
              <w:bottom w:val="single" w:sz="4" w:space="0" w:color="auto"/>
              <w:right w:val="single" w:sz="4" w:space="0" w:color="auto"/>
            </w:tcBorders>
          </w:tcPr>
          <w:p w14:paraId="7CBECE88" w14:textId="77777777" w:rsidR="00056DAA" w:rsidRPr="00056DAA" w:rsidRDefault="00056DAA" w:rsidP="00056DAA">
            <w:pPr>
              <w:rPr>
                <w:rFonts w:asciiTheme="minorHAnsi" w:hAnsiTheme="minorHAnsi" w:cstheme="minorHAnsi"/>
                <w:sz w:val="18"/>
                <w:szCs w:val="18"/>
              </w:rPr>
            </w:pPr>
            <w:r w:rsidRPr="00056DAA">
              <w:rPr>
                <w:rFonts w:asciiTheme="minorHAnsi" w:hAnsiTheme="minorHAnsi" w:cstheme="minorHAnsi"/>
                <w:sz w:val="18"/>
                <w:szCs w:val="18"/>
              </w:rPr>
              <w:t>- HMA vs. HMA-VEN (86).</w:t>
            </w:r>
          </w:p>
          <w:p w14:paraId="64E41051" w14:textId="77777777" w:rsidR="006164CA" w:rsidRPr="006164CA" w:rsidRDefault="00056DAA" w:rsidP="00056DAA">
            <w:pPr>
              <w:rPr>
                <w:rFonts w:asciiTheme="minorHAnsi" w:hAnsiTheme="minorHAnsi" w:cstheme="minorHAnsi"/>
                <w:sz w:val="18"/>
                <w:szCs w:val="18"/>
              </w:rPr>
            </w:pPr>
            <w:r w:rsidRPr="00056DAA">
              <w:rPr>
                <w:rFonts w:asciiTheme="minorHAnsi" w:hAnsiTheme="minorHAnsi" w:cstheme="minorHAnsi"/>
                <w:sz w:val="18"/>
                <w:szCs w:val="18"/>
              </w:rPr>
              <w:t xml:space="preserve">- Newly diagnosed AML: </w:t>
            </w:r>
          </w:p>
          <w:p w14:paraId="3F0631B1" w14:textId="2732DA0E" w:rsidR="00056DAA" w:rsidRPr="00056DAA" w:rsidRDefault="00056DAA" w:rsidP="00056DAA">
            <w:pPr>
              <w:rPr>
                <w:rFonts w:asciiTheme="minorHAnsi" w:hAnsiTheme="minorHAnsi" w:cstheme="minorHAnsi"/>
                <w:sz w:val="18"/>
                <w:szCs w:val="18"/>
              </w:rPr>
            </w:pPr>
            <w:r w:rsidRPr="00056DAA">
              <w:rPr>
                <w:rFonts w:asciiTheme="minorHAnsi" w:hAnsiTheme="minorHAnsi" w:cstheme="minorHAnsi"/>
                <w:sz w:val="18"/>
                <w:szCs w:val="18"/>
              </w:rPr>
              <w:t>- HMA  (56) vs. HMA-VEN (44).</w:t>
            </w:r>
          </w:p>
          <w:p w14:paraId="6BAD178F" w14:textId="77777777" w:rsidR="00056DAA" w:rsidRPr="00056DAA" w:rsidRDefault="00056DAA" w:rsidP="00056DAA">
            <w:pPr>
              <w:rPr>
                <w:rFonts w:asciiTheme="minorHAnsi" w:hAnsiTheme="minorHAnsi" w:cstheme="minorHAnsi"/>
                <w:sz w:val="18"/>
                <w:szCs w:val="18"/>
              </w:rPr>
            </w:pPr>
          </w:p>
          <w:p w14:paraId="6A6DB4FE" w14:textId="77777777" w:rsidR="00056DAA" w:rsidRPr="00056DAA" w:rsidRDefault="00056DAA" w:rsidP="00056DAA">
            <w:pPr>
              <w:rPr>
                <w:rFonts w:asciiTheme="minorHAnsi" w:hAnsiTheme="minorHAnsi" w:cstheme="minorHAnsi"/>
                <w:sz w:val="18"/>
                <w:szCs w:val="18"/>
              </w:rPr>
            </w:pPr>
          </w:p>
        </w:tc>
        <w:tc>
          <w:tcPr>
            <w:tcW w:w="1600" w:type="dxa"/>
            <w:tcBorders>
              <w:top w:val="single" w:sz="4" w:space="0" w:color="auto"/>
              <w:left w:val="single" w:sz="4" w:space="0" w:color="auto"/>
              <w:bottom w:val="single" w:sz="4" w:space="0" w:color="auto"/>
              <w:right w:val="single" w:sz="4" w:space="0" w:color="auto"/>
            </w:tcBorders>
            <w:hideMark/>
          </w:tcPr>
          <w:p w14:paraId="0DC571C8" w14:textId="77777777" w:rsidR="00056DAA" w:rsidRPr="00056DAA" w:rsidRDefault="00056DAA" w:rsidP="00056DAA">
            <w:pPr>
              <w:rPr>
                <w:rFonts w:asciiTheme="minorHAnsi" w:hAnsiTheme="minorHAnsi" w:cstheme="minorHAnsi"/>
                <w:sz w:val="18"/>
                <w:szCs w:val="18"/>
              </w:rPr>
            </w:pPr>
            <w:r w:rsidRPr="00056DAA">
              <w:rPr>
                <w:rFonts w:asciiTheme="minorHAnsi" w:hAnsiTheme="minorHAnsi" w:cstheme="minorHAnsi"/>
                <w:sz w:val="18"/>
                <w:szCs w:val="18"/>
              </w:rPr>
              <w:t xml:space="preserve">AZA: 75 mg/m2 IV/SC for 7 days of 28 days cycle. </w:t>
            </w:r>
          </w:p>
          <w:p w14:paraId="6AAAC2A5" w14:textId="77777777" w:rsidR="00056DAA" w:rsidRPr="00056DAA" w:rsidRDefault="00056DAA" w:rsidP="00056DAA">
            <w:pPr>
              <w:rPr>
                <w:rFonts w:asciiTheme="minorHAnsi" w:hAnsiTheme="minorHAnsi" w:cstheme="minorHAnsi"/>
                <w:sz w:val="18"/>
                <w:szCs w:val="18"/>
              </w:rPr>
            </w:pPr>
            <w:r w:rsidRPr="00056DAA">
              <w:rPr>
                <w:rFonts w:asciiTheme="minorHAnsi" w:hAnsiTheme="minorHAnsi" w:cstheme="minorHAnsi"/>
                <w:sz w:val="18"/>
                <w:szCs w:val="18"/>
              </w:rPr>
              <w:t>DEC: 20 mg/m2 IV/SC for 5 days of 28 days cycle.</w:t>
            </w:r>
          </w:p>
        </w:tc>
        <w:tc>
          <w:tcPr>
            <w:tcW w:w="2839" w:type="dxa"/>
            <w:tcBorders>
              <w:top w:val="single" w:sz="4" w:space="0" w:color="auto"/>
              <w:left w:val="single" w:sz="4" w:space="0" w:color="auto"/>
              <w:bottom w:val="single" w:sz="4" w:space="0" w:color="auto"/>
              <w:right w:val="single" w:sz="4" w:space="0" w:color="auto"/>
            </w:tcBorders>
          </w:tcPr>
          <w:p w14:paraId="33FA2E9A" w14:textId="77777777" w:rsidR="00056DAA" w:rsidRPr="00056DAA" w:rsidRDefault="00056DAA" w:rsidP="00056DAA">
            <w:pPr>
              <w:rPr>
                <w:rFonts w:asciiTheme="minorHAnsi" w:hAnsiTheme="minorHAnsi" w:cstheme="minorHAnsi"/>
                <w:sz w:val="18"/>
                <w:szCs w:val="18"/>
              </w:rPr>
            </w:pPr>
            <w:r w:rsidRPr="00056DAA">
              <w:rPr>
                <w:rFonts w:asciiTheme="minorHAnsi" w:hAnsiTheme="minorHAnsi" w:cstheme="minorHAnsi"/>
                <w:sz w:val="18"/>
                <w:szCs w:val="18"/>
              </w:rPr>
              <w:t xml:space="preserve">In newly diagnosed AML: m-OS: 9.5 vs. 11, P=0.56. CCR: 23% vs. 50%, P&lt;0.01. </w:t>
            </w:r>
          </w:p>
          <w:p w14:paraId="1FDA8AB0" w14:textId="77777777" w:rsidR="00056DAA" w:rsidRPr="00056DAA" w:rsidRDefault="00056DAA" w:rsidP="00056DAA">
            <w:pPr>
              <w:rPr>
                <w:rFonts w:asciiTheme="minorHAnsi" w:hAnsiTheme="minorHAnsi" w:cstheme="minorHAnsi"/>
                <w:sz w:val="18"/>
                <w:szCs w:val="18"/>
              </w:rPr>
            </w:pPr>
          </w:p>
        </w:tc>
        <w:tc>
          <w:tcPr>
            <w:tcW w:w="3376" w:type="dxa"/>
            <w:tcBorders>
              <w:top w:val="single" w:sz="4" w:space="0" w:color="auto"/>
              <w:left w:val="single" w:sz="4" w:space="0" w:color="auto"/>
              <w:bottom w:val="single" w:sz="4" w:space="0" w:color="auto"/>
              <w:right w:val="single" w:sz="4" w:space="0" w:color="auto"/>
            </w:tcBorders>
            <w:hideMark/>
          </w:tcPr>
          <w:p w14:paraId="1E073305" w14:textId="77777777" w:rsidR="00056DAA" w:rsidRPr="00056DAA" w:rsidRDefault="00056DAA" w:rsidP="00056DAA">
            <w:pPr>
              <w:rPr>
                <w:rFonts w:asciiTheme="minorHAnsi" w:hAnsiTheme="minorHAnsi" w:cstheme="minorHAnsi"/>
                <w:sz w:val="18"/>
                <w:szCs w:val="18"/>
              </w:rPr>
            </w:pPr>
            <w:r w:rsidRPr="00056DAA">
              <w:rPr>
                <w:rFonts w:asciiTheme="minorHAnsi" w:hAnsiTheme="minorHAnsi" w:cstheme="minorHAnsi"/>
                <w:sz w:val="18"/>
                <w:szCs w:val="18"/>
              </w:rPr>
              <w:t xml:space="preserve">-The HMA-VEN arm patients were matched with HMA patients. The method of matching was not specified. </w:t>
            </w:r>
          </w:p>
        </w:tc>
      </w:tr>
      <w:tr w:rsidR="00056DAA" w:rsidRPr="00056DAA" w14:paraId="25781F9D" w14:textId="77777777" w:rsidTr="00056DAA">
        <w:trPr>
          <w:trHeight w:val="361"/>
        </w:trPr>
        <w:tc>
          <w:tcPr>
            <w:tcW w:w="1028" w:type="dxa"/>
            <w:tcBorders>
              <w:top w:val="single" w:sz="4" w:space="0" w:color="auto"/>
              <w:left w:val="single" w:sz="4" w:space="0" w:color="auto"/>
              <w:bottom w:val="single" w:sz="4" w:space="0" w:color="auto"/>
              <w:right w:val="single" w:sz="4" w:space="0" w:color="auto"/>
            </w:tcBorders>
            <w:hideMark/>
          </w:tcPr>
          <w:p w14:paraId="5F358299" w14:textId="59626FDB" w:rsidR="00056DAA" w:rsidRPr="00056DAA" w:rsidRDefault="00056DAA" w:rsidP="00056DAA">
            <w:pPr>
              <w:rPr>
                <w:rFonts w:asciiTheme="minorHAnsi" w:hAnsiTheme="minorHAnsi" w:cstheme="minorHAnsi"/>
                <w:sz w:val="18"/>
                <w:szCs w:val="18"/>
              </w:rPr>
            </w:pPr>
            <w:r w:rsidRPr="00056DAA">
              <w:rPr>
                <w:rFonts w:asciiTheme="minorHAnsi" w:hAnsiTheme="minorHAnsi" w:cstheme="minorHAnsi"/>
                <w:sz w:val="18"/>
                <w:szCs w:val="18"/>
              </w:rPr>
              <w:t xml:space="preserve">Wen </w:t>
            </w:r>
            <w:r w:rsidRPr="00056DAA">
              <w:rPr>
                <w:rFonts w:cstheme="minorHAnsi"/>
                <w:sz w:val="18"/>
                <w:szCs w:val="18"/>
              </w:rPr>
              <w:fldChar w:fldCharType="begin">
                <w:fldData xml:space="preserve">PEVuZE5vdGU+PENpdGU+PEF1dGhvcj5XZW48L0F1dGhvcj48WWVhcj4yMDIwPC9ZZWFyPjxSZWNO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</w:fldData>
              </w:fldChar>
            </w:r>
            <w:r w:rsidR="002D2D6E">
              <w:rPr>
                <w:rFonts w:cstheme="minorHAnsi"/>
                <w:sz w:val="18"/>
                <w:szCs w:val="18"/>
              </w:rPr>
              <w:instrText xml:space="preserve"> ADDIN EN.CITE </w:instrText>
            </w:r>
            <w:r w:rsidR="002D2D6E">
              <w:rPr>
                <w:rFonts w:cstheme="minorHAnsi"/>
                <w:sz w:val="18"/>
                <w:szCs w:val="18"/>
              </w:rPr>
              <w:fldChar w:fldCharType="begin">
                <w:fldData xml:space="preserve">PEVuZE5vdGU+PENpdGU+PEF1dGhvcj5XZW48L0F1dGhvcj48WWVhcj4yMDIwPC9ZZWFyPjxSZWNO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</w:fldData>
              </w:fldChar>
            </w:r>
            <w:r w:rsidR="002D2D6E">
              <w:rPr>
                <w:rFonts w:cstheme="minorHAnsi"/>
                <w:sz w:val="18"/>
                <w:szCs w:val="18"/>
              </w:rPr>
              <w:instrText xml:space="preserve"> ADDIN EN.CITE.DATA </w:instrText>
            </w:r>
            <w:r w:rsidR="002D2D6E">
              <w:rPr>
                <w:rFonts w:cstheme="minorHAnsi"/>
                <w:sz w:val="18"/>
                <w:szCs w:val="18"/>
              </w:rPr>
            </w:r>
            <w:r w:rsidR="002D2D6E">
              <w:rPr>
                <w:rFonts w:cstheme="minorHAnsi"/>
                <w:sz w:val="18"/>
                <w:szCs w:val="18"/>
              </w:rPr>
              <w:fldChar w:fldCharType="end"/>
            </w:r>
            <w:r w:rsidRPr="00056DAA">
              <w:rPr>
                <w:rFonts w:cstheme="minorHAnsi"/>
                <w:sz w:val="18"/>
                <w:szCs w:val="18"/>
              </w:rPr>
            </w:r>
            <w:r w:rsidRPr="00056DAA">
              <w:rPr>
                <w:rFonts w:cstheme="minorHAnsi"/>
                <w:sz w:val="18"/>
                <w:szCs w:val="18"/>
              </w:rPr>
              <w:fldChar w:fldCharType="separate"/>
            </w:r>
            <w:r w:rsidR="002D2D6E">
              <w:rPr>
                <w:rFonts w:cstheme="minorHAnsi"/>
                <w:noProof/>
                <w:sz w:val="18"/>
                <w:szCs w:val="18"/>
              </w:rPr>
              <w:t>(5)</w:t>
            </w:r>
            <w:r w:rsidRPr="00056DAA">
              <w:rPr>
                <w:rFonts w:cstheme="minorHAnsi"/>
                <w:sz w:val="18"/>
                <w:szCs w:val="18"/>
              </w:rPr>
              <w:fldChar w:fldCharType="end"/>
            </w:r>
            <w:r w:rsidRPr="00056DAA">
              <w:rPr>
                <w:rFonts w:asciiTheme="minorHAnsi" w:hAnsiTheme="minorHAnsi" w:cstheme="minorHAnsi"/>
                <w:sz w:val="18"/>
                <w:szCs w:val="18"/>
              </w:rPr>
              <w:t>/ 2020</w:t>
            </w:r>
          </w:p>
        </w:tc>
        <w:tc>
          <w:tcPr>
            <w:tcW w:w="1310" w:type="dxa"/>
            <w:tcBorders>
              <w:top w:val="single" w:sz="4" w:space="0" w:color="auto"/>
              <w:left w:val="single" w:sz="4" w:space="0" w:color="auto"/>
              <w:bottom w:val="single" w:sz="4" w:space="0" w:color="auto"/>
              <w:right w:val="single" w:sz="4" w:space="0" w:color="auto"/>
            </w:tcBorders>
            <w:hideMark/>
          </w:tcPr>
          <w:p w14:paraId="22E0102F" w14:textId="77777777" w:rsidR="00056DAA" w:rsidRPr="00056DAA" w:rsidRDefault="00056DAA" w:rsidP="00056DAA">
            <w:pPr>
              <w:rPr>
                <w:rFonts w:asciiTheme="minorHAnsi" w:hAnsiTheme="minorHAnsi" w:cstheme="minorHAnsi"/>
                <w:sz w:val="18"/>
                <w:szCs w:val="18"/>
              </w:rPr>
            </w:pPr>
            <w:r w:rsidRPr="00056DAA">
              <w:rPr>
                <w:rFonts w:asciiTheme="minorHAnsi" w:hAnsiTheme="minorHAnsi" w:cstheme="minorHAnsi"/>
                <w:sz w:val="18"/>
                <w:szCs w:val="18"/>
              </w:rPr>
              <w:t>Network metanalysis</w:t>
            </w:r>
          </w:p>
        </w:tc>
        <w:tc>
          <w:tcPr>
            <w:tcW w:w="1629" w:type="dxa"/>
            <w:tcBorders>
              <w:top w:val="single" w:sz="4" w:space="0" w:color="auto"/>
              <w:left w:val="single" w:sz="4" w:space="0" w:color="auto"/>
              <w:bottom w:val="single" w:sz="4" w:space="0" w:color="auto"/>
              <w:right w:val="single" w:sz="4" w:space="0" w:color="auto"/>
            </w:tcBorders>
            <w:hideMark/>
          </w:tcPr>
          <w:p w14:paraId="08D9A46F" w14:textId="77777777" w:rsidR="00056DAA" w:rsidRPr="00056DAA" w:rsidRDefault="00056DAA" w:rsidP="00056DAA">
            <w:pPr>
              <w:rPr>
                <w:rFonts w:asciiTheme="minorHAnsi" w:hAnsiTheme="minorHAnsi" w:cstheme="minorHAnsi"/>
                <w:sz w:val="18"/>
                <w:szCs w:val="18"/>
              </w:rPr>
            </w:pPr>
            <w:r w:rsidRPr="00056DAA">
              <w:rPr>
                <w:rFonts w:asciiTheme="minorHAnsi" w:hAnsiTheme="minorHAnsi" w:cstheme="minorHAnsi"/>
                <w:sz w:val="18"/>
                <w:szCs w:val="18"/>
              </w:rPr>
              <w:t>Newly diagnosed AML patients. Median age in groups was 73-75</w:t>
            </w:r>
          </w:p>
        </w:tc>
        <w:tc>
          <w:tcPr>
            <w:tcW w:w="2486" w:type="dxa"/>
            <w:tcBorders>
              <w:top w:val="single" w:sz="4" w:space="0" w:color="auto"/>
              <w:left w:val="single" w:sz="4" w:space="0" w:color="auto"/>
              <w:bottom w:val="single" w:sz="4" w:space="0" w:color="auto"/>
              <w:right w:val="single" w:sz="4" w:space="0" w:color="auto"/>
            </w:tcBorders>
          </w:tcPr>
          <w:p w14:paraId="2085E322" w14:textId="77777777" w:rsidR="00056DAA" w:rsidRPr="00056DAA" w:rsidRDefault="00056DAA" w:rsidP="00056DAA">
            <w:pPr>
              <w:rPr>
                <w:rFonts w:asciiTheme="minorHAnsi" w:hAnsiTheme="minorHAnsi" w:cstheme="minorHAnsi"/>
                <w:sz w:val="18"/>
                <w:szCs w:val="18"/>
              </w:rPr>
            </w:pPr>
            <w:r w:rsidRPr="00056DAA">
              <w:rPr>
                <w:rFonts w:asciiTheme="minorHAnsi" w:hAnsiTheme="minorHAnsi" w:cstheme="minorHAnsi"/>
                <w:sz w:val="18"/>
                <w:szCs w:val="18"/>
              </w:rPr>
              <w:t>Direct HMA vs. conventional care regimen</w:t>
            </w:r>
          </w:p>
          <w:p w14:paraId="4B675AA7" w14:textId="77777777" w:rsidR="00056DAA" w:rsidRPr="00056DAA" w:rsidRDefault="00056DAA" w:rsidP="00056DAA">
            <w:pPr>
              <w:rPr>
                <w:rFonts w:asciiTheme="minorHAnsi" w:hAnsiTheme="minorHAnsi" w:cstheme="minorHAnsi"/>
                <w:sz w:val="18"/>
                <w:szCs w:val="18"/>
              </w:rPr>
            </w:pPr>
          </w:p>
          <w:p w14:paraId="570DA790" w14:textId="77777777" w:rsidR="00056DAA" w:rsidRPr="00056DAA" w:rsidRDefault="00056DAA" w:rsidP="00056DAA">
            <w:pPr>
              <w:rPr>
                <w:rFonts w:asciiTheme="minorHAnsi" w:hAnsiTheme="minorHAnsi" w:cstheme="minorHAnsi"/>
                <w:sz w:val="18"/>
                <w:szCs w:val="18"/>
              </w:rPr>
            </w:pPr>
            <w:r w:rsidRPr="00056DAA">
              <w:rPr>
                <w:rFonts w:asciiTheme="minorHAnsi" w:hAnsiTheme="minorHAnsi" w:cstheme="minorHAnsi"/>
                <w:sz w:val="18"/>
                <w:szCs w:val="18"/>
              </w:rPr>
              <w:t>Indirect comparison of AZA vs. DEC</w:t>
            </w:r>
          </w:p>
        </w:tc>
        <w:tc>
          <w:tcPr>
            <w:tcW w:w="1600" w:type="dxa"/>
            <w:tcBorders>
              <w:top w:val="single" w:sz="4" w:space="0" w:color="auto"/>
              <w:left w:val="single" w:sz="4" w:space="0" w:color="auto"/>
              <w:bottom w:val="single" w:sz="4" w:space="0" w:color="auto"/>
              <w:right w:val="single" w:sz="4" w:space="0" w:color="auto"/>
            </w:tcBorders>
            <w:hideMark/>
          </w:tcPr>
          <w:p w14:paraId="41E2128F" w14:textId="77777777" w:rsidR="00056DAA" w:rsidRPr="00056DAA" w:rsidRDefault="00056DAA" w:rsidP="00056DAA">
            <w:pPr>
              <w:rPr>
                <w:rFonts w:asciiTheme="minorHAnsi" w:hAnsiTheme="minorHAnsi" w:cstheme="minorHAnsi"/>
                <w:sz w:val="18"/>
                <w:szCs w:val="18"/>
              </w:rPr>
            </w:pPr>
            <w:r w:rsidRPr="00056DAA">
              <w:rPr>
                <w:rFonts w:asciiTheme="minorHAnsi" w:hAnsiTheme="minorHAnsi" w:cstheme="minorHAnsi"/>
                <w:sz w:val="18"/>
                <w:szCs w:val="18"/>
              </w:rPr>
              <w:t xml:space="preserve">AZA: 75 mg/m2 IV/SC for 7 days of 28 days cycle. </w:t>
            </w:r>
          </w:p>
          <w:p w14:paraId="18EECA39" w14:textId="77777777" w:rsidR="00056DAA" w:rsidRPr="00056DAA" w:rsidRDefault="00056DAA" w:rsidP="00056DAA">
            <w:pPr>
              <w:rPr>
                <w:rFonts w:asciiTheme="minorHAnsi" w:hAnsiTheme="minorHAnsi" w:cstheme="minorHAnsi"/>
                <w:sz w:val="18"/>
                <w:szCs w:val="18"/>
              </w:rPr>
            </w:pPr>
            <w:r w:rsidRPr="00056DAA">
              <w:rPr>
                <w:rFonts w:asciiTheme="minorHAnsi" w:hAnsiTheme="minorHAnsi" w:cstheme="minorHAnsi"/>
                <w:sz w:val="18"/>
                <w:szCs w:val="18"/>
              </w:rPr>
              <w:t xml:space="preserve">DEC: 20 mg/m2 IV/SC for 5 days of 28 days cycle. </w:t>
            </w:r>
          </w:p>
        </w:tc>
        <w:tc>
          <w:tcPr>
            <w:tcW w:w="2839" w:type="dxa"/>
            <w:tcBorders>
              <w:top w:val="single" w:sz="4" w:space="0" w:color="auto"/>
              <w:left w:val="single" w:sz="4" w:space="0" w:color="auto"/>
              <w:bottom w:val="single" w:sz="4" w:space="0" w:color="auto"/>
              <w:right w:val="single" w:sz="4" w:space="0" w:color="auto"/>
            </w:tcBorders>
          </w:tcPr>
          <w:p w14:paraId="1BD0B11E" w14:textId="77777777" w:rsidR="00056DAA" w:rsidRPr="00056DAA" w:rsidRDefault="00056DAA" w:rsidP="00056DAA">
            <w:pPr>
              <w:rPr>
                <w:rFonts w:asciiTheme="minorHAnsi" w:hAnsiTheme="minorHAnsi" w:cstheme="minorHAnsi"/>
                <w:sz w:val="18"/>
                <w:szCs w:val="18"/>
              </w:rPr>
            </w:pPr>
            <w:r w:rsidRPr="00056DAA">
              <w:rPr>
                <w:rFonts w:asciiTheme="minorHAnsi" w:hAnsiTheme="minorHAnsi" w:cstheme="minorHAnsi"/>
                <w:sz w:val="18"/>
                <w:szCs w:val="18"/>
              </w:rPr>
              <w:t xml:space="preserve">AZA vs. DEC: relative mortality 0.83, P&lt;0.01.  Relative CR: 1.66, 95% CI 1.17–2.35. </w:t>
            </w:r>
          </w:p>
          <w:p w14:paraId="30279F85" w14:textId="77777777" w:rsidR="00056DAA" w:rsidRPr="00056DAA" w:rsidRDefault="00056DAA" w:rsidP="00056DAA">
            <w:pPr>
              <w:rPr>
                <w:rFonts w:asciiTheme="minorHAnsi" w:hAnsiTheme="minorHAnsi" w:cstheme="minorHAnsi"/>
                <w:sz w:val="18"/>
                <w:szCs w:val="18"/>
              </w:rPr>
            </w:pPr>
          </w:p>
        </w:tc>
        <w:tc>
          <w:tcPr>
            <w:tcW w:w="3376" w:type="dxa"/>
            <w:tcBorders>
              <w:top w:val="single" w:sz="4" w:space="0" w:color="auto"/>
              <w:left w:val="single" w:sz="4" w:space="0" w:color="auto"/>
              <w:bottom w:val="single" w:sz="4" w:space="0" w:color="auto"/>
              <w:right w:val="single" w:sz="4" w:space="0" w:color="auto"/>
            </w:tcBorders>
            <w:hideMark/>
          </w:tcPr>
          <w:p w14:paraId="7B1F8010" w14:textId="77777777" w:rsidR="00056DAA" w:rsidRPr="00056DAA" w:rsidRDefault="00056DAA" w:rsidP="00056DAA">
            <w:pPr>
              <w:rPr>
                <w:rFonts w:asciiTheme="minorHAnsi" w:hAnsiTheme="minorHAnsi" w:cstheme="minorHAnsi"/>
                <w:sz w:val="18"/>
                <w:szCs w:val="18"/>
              </w:rPr>
            </w:pPr>
            <w:r w:rsidRPr="00056DAA">
              <w:rPr>
                <w:rFonts w:asciiTheme="minorHAnsi" w:hAnsiTheme="minorHAnsi" w:cstheme="minorHAnsi"/>
                <w:sz w:val="18"/>
                <w:szCs w:val="18"/>
              </w:rPr>
              <w:t xml:space="preserve">-Indirect comparison using network metanalysis. </w:t>
            </w:r>
          </w:p>
          <w:p w14:paraId="0280E259" w14:textId="77777777" w:rsidR="00056DAA" w:rsidRPr="00056DAA" w:rsidRDefault="00056DAA" w:rsidP="00056DAA">
            <w:pPr>
              <w:rPr>
                <w:rFonts w:asciiTheme="minorHAnsi" w:hAnsiTheme="minorHAnsi" w:cstheme="minorHAnsi"/>
                <w:sz w:val="18"/>
                <w:szCs w:val="18"/>
              </w:rPr>
            </w:pPr>
            <w:r w:rsidRPr="00056DAA">
              <w:rPr>
                <w:rFonts w:asciiTheme="minorHAnsi" w:hAnsiTheme="minorHAnsi" w:cstheme="minorHAnsi"/>
                <w:sz w:val="18"/>
                <w:szCs w:val="18"/>
              </w:rPr>
              <w:t xml:space="preserve">-Conventional care regimen included: LDAC, best supportive care and intensive chemotherapy. </w:t>
            </w:r>
          </w:p>
        </w:tc>
      </w:tr>
      <w:tr w:rsidR="00056DAA" w:rsidRPr="00056DAA" w14:paraId="427565F5" w14:textId="77777777" w:rsidTr="00056DAA">
        <w:trPr>
          <w:trHeight w:val="372"/>
        </w:trPr>
        <w:tc>
          <w:tcPr>
            <w:tcW w:w="1028" w:type="dxa"/>
            <w:tcBorders>
              <w:top w:val="single" w:sz="4" w:space="0" w:color="auto"/>
              <w:left w:val="single" w:sz="4" w:space="0" w:color="auto"/>
              <w:bottom w:val="single" w:sz="4" w:space="0" w:color="auto"/>
              <w:right w:val="single" w:sz="4" w:space="0" w:color="auto"/>
            </w:tcBorders>
            <w:hideMark/>
          </w:tcPr>
          <w:p w14:paraId="0C61951E" w14:textId="056EA02B" w:rsidR="00056DAA" w:rsidRPr="00056DAA" w:rsidRDefault="00056DAA" w:rsidP="00056DAA">
            <w:pPr>
              <w:rPr>
                <w:rFonts w:asciiTheme="minorHAnsi" w:hAnsiTheme="minorHAnsi" w:cstheme="minorHAnsi"/>
                <w:sz w:val="18"/>
                <w:szCs w:val="18"/>
              </w:rPr>
            </w:pPr>
            <w:r w:rsidRPr="00056DAA">
              <w:rPr>
                <w:rFonts w:asciiTheme="minorHAnsi" w:hAnsiTheme="minorHAnsi" w:cstheme="minorHAnsi"/>
                <w:sz w:val="18"/>
                <w:szCs w:val="18"/>
              </w:rPr>
              <w:t xml:space="preserve">Zeidan </w:t>
            </w:r>
            <w:r w:rsidRPr="00056DAA">
              <w:rPr>
                <w:rFonts w:cstheme="minorHAnsi"/>
                <w:sz w:val="18"/>
                <w:szCs w:val="18"/>
              </w:rPr>
              <w:fldChar w:fldCharType="begin"/>
            </w:r>
            <w:r w:rsidR="002D2D6E">
              <w:rPr>
                <w:rFonts w:cstheme="minorHAnsi"/>
                <w:sz w:val="18"/>
                <w:szCs w:val="18"/>
              </w:rPr>
              <w:instrText xml:space="preserve"> ADDIN EN.CITE &lt;EndNote&gt;&lt;Cite&gt;&lt;Author&gt;Zeidan&lt;/Author&gt;&lt;Year&gt;2020&lt;/Year&gt;&lt;RecNum&gt;18&lt;/RecNum&gt;&lt;DisplayText&gt;(6)&lt;/DisplayText&gt;&lt;record&gt;&lt;rec-number&gt;18&lt;/rec-number&gt;&lt;foreign-keys&gt;&lt;key app="EN" db-id="5d2tfaxd5v5wt8erttivfvefazxdwf0z5xtz" timestamp="1636311092"&gt;18&lt;/key&gt;&lt;/foreign-keys&gt;&lt;ref-type name="Journal Article"&gt;17&lt;/ref-type&gt;&lt;contributors&gt;&lt;authors&gt;&lt;author&gt;Zeidan, AM&lt;/author&gt;&lt;author&gt;Fenaux, P&lt;/author&gt;&lt;author&gt;Gobbi, M&lt;/author&gt;&lt;/authors&gt;&lt;/contributors&gt;&lt;titles&gt;&lt;title&gt;Comparative results of azacitidine and decitabine from a large prospective phase 3 study in treatment naive patients with acute myeloid leukemia not eligible for intensive chemotherapy [ASH abstract 1037]&lt;/title&gt;&lt;secondary-title&gt;Blood&lt;/secondary-title&gt;&lt;/titles&gt;&lt;periodical&gt;&lt;full-title&gt;Blood&lt;/full-title&gt;&lt;abbr-1&gt;Blood&lt;/abbr-1&gt;&lt;/periodical&gt;&lt;volume&gt;136&lt;/volume&gt;&lt;number&gt;1&lt;/number&gt;&lt;dates&gt;&lt;year&gt;2020&lt;/year&gt;&lt;/dates&gt;&lt;urls&gt;&lt;/urls&gt;&lt;/record&gt;&lt;/Cite&gt;&lt;/EndNote&gt;</w:instrText>
            </w:r>
            <w:r w:rsidRPr="00056DAA">
              <w:rPr>
                <w:rFonts w:cstheme="minorHAnsi"/>
                <w:sz w:val="18"/>
                <w:szCs w:val="18"/>
              </w:rPr>
              <w:fldChar w:fldCharType="separate"/>
            </w:r>
            <w:r w:rsidR="002D2D6E">
              <w:rPr>
                <w:rFonts w:cstheme="minorHAnsi"/>
                <w:noProof/>
                <w:sz w:val="18"/>
                <w:szCs w:val="18"/>
              </w:rPr>
              <w:t>(6)</w:t>
            </w:r>
            <w:r w:rsidRPr="00056DAA">
              <w:rPr>
                <w:rFonts w:cstheme="minorHAnsi"/>
                <w:sz w:val="18"/>
                <w:szCs w:val="18"/>
              </w:rPr>
              <w:fldChar w:fldCharType="end"/>
            </w:r>
            <w:r w:rsidRPr="00056DAA">
              <w:rPr>
                <w:rFonts w:asciiTheme="minorHAnsi" w:hAnsiTheme="minorHAnsi" w:cstheme="minorHAnsi"/>
                <w:sz w:val="18"/>
                <w:szCs w:val="18"/>
              </w:rPr>
              <w:t>/2020</w:t>
            </w:r>
          </w:p>
        </w:tc>
        <w:tc>
          <w:tcPr>
            <w:tcW w:w="1310" w:type="dxa"/>
            <w:tcBorders>
              <w:top w:val="single" w:sz="4" w:space="0" w:color="auto"/>
              <w:left w:val="single" w:sz="4" w:space="0" w:color="auto"/>
              <w:bottom w:val="single" w:sz="4" w:space="0" w:color="auto"/>
              <w:right w:val="single" w:sz="4" w:space="0" w:color="auto"/>
            </w:tcBorders>
            <w:hideMark/>
          </w:tcPr>
          <w:p w14:paraId="16A26A88" w14:textId="77777777" w:rsidR="00056DAA" w:rsidRPr="00056DAA" w:rsidRDefault="00056DAA" w:rsidP="00056DAA">
            <w:pPr>
              <w:rPr>
                <w:rFonts w:asciiTheme="minorHAnsi" w:hAnsiTheme="minorHAnsi" w:cstheme="minorHAnsi"/>
                <w:sz w:val="18"/>
                <w:szCs w:val="18"/>
              </w:rPr>
            </w:pPr>
            <w:r w:rsidRPr="00056DAA">
              <w:rPr>
                <w:rFonts w:asciiTheme="minorHAnsi" w:hAnsiTheme="minorHAnsi" w:cstheme="minorHAnsi"/>
                <w:sz w:val="18"/>
                <w:szCs w:val="18"/>
              </w:rPr>
              <w:t>Phase III, Randomized, open-label, controlled Study/ Multi-institutional</w:t>
            </w:r>
          </w:p>
        </w:tc>
        <w:tc>
          <w:tcPr>
            <w:tcW w:w="1629" w:type="dxa"/>
            <w:tcBorders>
              <w:top w:val="single" w:sz="4" w:space="0" w:color="auto"/>
              <w:left w:val="single" w:sz="4" w:space="0" w:color="auto"/>
              <w:bottom w:val="single" w:sz="4" w:space="0" w:color="auto"/>
              <w:right w:val="single" w:sz="4" w:space="0" w:color="auto"/>
            </w:tcBorders>
            <w:hideMark/>
          </w:tcPr>
          <w:p w14:paraId="6FDD9395" w14:textId="77777777" w:rsidR="00056DAA" w:rsidRPr="00056DAA" w:rsidRDefault="00056DAA" w:rsidP="00056DAA">
            <w:pPr>
              <w:rPr>
                <w:rFonts w:asciiTheme="minorHAnsi" w:hAnsiTheme="minorHAnsi" w:cstheme="minorHAnsi"/>
                <w:sz w:val="18"/>
                <w:szCs w:val="18"/>
              </w:rPr>
            </w:pPr>
            <w:r w:rsidRPr="00056DAA">
              <w:rPr>
                <w:rFonts w:asciiTheme="minorHAnsi" w:hAnsiTheme="minorHAnsi" w:cstheme="minorHAnsi"/>
                <w:sz w:val="18"/>
                <w:szCs w:val="18"/>
              </w:rPr>
              <w:t>All newly diagnosed AML patients unfit for induction chemotherapy because ≥ 75 years or coexisting conditions</w:t>
            </w:r>
          </w:p>
        </w:tc>
        <w:tc>
          <w:tcPr>
            <w:tcW w:w="2486" w:type="dxa"/>
            <w:tcBorders>
              <w:top w:val="single" w:sz="4" w:space="0" w:color="auto"/>
              <w:left w:val="single" w:sz="4" w:space="0" w:color="auto"/>
              <w:bottom w:val="single" w:sz="4" w:space="0" w:color="auto"/>
              <w:right w:val="single" w:sz="4" w:space="0" w:color="auto"/>
            </w:tcBorders>
            <w:hideMark/>
          </w:tcPr>
          <w:p w14:paraId="2273B377" w14:textId="77777777" w:rsidR="00056DAA" w:rsidRPr="00056DAA" w:rsidRDefault="00056DAA" w:rsidP="00056DAA">
            <w:pPr>
              <w:rPr>
                <w:rFonts w:asciiTheme="minorHAnsi" w:hAnsiTheme="minorHAnsi" w:cstheme="minorHAnsi"/>
                <w:sz w:val="18"/>
                <w:szCs w:val="18"/>
              </w:rPr>
            </w:pPr>
            <w:r w:rsidRPr="00056DAA">
              <w:rPr>
                <w:rFonts w:asciiTheme="minorHAnsi" w:hAnsiTheme="minorHAnsi" w:cstheme="minorHAnsi"/>
                <w:sz w:val="18"/>
                <w:szCs w:val="18"/>
              </w:rPr>
              <w:t>Guadeictabine vs. AZA (171) /DEC (167/ LDAC.</w:t>
            </w:r>
          </w:p>
        </w:tc>
        <w:tc>
          <w:tcPr>
            <w:tcW w:w="1600" w:type="dxa"/>
            <w:tcBorders>
              <w:top w:val="single" w:sz="4" w:space="0" w:color="auto"/>
              <w:left w:val="single" w:sz="4" w:space="0" w:color="auto"/>
              <w:bottom w:val="single" w:sz="4" w:space="0" w:color="auto"/>
              <w:right w:val="single" w:sz="4" w:space="0" w:color="auto"/>
            </w:tcBorders>
          </w:tcPr>
          <w:p w14:paraId="4BB8AB48" w14:textId="77777777" w:rsidR="00056DAA" w:rsidRPr="00056DAA" w:rsidRDefault="00056DAA" w:rsidP="00056DAA">
            <w:pPr>
              <w:rPr>
                <w:rFonts w:asciiTheme="minorHAnsi" w:hAnsiTheme="minorHAnsi" w:cstheme="minorHAnsi"/>
                <w:sz w:val="18"/>
                <w:szCs w:val="18"/>
              </w:rPr>
            </w:pPr>
            <w:r w:rsidRPr="00056DAA">
              <w:rPr>
                <w:rFonts w:asciiTheme="minorHAnsi" w:hAnsiTheme="minorHAnsi" w:cstheme="minorHAnsi"/>
                <w:sz w:val="18"/>
                <w:szCs w:val="18"/>
              </w:rPr>
              <w:t xml:space="preserve">AZA: 75 mg/m2 IV/SC for 7 days of 28 days cycle. </w:t>
            </w:r>
          </w:p>
          <w:p w14:paraId="068FB4D6" w14:textId="77777777" w:rsidR="00056DAA" w:rsidRPr="00056DAA" w:rsidRDefault="00056DAA" w:rsidP="00056DAA">
            <w:pPr>
              <w:rPr>
                <w:rFonts w:asciiTheme="minorHAnsi" w:hAnsiTheme="minorHAnsi" w:cstheme="minorHAnsi"/>
                <w:sz w:val="18"/>
                <w:szCs w:val="18"/>
              </w:rPr>
            </w:pPr>
            <w:r w:rsidRPr="00056DAA">
              <w:rPr>
                <w:rFonts w:asciiTheme="minorHAnsi" w:hAnsiTheme="minorHAnsi" w:cstheme="minorHAnsi"/>
                <w:sz w:val="18"/>
                <w:szCs w:val="18"/>
              </w:rPr>
              <w:t xml:space="preserve">DEC: 20 mg/m2 IV/SC for 5 days of 28 days cycle. </w:t>
            </w:r>
          </w:p>
          <w:p w14:paraId="52193AC0" w14:textId="77777777" w:rsidR="00056DAA" w:rsidRPr="00056DAA" w:rsidRDefault="00056DAA" w:rsidP="00056DAA">
            <w:pPr>
              <w:rPr>
                <w:rFonts w:asciiTheme="minorHAnsi" w:hAnsiTheme="minorHAnsi" w:cstheme="minorHAnsi"/>
                <w:sz w:val="18"/>
                <w:szCs w:val="18"/>
              </w:rPr>
            </w:pPr>
          </w:p>
        </w:tc>
        <w:tc>
          <w:tcPr>
            <w:tcW w:w="2839" w:type="dxa"/>
            <w:tcBorders>
              <w:top w:val="single" w:sz="4" w:space="0" w:color="auto"/>
              <w:left w:val="single" w:sz="4" w:space="0" w:color="auto"/>
              <w:bottom w:val="single" w:sz="4" w:space="0" w:color="auto"/>
              <w:right w:val="single" w:sz="4" w:space="0" w:color="auto"/>
            </w:tcBorders>
          </w:tcPr>
          <w:p w14:paraId="2CEFBCC1" w14:textId="77777777" w:rsidR="00056DAA" w:rsidRPr="00056DAA" w:rsidRDefault="00056DAA" w:rsidP="00056DAA">
            <w:pPr>
              <w:rPr>
                <w:rFonts w:asciiTheme="minorHAnsi" w:hAnsiTheme="minorHAnsi" w:cstheme="minorHAnsi"/>
                <w:sz w:val="18"/>
                <w:szCs w:val="18"/>
              </w:rPr>
            </w:pPr>
            <w:r w:rsidRPr="00056DAA">
              <w:rPr>
                <w:rFonts w:asciiTheme="minorHAnsi" w:hAnsiTheme="minorHAnsi" w:cstheme="minorHAnsi"/>
                <w:sz w:val="18"/>
                <w:szCs w:val="18"/>
              </w:rPr>
              <w:t xml:space="preserve">AZA vs. DEC: m-OS: 8.7 vs. 8.2. CCR: 22.2% vs. 25.1%. </w:t>
            </w:r>
          </w:p>
          <w:p w14:paraId="04290C43" w14:textId="77777777" w:rsidR="00056DAA" w:rsidRPr="00056DAA" w:rsidRDefault="00056DAA" w:rsidP="00056DAA">
            <w:pPr>
              <w:rPr>
                <w:rFonts w:asciiTheme="minorHAnsi" w:hAnsiTheme="minorHAnsi" w:cstheme="minorHAnsi"/>
                <w:sz w:val="18"/>
                <w:szCs w:val="18"/>
              </w:rPr>
            </w:pPr>
          </w:p>
        </w:tc>
        <w:tc>
          <w:tcPr>
            <w:tcW w:w="3376" w:type="dxa"/>
            <w:tcBorders>
              <w:top w:val="single" w:sz="4" w:space="0" w:color="auto"/>
              <w:left w:val="single" w:sz="4" w:space="0" w:color="auto"/>
              <w:bottom w:val="single" w:sz="4" w:space="0" w:color="auto"/>
              <w:right w:val="single" w:sz="4" w:space="0" w:color="auto"/>
            </w:tcBorders>
            <w:hideMark/>
          </w:tcPr>
          <w:p w14:paraId="35C81924" w14:textId="77777777" w:rsidR="00056DAA" w:rsidRPr="00056DAA" w:rsidRDefault="00056DAA" w:rsidP="00056DAA">
            <w:pPr>
              <w:rPr>
                <w:rFonts w:asciiTheme="minorHAnsi" w:hAnsiTheme="minorHAnsi" w:cstheme="minorHAnsi"/>
                <w:sz w:val="18"/>
                <w:szCs w:val="18"/>
              </w:rPr>
            </w:pPr>
            <w:r w:rsidRPr="00056DAA">
              <w:rPr>
                <w:rFonts w:asciiTheme="minorHAnsi" w:hAnsiTheme="minorHAnsi" w:cstheme="minorHAnsi"/>
                <w:sz w:val="18"/>
                <w:szCs w:val="18"/>
              </w:rPr>
              <w:t xml:space="preserve">-Subsetted analysis from a randomized trial. </w:t>
            </w:r>
          </w:p>
          <w:p w14:paraId="587959C3" w14:textId="77777777" w:rsidR="00056DAA" w:rsidRPr="00056DAA" w:rsidRDefault="00056DAA" w:rsidP="00056DAA">
            <w:pPr>
              <w:rPr>
                <w:rFonts w:asciiTheme="minorHAnsi" w:hAnsiTheme="minorHAnsi" w:cstheme="minorHAnsi"/>
                <w:sz w:val="18"/>
                <w:szCs w:val="18"/>
              </w:rPr>
            </w:pPr>
            <w:r w:rsidRPr="00056DAA">
              <w:rPr>
                <w:rFonts w:asciiTheme="minorHAnsi" w:hAnsiTheme="minorHAnsi" w:cstheme="minorHAnsi"/>
                <w:sz w:val="18"/>
                <w:szCs w:val="18"/>
              </w:rPr>
              <w:t>- Published in abstract form.</w:t>
            </w:r>
          </w:p>
        </w:tc>
      </w:tr>
      <w:tr w:rsidR="00056DAA" w:rsidRPr="00056DAA" w14:paraId="7BE7FC0F" w14:textId="77777777" w:rsidTr="00056DAA">
        <w:trPr>
          <w:trHeight w:val="372"/>
        </w:trPr>
        <w:tc>
          <w:tcPr>
            <w:tcW w:w="1028" w:type="dxa"/>
            <w:tcBorders>
              <w:top w:val="single" w:sz="4" w:space="0" w:color="auto"/>
              <w:left w:val="single" w:sz="4" w:space="0" w:color="auto"/>
              <w:bottom w:val="single" w:sz="4" w:space="0" w:color="auto"/>
              <w:right w:val="single" w:sz="4" w:space="0" w:color="auto"/>
            </w:tcBorders>
            <w:hideMark/>
          </w:tcPr>
          <w:p w14:paraId="2CD532DC" w14:textId="74B7B272" w:rsidR="00056DAA" w:rsidRPr="00056DAA" w:rsidRDefault="00056DAA" w:rsidP="00056DAA">
            <w:pPr>
              <w:rPr>
                <w:rFonts w:asciiTheme="minorHAnsi" w:hAnsiTheme="minorHAnsi" w:cstheme="minorHAnsi"/>
                <w:sz w:val="18"/>
                <w:szCs w:val="18"/>
              </w:rPr>
            </w:pPr>
            <w:r w:rsidRPr="00056DAA">
              <w:rPr>
                <w:rFonts w:asciiTheme="minorHAnsi" w:hAnsiTheme="minorHAnsi" w:cstheme="minorHAnsi"/>
                <w:sz w:val="18"/>
                <w:szCs w:val="18"/>
              </w:rPr>
              <w:t xml:space="preserve">Bouligny </w:t>
            </w:r>
            <w:r w:rsidRPr="00056DAA">
              <w:rPr>
                <w:rFonts w:cstheme="minorHAnsi"/>
                <w:sz w:val="18"/>
                <w:szCs w:val="18"/>
              </w:rPr>
              <w:fldChar w:fldCharType="begin"/>
            </w:r>
            <w:r w:rsidR="002D2D6E">
              <w:rPr>
                <w:rFonts w:cstheme="minorHAnsi"/>
                <w:sz w:val="18"/>
                <w:szCs w:val="18"/>
              </w:rPr>
              <w:instrText xml:space="preserve"> ADDIN EN.CITE &lt;EndNote&gt;&lt;Cite&gt;&lt;Author&gt;Bouligny&lt;/Author&gt;&lt;Year&gt;2021&lt;/Year&gt;&lt;RecNum&gt;21&lt;/RecNum&gt;&lt;DisplayText&gt;(7)&lt;/DisplayText&gt;&lt;record&gt;&lt;rec-number&gt;21&lt;/rec-number&gt;&lt;foreign-keys&gt;&lt;key app="EN" db-id="5d2tfaxd5v5wt8erttivfvefazxdwf0z5xtz" timestamp="1636315698"&gt;21&lt;/key&gt;&lt;/foreign-keys&gt;&lt;ref-type name="Conference Paper"&gt;47&lt;/ref-type&gt;&lt;contributors&gt;&lt;authors&gt;&lt;author&gt;Bouligny, Ian&lt;/author&gt;&lt;author&gt;Maher, Keri&lt;/author&gt;&lt;/authors&gt;&lt;/contributors&gt;&lt;titles&gt;&lt;title&gt;Outcomes of Induction with Venetoclax in Combination with Decitabine, Azacitidine, or Low-Dose Cytarabine for Treatment of AML: A Real-World Retrospective Analysis [ASH abstract 2335]&lt;/title&gt;&lt;/titles&gt;&lt;dates&gt;&lt;year&gt;2021&lt;/year&gt;&lt;/dates&gt;&lt;urls&gt;&lt;related-urls&gt;&lt;url&gt;https://ash.confex.com/ash/2021/webprogram/Paper153738.html&lt;/url&gt;&lt;/related-urls&gt;&lt;/urls&gt;&lt;/record&gt;&lt;/Cite&gt;&lt;/EndNote&gt;</w:instrText>
            </w:r>
            <w:r w:rsidRPr="00056DAA">
              <w:rPr>
                <w:rFonts w:cstheme="minorHAnsi"/>
                <w:sz w:val="18"/>
                <w:szCs w:val="18"/>
              </w:rPr>
              <w:fldChar w:fldCharType="separate"/>
            </w:r>
            <w:r w:rsidR="002D2D6E">
              <w:rPr>
                <w:rFonts w:cstheme="minorHAnsi"/>
                <w:noProof/>
                <w:sz w:val="18"/>
                <w:szCs w:val="18"/>
              </w:rPr>
              <w:t>(7)</w:t>
            </w:r>
            <w:r w:rsidRPr="00056DAA">
              <w:rPr>
                <w:rFonts w:cstheme="minorHAnsi"/>
                <w:sz w:val="18"/>
                <w:szCs w:val="18"/>
              </w:rPr>
              <w:fldChar w:fldCharType="end"/>
            </w:r>
            <w:r w:rsidRPr="00056DAA">
              <w:rPr>
                <w:rFonts w:asciiTheme="minorHAnsi" w:hAnsiTheme="minorHAnsi" w:cstheme="minorHAnsi"/>
                <w:sz w:val="18"/>
                <w:szCs w:val="18"/>
              </w:rPr>
              <w:t>/ 2021</w:t>
            </w:r>
          </w:p>
        </w:tc>
        <w:tc>
          <w:tcPr>
            <w:tcW w:w="1310" w:type="dxa"/>
            <w:tcBorders>
              <w:top w:val="single" w:sz="4" w:space="0" w:color="auto"/>
              <w:left w:val="single" w:sz="4" w:space="0" w:color="auto"/>
              <w:bottom w:val="single" w:sz="4" w:space="0" w:color="auto"/>
              <w:right w:val="single" w:sz="4" w:space="0" w:color="auto"/>
            </w:tcBorders>
            <w:hideMark/>
          </w:tcPr>
          <w:p w14:paraId="0A0CE702" w14:textId="77777777" w:rsidR="00056DAA" w:rsidRPr="00056DAA" w:rsidRDefault="00056DAA" w:rsidP="00056DAA">
            <w:pPr>
              <w:rPr>
                <w:rFonts w:asciiTheme="minorHAnsi" w:hAnsiTheme="minorHAnsi" w:cstheme="minorHAnsi"/>
                <w:sz w:val="18"/>
                <w:szCs w:val="18"/>
              </w:rPr>
            </w:pPr>
            <w:r w:rsidRPr="00056DAA">
              <w:rPr>
                <w:rFonts w:asciiTheme="minorHAnsi" w:hAnsiTheme="minorHAnsi" w:cstheme="minorHAnsi"/>
                <w:sz w:val="18"/>
                <w:szCs w:val="18"/>
              </w:rPr>
              <w:t>Retrospective cohort/ Single-center</w:t>
            </w:r>
          </w:p>
        </w:tc>
        <w:tc>
          <w:tcPr>
            <w:tcW w:w="1629" w:type="dxa"/>
            <w:tcBorders>
              <w:top w:val="single" w:sz="4" w:space="0" w:color="auto"/>
              <w:left w:val="single" w:sz="4" w:space="0" w:color="auto"/>
              <w:bottom w:val="single" w:sz="4" w:space="0" w:color="auto"/>
              <w:right w:val="single" w:sz="4" w:space="0" w:color="auto"/>
            </w:tcBorders>
            <w:hideMark/>
          </w:tcPr>
          <w:p w14:paraId="2C06FD56" w14:textId="77777777" w:rsidR="00056DAA" w:rsidRPr="00056DAA" w:rsidRDefault="00056DAA" w:rsidP="00056DAA">
            <w:pPr>
              <w:rPr>
                <w:rFonts w:asciiTheme="minorHAnsi" w:hAnsiTheme="minorHAnsi" w:cstheme="minorHAnsi"/>
                <w:sz w:val="18"/>
                <w:szCs w:val="18"/>
              </w:rPr>
            </w:pPr>
            <w:r w:rsidRPr="00056DAA">
              <w:rPr>
                <w:rFonts w:asciiTheme="minorHAnsi" w:hAnsiTheme="minorHAnsi" w:cstheme="minorHAnsi"/>
                <w:sz w:val="18"/>
                <w:szCs w:val="18"/>
              </w:rPr>
              <w:t>All newly diagnosed and relapsed AML patients treated with HMA or LDAC in combination with  VEN.</w:t>
            </w:r>
          </w:p>
        </w:tc>
        <w:tc>
          <w:tcPr>
            <w:tcW w:w="2486" w:type="dxa"/>
            <w:tcBorders>
              <w:top w:val="single" w:sz="4" w:space="0" w:color="auto"/>
              <w:left w:val="single" w:sz="4" w:space="0" w:color="auto"/>
              <w:bottom w:val="single" w:sz="4" w:space="0" w:color="auto"/>
              <w:right w:val="single" w:sz="4" w:space="0" w:color="auto"/>
            </w:tcBorders>
            <w:hideMark/>
          </w:tcPr>
          <w:p w14:paraId="23319C45" w14:textId="77777777" w:rsidR="00056DAA" w:rsidRPr="00056DAA" w:rsidRDefault="00056DAA" w:rsidP="00056DAA">
            <w:pPr>
              <w:rPr>
                <w:rFonts w:asciiTheme="minorHAnsi" w:hAnsiTheme="minorHAnsi" w:cstheme="minorHAnsi"/>
                <w:sz w:val="18"/>
                <w:szCs w:val="18"/>
              </w:rPr>
            </w:pPr>
            <w:r w:rsidRPr="00056DAA">
              <w:rPr>
                <w:rFonts w:asciiTheme="minorHAnsi" w:hAnsiTheme="minorHAnsi" w:cstheme="minorHAnsi"/>
                <w:sz w:val="18"/>
                <w:szCs w:val="18"/>
              </w:rPr>
              <w:t>Single-arm: AZA/DEC/LDAC-VEN (74)</w:t>
            </w:r>
          </w:p>
        </w:tc>
        <w:tc>
          <w:tcPr>
            <w:tcW w:w="1600" w:type="dxa"/>
            <w:tcBorders>
              <w:top w:val="single" w:sz="4" w:space="0" w:color="auto"/>
              <w:left w:val="single" w:sz="4" w:space="0" w:color="auto"/>
              <w:bottom w:val="single" w:sz="4" w:space="0" w:color="auto"/>
              <w:right w:val="single" w:sz="4" w:space="0" w:color="auto"/>
            </w:tcBorders>
            <w:hideMark/>
          </w:tcPr>
          <w:p w14:paraId="4144B63E" w14:textId="77777777" w:rsidR="00056DAA" w:rsidRPr="00056DAA" w:rsidRDefault="00056DAA" w:rsidP="00056DAA">
            <w:pPr>
              <w:rPr>
                <w:rFonts w:asciiTheme="minorHAnsi" w:hAnsiTheme="minorHAnsi" w:cstheme="minorHAnsi"/>
                <w:sz w:val="18"/>
                <w:szCs w:val="18"/>
              </w:rPr>
            </w:pPr>
            <w:r w:rsidRPr="00056DAA">
              <w:rPr>
                <w:rFonts w:asciiTheme="minorHAnsi" w:hAnsiTheme="minorHAnsi" w:cstheme="minorHAnsi"/>
                <w:sz w:val="18"/>
                <w:szCs w:val="18"/>
              </w:rPr>
              <w:t>Not specified</w:t>
            </w:r>
          </w:p>
        </w:tc>
        <w:tc>
          <w:tcPr>
            <w:tcW w:w="2839" w:type="dxa"/>
            <w:tcBorders>
              <w:top w:val="single" w:sz="4" w:space="0" w:color="auto"/>
              <w:left w:val="single" w:sz="4" w:space="0" w:color="auto"/>
              <w:bottom w:val="single" w:sz="4" w:space="0" w:color="auto"/>
              <w:right w:val="single" w:sz="4" w:space="0" w:color="auto"/>
            </w:tcBorders>
            <w:hideMark/>
          </w:tcPr>
          <w:p w14:paraId="041044B0" w14:textId="77777777" w:rsidR="00056DAA" w:rsidRPr="00056DAA" w:rsidRDefault="00056DAA" w:rsidP="00056DAA">
            <w:pPr>
              <w:rPr>
                <w:rFonts w:asciiTheme="minorHAnsi" w:hAnsiTheme="minorHAnsi" w:cstheme="minorHAnsi"/>
                <w:sz w:val="18"/>
                <w:szCs w:val="18"/>
              </w:rPr>
            </w:pPr>
            <w:r w:rsidRPr="00056DAA">
              <w:rPr>
                <w:rFonts w:asciiTheme="minorHAnsi" w:hAnsiTheme="minorHAnsi" w:cstheme="minorHAnsi"/>
                <w:sz w:val="18"/>
                <w:szCs w:val="18"/>
              </w:rPr>
              <w:t xml:space="preserve">Newly diagnosed: CCR: 39%. Intermediate-risk AML m-OS: 13.7. </w:t>
            </w:r>
          </w:p>
          <w:p w14:paraId="7F27D772" w14:textId="77777777" w:rsidR="00056DAA" w:rsidRPr="00056DAA" w:rsidRDefault="00056DAA" w:rsidP="00056DAA">
            <w:pPr>
              <w:rPr>
                <w:rFonts w:asciiTheme="minorHAnsi" w:hAnsiTheme="minorHAnsi" w:cstheme="minorHAnsi"/>
                <w:sz w:val="18"/>
                <w:szCs w:val="18"/>
              </w:rPr>
            </w:pPr>
            <w:r w:rsidRPr="00056DAA">
              <w:rPr>
                <w:rFonts w:asciiTheme="minorHAnsi" w:hAnsiTheme="minorHAnsi" w:cstheme="minorHAnsi"/>
                <w:sz w:val="18"/>
                <w:szCs w:val="18"/>
              </w:rPr>
              <w:t>Adverse-risk AML m-OS: 9.2.</w:t>
            </w:r>
          </w:p>
        </w:tc>
        <w:tc>
          <w:tcPr>
            <w:tcW w:w="3376" w:type="dxa"/>
            <w:tcBorders>
              <w:top w:val="single" w:sz="4" w:space="0" w:color="auto"/>
              <w:left w:val="single" w:sz="4" w:space="0" w:color="auto"/>
              <w:bottom w:val="single" w:sz="4" w:space="0" w:color="auto"/>
              <w:right w:val="single" w:sz="4" w:space="0" w:color="auto"/>
            </w:tcBorders>
            <w:hideMark/>
          </w:tcPr>
          <w:p w14:paraId="36812381" w14:textId="77777777" w:rsidR="00056DAA" w:rsidRPr="00056DAA" w:rsidRDefault="00056DAA" w:rsidP="00056DAA">
            <w:pPr>
              <w:rPr>
                <w:rFonts w:asciiTheme="minorHAnsi" w:hAnsiTheme="minorHAnsi" w:cstheme="minorHAnsi"/>
                <w:sz w:val="18"/>
                <w:szCs w:val="18"/>
              </w:rPr>
            </w:pPr>
            <w:r w:rsidRPr="00056DAA">
              <w:rPr>
                <w:rFonts w:asciiTheme="minorHAnsi" w:hAnsiTheme="minorHAnsi" w:cstheme="minorHAnsi"/>
                <w:sz w:val="18"/>
                <w:szCs w:val="18"/>
              </w:rPr>
              <w:t>-No comparison was provided.</w:t>
            </w:r>
          </w:p>
          <w:p w14:paraId="133BE5B5" w14:textId="77777777" w:rsidR="00056DAA" w:rsidRPr="00056DAA" w:rsidRDefault="00056DAA" w:rsidP="00056DAA">
            <w:pPr>
              <w:rPr>
                <w:rFonts w:asciiTheme="minorHAnsi" w:hAnsiTheme="minorHAnsi" w:cstheme="minorHAnsi"/>
                <w:sz w:val="18"/>
                <w:szCs w:val="18"/>
              </w:rPr>
            </w:pPr>
            <w:r w:rsidRPr="00056DAA">
              <w:rPr>
                <w:rFonts w:asciiTheme="minorHAnsi" w:hAnsiTheme="minorHAnsi" w:cstheme="minorHAnsi"/>
                <w:sz w:val="18"/>
                <w:szCs w:val="18"/>
              </w:rPr>
              <w:t>- Published in abstract form.</w:t>
            </w:r>
          </w:p>
        </w:tc>
      </w:tr>
      <w:tr w:rsidR="00056DAA" w:rsidRPr="00056DAA" w14:paraId="2ED3409F" w14:textId="77777777" w:rsidTr="00056DAA">
        <w:trPr>
          <w:trHeight w:val="372"/>
        </w:trPr>
        <w:tc>
          <w:tcPr>
            <w:tcW w:w="1028" w:type="dxa"/>
            <w:tcBorders>
              <w:top w:val="single" w:sz="4" w:space="0" w:color="auto"/>
              <w:left w:val="single" w:sz="4" w:space="0" w:color="auto"/>
              <w:bottom w:val="single" w:sz="4" w:space="0" w:color="auto"/>
              <w:right w:val="single" w:sz="4" w:space="0" w:color="auto"/>
            </w:tcBorders>
            <w:hideMark/>
          </w:tcPr>
          <w:p w14:paraId="0DBDCB35" w14:textId="4D9D0424" w:rsidR="00056DAA" w:rsidRPr="00056DAA" w:rsidRDefault="00056DAA" w:rsidP="00056DAA">
            <w:pPr>
              <w:rPr>
                <w:rFonts w:asciiTheme="minorHAnsi" w:hAnsiTheme="minorHAnsi" w:cstheme="minorHAnsi"/>
                <w:sz w:val="18"/>
                <w:szCs w:val="18"/>
              </w:rPr>
            </w:pPr>
            <w:r w:rsidRPr="00056DAA">
              <w:rPr>
                <w:rFonts w:asciiTheme="minorHAnsi" w:hAnsiTheme="minorHAnsi" w:cstheme="minorHAnsi"/>
                <w:sz w:val="18"/>
                <w:szCs w:val="18"/>
              </w:rPr>
              <w:t>Garcia</w:t>
            </w:r>
            <w:r w:rsidRPr="00056DAA">
              <w:rPr>
                <w:rFonts w:cstheme="minorHAnsi"/>
                <w:sz w:val="18"/>
                <w:szCs w:val="18"/>
              </w:rPr>
              <w:fldChar w:fldCharType="begin"/>
            </w:r>
            <w:r w:rsidR="002D2D6E">
              <w:rPr>
                <w:rFonts w:cstheme="minorHAnsi"/>
                <w:sz w:val="18"/>
                <w:szCs w:val="18"/>
              </w:rPr>
              <w:instrText xml:space="preserve"> ADDIN EN.CITE &lt;EndNote&gt;&lt;Cite&gt;&lt;Author&gt;Garcia&lt;/Author&gt;&lt;Year&gt;2021&lt;/Year&gt;&lt;RecNum&gt;22&lt;/RecNum&gt;&lt;DisplayText&gt;(8)&lt;/DisplayText&gt;&lt;record&gt;&lt;rec-number&gt;22&lt;/rec-number&gt;&lt;foreign-keys&gt;&lt;key app="EN" db-id="5d2tfaxd5v5wt8erttivfvefazxdwf0z5xtz" timestamp="1636316998"&gt;22&lt;/key&gt;&lt;/foreign-keys&gt;&lt;ref-type name="Conference Paper"&gt;47&lt;/ref-type&gt;&lt;contributors&gt;&lt;authors&gt;&lt;author&gt;Garcia, Jacqueline S.&lt;/author&gt;&lt;author&gt;Wolach, Ofir&lt;/author&gt;&lt;author&gt;Vachhani, Pankit&lt;/author&gt;&lt;author&gt;Zeidner, Joshua F.&lt;/author&gt;&lt;author&gt;Talati, Chetasi&lt;/author&gt;&lt;author&gt;Pollyea, Daniel A.&lt;/author&gt;&lt;author&gt;Lai, Catherine&lt;/author&gt;&lt;author&gt;Moshe, Yakir&lt;/author&gt;&lt;author&gt;Abedin, Sameem&lt;/author&gt;&lt;author&gt;Lavie, David&lt;/author&gt;&lt;author&gt;Zuckerman, Tsila&lt;/author&gt;&lt;author&gt;Xavier, Marin&lt;/author&gt;&lt;author&gt;Lee, Sangmin&lt;/author&gt;&lt;author&gt;Edwards, Wesleigh&lt;/author&gt;&lt;author&gt;Chen, Evan&lt;/author&gt;&lt;author&gt;Bui, Cat N.&lt;/author&gt;&lt;author&gt;Svensson, Anders&lt;/author&gt;&lt;author&gt;Burne, Rebecca&lt;/author&gt;&lt;author&gt;Kye, Steve&lt;/author&gt;&lt;author&gt;Maitland, Jessica&lt;/author&gt;&lt;author&gt;Ma, Esprit&lt;/author&gt;&lt;author&gt;Montez, Melissa&lt;/author&gt;&lt;author&gt;Grunspan, Moshe&lt;/author&gt;&lt;author&gt;Goldberg, Aaron&lt;/author&gt;&lt;/authors&gt;&lt;/contributors&gt;&lt;titles&gt;&lt;title&gt;Comparative Effectiveness of Venetoclax Combinations Vs Other Therapies Among Patients with Newly Diagnosed Acute Myeloid Leukemia: Results from the AML Real World Evidence (ARC) Initiative [ASH abstract 2328]&lt;/title&gt;&lt;/titles&gt;&lt;dates&gt;&lt;year&gt;2021&lt;/year&gt;&lt;/dates&gt;&lt;urls&gt;&lt;related-urls&gt;&lt;url&gt;https://ash.confex.com/ash/2021/webprogram/Paper151285.html&lt;/url&gt;&lt;/related-urls&gt;&lt;/urls&gt;&lt;/record&gt;&lt;/Cite&gt;&lt;/EndNote&gt;</w:instrText>
            </w:r>
            <w:r w:rsidRPr="00056DAA">
              <w:rPr>
                <w:rFonts w:cstheme="minorHAnsi"/>
                <w:sz w:val="18"/>
                <w:szCs w:val="18"/>
              </w:rPr>
              <w:fldChar w:fldCharType="separate"/>
            </w:r>
            <w:r w:rsidR="002D2D6E">
              <w:rPr>
                <w:rFonts w:cstheme="minorHAnsi"/>
                <w:noProof/>
                <w:sz w:val="18"/>
                <w:szCs w:val="18"/>
              </w:rPr>
              <w:t>(8)</w:t>
            </w:r>
            <w:r w:rsidRPr="00056DAA">
              <w:rPr>
                <w:rFonts w:cstheme="minorHAnsi"/>
                <w:sz w:val="18"/>
                <w:szCs w:val="18"/>
              </w:rPr>
              <w:fldChar w:fldCharType="end"/>
            </w:r>
            <w:r w:rsidRPr="00056DAA">
              <w:rPr>
                <w:rFonts w:asciiTheme="minorHAnsi" w:hAnsiTheme="minorHAnsi" w:cstheme="minorHAnsi"/>
                <w:sz w:val="18"/>
                <w:szCs w:val="18"/>
              </w:rPr>
              <w:t>/ 2021</w:t>
            </w:r>
          </w:p>
        </w:tc>
        <w:tc>
          <w:tcPr>
            <w:tcW w:w="1310" w:type="dxa"/>
            <w:tcBorders>
              <w:top w:val="single" w:sz="4" w:space="0" w:color="auto"/>
              <w:left w:val="single" w:sz="4" w:space="0" w:color="auto"/>
              <w:bottom w:val="single" w:sz="4" w:space="0" w:color="auto"/>
              <w:right w:val="single" w:sz="4" w:space="0" w:color="auto"/>
            </w:tcBorders>
            <w:hideMark/>
          </w:tcPr>
          <w:p w14:paraId="45295831" w14:textId="77777777" w:rsidR="00056DAA" w:rsidRPr="00056DAA" w:rsidRDefault="00056DAA" w:rsidP="00056DAA">
            <w:pPr>
              <w:rPr>
                <w:rFonts w:asciiTheme="minorHAnsi" w:hAnsiTheme="minorHAnsi" w:cstheme="minorHAnsi"/>
                <w:sz w:val="18"/>
                <w:szCs w:val="18"/>
              </w:rPr>
            </w:pPr>
            <w:r w:rsidRPr="00056DAA">
              <w:rPr>
                <w:rFonts w:asciiTheme="minorHAnsi" w:hAnsiTheme="minorHAnsi" w:cstheme="minorHAnsi"/>
                <w:sz w:val="18"/>
                <w:szCs w:val="18"/>
              </w:rPr>
              <w:t>Retrospective cohort/ Multi-center</w:t>
            </w:r>
          </w:p>
        </w:tc>
        <w:tc>
          <w:tcPr>
            <w:tcW w:w="1629" w:type="dxa"/>
            <w:tcBorders>
              <w:top w:val="single" w:sz="4" w:space="0" w:color="auto"/>
              <w:left w:val="single" w:sz="4" w:space="0" w:color="auto"/>
              <w:bottom w:val="single" w:sz="4" w:space="0" w:color="auto"/>
              <w:right w:val="single" w:sz="4" w:space="0" w:color="auto"/>
            </w:tcBorders>
            <w:hideMark/>
          </w:tcPr>
          <w:p w14:paraId="5E292285" w14:textId="77777777" w:rsidR="00056DAA" w:rsidRPr="00056DAA" w:rsidRDefault="00056DAA" w:rsidP="00056DAA">
            <w:pPr>
              <w:rPr>
                <w:rFonts w:asciiTheme="minorHAnsi" w:hAnsiTheme="minorHAnsi" w:cstheme="minorHAnsi"/>
                <w:sz w:val="18"/>
                <w:szCs w:val="18"/>
              </w:rPr>
            </w:pPr>
            <w:r w:rsidRPr="00056DAA">
              <w:rPr>
                <w:rFonts w:asciiTheme="minorHAnsi" w:hAnsiTheme="minorHAnsi" w:cstheme="minorHAnsi"/>
                <w:sz w:val="18"/>
                <w:szCs w:val="18"/>
              </w:rPr>
              <w:t>All newly diagnosed AML patients treated with VEN based regimen to non-VEN based regimens</w:t>
            </w:r>
          </w:p>
        </w:tc>
        <w:tc>
          <w:tcPr>
            <w:tcW w:w="2486" w:type="dxa"/>
            <w:tcBorders>
              <w:top w:val="single" w:sz="4" w:space="0" w:color="auto"/>
              <w:left w:val="single" w:sz="4" w:space="0" w:color="auto"/>
              <w:bottom w:val="single" w:sz="4" w:space="0" w:color="auto"/>
              <w:right w:val="single" w:sz="4" w:space="0" w:color="auto"/>
            </w:tcBorders>
            <w:hideMark/>
          </w:tcPr>
          <w:p w14:paraId="6B1E3689" w14:textId="77777777" w:rsidR="00056DAA" w:rsidRPr="00056DAA" w:rsidRDefault="00056DAA" w:rsidP="00056DAA">
            <w:pPr>
              <w:rPr>
                <w:rFonts w:asciiTheme="minorHAnsi" w:hAnsiTheme="minorHAnsi" w:cstheme="minorHAnsi"/>
                <w:sz w:val="18"/>
                <w:szCs w:val="18"/>
              </w:rPr>
            </w:pPr>
            <w:r w:rsidRPr="00056DAA">
              <w:rPr>
                <w:rFonts w:asciiTheme="minorHAnsi" w:hAnsiTheme="minorHAnsi" w:cstheme="minorHAnsi"/>
                <w:sz w:val="18"/>
                <w:szCs w:val="18"/>
              </w:rPr>
              <w:t xml:space="preserve">VEN arm (113): AZA-VEN (80%), DEC-VEN (18%), LDAC-VEN (2%). </w:t>
            </w:r>
          </w:p>
          <w:p w14:paraId="011F0708" w14:textId="77777777" w:rsidR="00056DAA" w:rsidRPr="00056DAA" w:rsidRDefault="00056DAA" w:rsidP="00056DAA">
            <w:pPr>
              <w:rPr>
                <w:rFonts w:asciiTheme="minorHAnsi" w:hAnsiTheme="minorHAnsi" w:cstheme="minorHAnsi"/>
                <w:sz w:val="18"/>
                <w:szCs w:val="18"/>
              </w:rPr>
            </w:pPr>
            <w:r w:rsidRPr="00056DAA">
              <w:rPr>
                <w:rFonts w:asciiTheme="minorHAnsi" w:hAnsiTheme="minorHAnsi" w:cstheme="minorHAnsi"/>
                <w:sz w:val="18"/>
                <w:szCs w:val="18"/>
              </w:rPr>
              <w:t>Non-VEN arm (113): AZA (14%), DEC (19.5%), Anthracycline-based (67%)</w:t>
            </w:r>
          </w:p>
        </w:tc>
        <w:tc>
          <w:tcPr>
            <w:tcW w:w="1600" w:type="dxa"/>
            <w:tcBorders>
              <w:top w:val="single" w:sz="4" w:space="0" w:color="auto"/>
              <w:left w:val="single" w:sz="4" w:space="0" w:color="auto"/>
              <w:bottom w:val="single" w:sz="4" w:space="0" w:color="auto"/>
              <w:right w:val="single" w:sz="4" w:space="0" w:color="auto"/>
            </w:tcBorders>
            <w:hideMark/>
          </w:tcPr>
          <w:p w14:paraId="1E5D68B1" w14:textId="77777777" w:rsidR="00056DAA" w:rsidRPr="00056DAA" w:rsidRDefault="00056DAA" w:rsidP="00056DAA">
            <w:pPr>
              <w:rPr>
                <w:rFonts w:asciiTheme="minorHAnsi" w:hAnsiTheme="minorHAnsi" w:cstheme="minorHAnsi"/>
                <w:sz w:val="18"/>
                <w:szCs w:val="18"/>
              </w:rPr>
            </w:pPr>
            <w:r w:rsidRPr="00056DAA">
              <w:rPr>
                <w:rFonts w:asciiTheme="minorHAnsi" w:hAnsiTheme="minorHAnsi" w:cstheme="minorHAnsi"/>
                <w:sz w:val="18"/>
                <w:szCs w:val="18"/>
              </w:rPr>
              <w:t>Not specified</w:t>
            </w:r>
          </w:p>
        </w:tc>
        <w:tc>
          <w:tcPr>
            <w:tcW w:w="2839" w:type="dxa"/>
            <w:tcBorders>
              <w:top w:val="single" w:sz="4" w:space="0" w:color="auto"/>
              <w:left w:val="single" w:sz="4" w:space="0" w:color="auto"/>
              <w:bottom w:val="single" w:sz="4" w:space="0" w:color="auto"/>
              <w:right w:val="single" w:sz="4" w:space="0" w:color="auto"/>
            </w:tcBorders>
            <w:hideMark/>
          </w:tcPr>
          <w:p w14:paraId="00861D48" w14:textId="77777777" w:rsidR="00056DAA" w:rsidRPr="00056DAA" w:rsidRDefault="00056DAA" w:rsidP="00056DAA">
            <w:pPr>
              <w:rPr>
                <w:rFonts w:asciiTheme="minorHAnsi" w:hAnsiTheme="minorHAnsi" w:cstheme="minorHAnsi"/>
                <w:sz w:val="18"/>
                <w:szCs w:val="18"/>
              </w:rPr>
            </w:pPr>
            <w:r w:rsidRPr="00056DAA">
              <w:rPr>
                <w:rFonts w:asciiTheme="minorHAnsi" w:hAnsiTheme="minorHAnsi" w:cstheme="minorHAnsi"/>
                <w:sz w:val="18"/>
                <w:szCs w:val="18"/>
              </w:rPr>
              <w:t xml:space="preserve">1-year-OS: 62.6% vs. 49.8% . 1-year-EFS: 41.4% vs. 31.5% .CCR: 60.4% vs. 50%. </w:t>
            </w:r>
          </w:p>
        </w:tc>
        <w:tc>
          <w:tcPr>
            <w:tcW w:w="3376" w:type="dxa"/>
            <w:tcBorders>
              <w:top w:val="single" w:sz="4" w:space="0" w:color="auto"/>
              <w:left w:val="single" w:sz="4" w:space="0" w:color="auto"/>
              <w:bottom w:val="single" w:sz="4" w:space="0" w:color="auto"/>
              <w:right w:val="single" w:sz="4" w:space="0" w:color="auto"/>
            </w:tcBorders>
            <w:hideMark/>
          </w:tcPr>
          <w:p w14:paraId="341DFD01" w14:textId="77777777" w:rsidR="00056DAA" w:rsidRPr="00056DAA" w:rsidRDefault="00056DAA" w:rsidP="00056DAA">
            <w:pPr>
              <w:rPr>
                <w:rFonts w:asciiTheme="minorHAnsi" w:hAnsiTheme="minorHAnsi" w:cstheme="minorHAnsi"/>
                <w:sz w:val="18"/>
                <w:szCs w:val="18"/>
              </w:rPr>
            </w:pPr>
            <w:r w:rsidRPr="00056DAA">
              <w:rPr>
                <w:rFonts w:asciiTheme="minorHAnsi" w:hAnsiTheme="minorHAnsi" w:cstheme="minorHAnsi"/>
                <w:sz w:val="18"/>
                <w:szCs w:val="18"/>
              </w:rPr>
              <w:t xml:space="preserve">-The non-VEN arm patients were matched with VEN patients. The method of matching was not specified. -Mean follow-up for VEN arm and non-VEN arm was 9.2 and 14.6 mo. </w:t>
            </w:r>
          </w:p>
          <w:p w14:paraId="7D7FE724" w14:textId="77777777" w:rsidR="00056DAA" w:rsidRPr="00056DAA" w:rsidRDefault="00056DAA" w:rsidP="00056DAA">
            <w:pPr>
              <w:rPr>
                <w:rFonts w:asciiTheme="minorHAnsi" w:hAnsiTheme="minorHAnsi" w:cstheme="minorHAnsi"/>
                <w:sz w:val="18"/>
                <w:szCs w:val="18"/>
              </w:rPr>
            </w:pPr>
            <w:r w:rsidRPr="00056DAA">
              <w:rPr>
                <w:rFonts w:asciiTheme="minorHAnsi" w:hAnsiTheme="minorHAnsi" w:cstheme="minorHAnsi"/>
                <w:sz w:val="18"/>
                <w:szCs w:val="18"/>
              </w:rPr>
              <w:t>- Published in abstract form.</w:t>
            </w:r>
          </w:p>
        </w:tc>
      </w:tr>
      <w:tr w:rsidR="00056DAA" w:rsidRPr="00056DAA" w14:paraId="2A796D6D" w14:textId="77777777" w:rsidTr="00056DAA">
        <w:trPr>
          <w:trHeight w:val="372"/>
        </w:trPr>
        <w:tc>
          <w:tcPr>
            <w:tcW w:w="1028" w:type="dxa"/>
            <w:tcBorders>
              <w:top w:val="single" w:sz="4" w:space="0" w:color="auto"/>
              <w:left w:val="single" w:sz="4" w:space="0" w:color="auto"/>
              <w:bottom w:val="single" w:sz="4" w:space="0" w:color="auto"/>
              <w:right w:val="single" w:sz="4" w:space="0" w:color="auto"/>
            </w:tcBorders>
            <w:hideMark/>
          </w:tcPr>
          <w:p w14:paraId="7962E701" w14:textId="665C3C6D" w:rsidR="00056DAA" w:rsidRPr="00056DAA" w:rsidRDefault="00056DAA" w:rsidP="00056DAA">
            <w:pPr>
              <w:rPr>
                <w:rFonts w:asciiTheme="minorHAnsi" w:hAnsiTheme="minorHAnsi" w:cstheme="minorHAnsi"/>
                <w:sz w:val="18"/>
                <w:szCs w:val="18"/>
              </w:rPr>
            </w:pPr>
            <w:r w:rsidRPr="00056DAA">
              <w:rPr>
                <w:rFonts w:asciiTheme="minorHAnsi" w:hAnsiTheme="minorHAnsi" w:cstheme="minorHAnsi"/>
                <w:sz w:val="18"/>
                <w:szCs w:val="18"/>
              </w:rPr>
              <w:t xml:space="preserve">Kim </w:t>
            </w:r>
            <w:r w:rsidRPr="00056DAA">
              <w:rPr>
                <w:rFonts w:cstheme="minorHAnsi"/>
                <w:sz w:val="18"/>
                <w:szCs w:val="18"/>
              </w:rPr>
              <w:fldChar w:fldCharType="begin">
                <w:fldData xml:space="preserve">PEVuZE5vdGU+PENpdGU+PEF1dGhvcj5LaW08L0F1dGhvcj48WWVhcj4yMDIxPC9ZZWFyPjxSZWNO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</w:fldData>
              </w:fldChar>
            </w:r>
            <w:r w:rsidR="002D2D6E">
              <w:rPr>
                <w:rFonts w:cstheme="minorHAnsi"/>
                <w:sz w:val="18"/>
                <w:szCs w:val="18"/>
              </w:rPr>
              <w:instrText xml:space="preserve"> ADDIN EN.CITE </w:instrText>
            </w:r>
            <w:r w:rsidR="002D2D6E">
              <w:rPr>
                <w:rFonts w:cstheme="minorHAnsi"/>
                <w:sz w:val="18"/>
                <w:szCs w:val="18"/>
              </w:rPr>
              <w:fldChar w:fldCharType="begin">
                <w:fldData xml:space="preserve">PEVuZE5vdGU+PENpdGU+PEF1dGhvcj5LaW08L0F1dGhvcj48WWVhcj4yMDIxPC9ZZWFyPjxSZWNO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</w:fldData>
              </w:fldChar>
            </w:r>
            <w:r w:rsidR="002D2D6E">
              <w:rPr>
                <w:rFonts w:cstheme="minorHAnsi"/>
                <w:sz w:val="18"/>
                <w:szCs w:val="18"/>
              </w:rPr>
              <w:instrText xml:space="preserve"> ADDIN EN.CITE.DATA </w:instrText>
            </w:r>
            <w:r w:rsidR="002D2D6E">
              <w:rPr>
                <w:rFonts w:cstheme="minorHAnsi"/>
                <w:sz w:val="18"/>
                <w:szCs w:val="18"/>
              </w:rPr>
            </w:r>
            <w:r w:rsidR="002D2D6E">
              <w:rPr>
                <w:rFonts w:cstheme="minorHAnsi"/>
                <w:sz w:val="18"/>
                <w:szCs w:val="18"/>
              </w:rPr>
              <w:fldChar w:fldCharType="end"/>
            </w:r>
            <w:r w:rsidRPr="00056DAA">
              <w:rPr>
                <w:rFonts w:cstheme="minorHAnsi"/>
                <w:sz w:val="18"/>
                <w:szCs w:val="18"/>
              </w:rPr>
            </w:r>
            <w:r w:rsidRPr="00056DAA">
              <w:rPr>
                <w:rFonts w:cstheme="minorHAnsi"/>
                <w:sz w:val="18"/>
                <w:szCs w:val="18"/>
              </w:rPr>
              <w:fldChar w:fldCharType="separate"/>
            </w:r>
            <w:r w:rsidR="002D2D6E">
              <w:rPr>
                <w:rFonts w:cstheme="minorHAnsi"/>
                <w:noProof/>
                <w:sz w:val="18"/>
                <w:szCs w:val="18"/>
              </w:rPr>
              <w:t>(9)</w:t>
            </w:r>
            <w:r w:rsidRPr="00056DAA">
              <w:rPr>
                <w:rFonts w:cstheme="minorHAnsi"/>
                <w:sz w:val="18"/>
                <w:szCs w:val="18"/>
              </w:rPr>
              <w:fldChar w:fldCharType="end"/>
            </w:r>
            <w:r w:rsidRPr="00056DAA">
              <w:rPr>
                <w:rFonts w:asciiTheme="minorHAnsi" w:hAnsiTheme="minorHAnsi" w:cstheme="minorHAnsi"/>
                <w:sz w:val="18"/>
                <w:szCs w:val="18"/>
              </w:rPr>
              <w:t>/2021</w:t>
            </w:r>
          </w:p>
        </w:tc>
        <w:tc>
          <w:tcPr>
            <w:tcW w:w="1310" w:type="dxa"/>
            <w:tcBorders>
              <w:top w:val="single" w:sz="4" w:space="0" w:color="auto"/>
              <w:left w:val="single" w:sz="4" w:space="0" w:color="auto"/>
              <w:bottom w:val="single" w:sz="4" w:space="0" w:color="auto"/>
              <w:right w:val="single" w:sz="4" w:space="0" w:color="auto"/>
            </w:tcBorders>
            <w:hideMark/>
          </w:tcPr>
          <w:p w14:paraId="624509FF" w14:textId="77777777" w:rsidR="00056DAA" w:rsidRPr="00056DAA" w:rsidRDefault="00056DAA" w:rsidP="00056DAA">
            <w:pPr>
              <w:rPr>
                <w:rFonts w:asciiTheme="minorHAnsi" w:hAnsiTheme="minorHAnsi" w:cstheme="minorHAnsi"/>
                <w:sz w:val="18"/>
                <w:szCs w:val="18"/>
              </w:rPr>
            </w:pPr>
            <w:r w:rsidRPr="00056DAA">
              <w:rPr>
                <w:rFonts w:asciiTheme="minorHAnsi" w:hAnsiTheme="minorHAnsi" w:cstheme="minorHAnsi"/>
                <w:sz w:val="18"/>
                <w:szCs w:val="18"/>
              </w:rPr>
              <w:t>Retrospective cohort/ Single-center</w:t>
            </w:r>
          </w:p>
        </w:tc>
        <w:tc>
          <w:tcPr>
            <w:tcW w:w="1629" w:type="dxa"/>
            <w:tcBorders>
              <w:top w:val="single" w:sz="4" w:space="0" w:color="auto"/>
              <w:left w:val="single" w:sz="4" w:space="0" w:color="auto"/>
              <w:bottom w:val="single" w:sz="4" w:space="0" w:color="auto"/>
              <w:right w:val="single" w:sz="4" w:space="0" w:color="auto"/>
            </w:tcBorders>
            <w:hideMark/>
          </w:tcPr>
          <w:p w14:paraId="0D9D6690" w14:textId="77777777" w:rsidR="00056DAA" w:rsidRPr="00056DAA" w:rsidRDefault="00056DAA" w:rsidP="00056DAA">
            <w:pPr>
              <w:rPr>
                <w:rFonts w:asciiTheme="minorHAnsi" w:hAnsiTheme="minorHAnsi" w:cstheme="minorHAnsi"/>
                <w:sz w:val="18"/>
                <w:szCs w:val="18"/>
              </w:rPr>
            </w:pPr>
            <w:r w:rsidRPr="00056DAA">
              <w:rPr>
                <w:rFonts w:asciiTheme="minorHAnsi" w:hAnsiTheme="minorHAnsi" w:cstheme="minorHAnsi"/>
                <w:sz w:val="18"/>
                <w:szCs w:val="18"/>
              </w:rPr>
              <w:t>All newly diagnosed AML patients treated with DEC-VEN</w:t>
            </w:r>
          </w:p>
        </w:tc>
        <w:tc>
          <w:tcPr>
            <w:tcW w:w="2486" w:type="dxa"/>
            <w:tcBorders>
              <w:top w:val="single" w:sz="4" w:space="0" w:color="auto"/>
              <w:left w:val="single" w:sz="4" w:space="0" w:color="auto"/>
              <w:bottom w:val="single" w:sz="4" w:space="0" w:color="auto"/>
              <w:right w:val="single" w:sz="4" w:space="0" w:color="auto"/>
            </w:tcBorders>
            <w:hideMark/>
          </w:tcPr>
          <w:p w14:paraId="6A745D81" w14:textId="77777777" w:rsidR="00056DAA" w:rsidRPr="00056DAA" w:rsidRDefault="00056DAA" w:rsidP="00056DAA">
            <w:pPr>
              <w:rPr>
                <w:rFonts w:asciiTheme="minorHAnsi" w:hAnsiTheme="minorHAnsi" w:cstheme="minorHAnsi"/>
                <w:sz w:val="18"/>
                <w:szCs w:val="18"/>
              </w:rPr>
            </w:pPr>
            <w:r w:rsidRPr="00056DAA">
              <w:rPr>
                <w:rFonts w:asciiTheme="minorHAnsi" w:hAnsiTheme="minorHAnsi" w:cstheme="minorHAnsi"/>
                <w:sz w:val="18"/>
                <w:szCs w:val="18"/>
              </w:rPr>
              <w:t>-P53 mutated AML vs. P53 wild-type AML. Both groups were treated with DEC-VEN</w:t>
            </w:r>
          </w:p>
          <w:p w14:paraId="0D340ABD" w14:textId="77777777" w:rsidR="00056DAA" w:rsidRPr="00056DAA" w:rsidRDefault="00056DAA" w:rsidP="00056DAA">
            <w:pPr>
              <w:rPr>
                <w:rFonts w:asciiTheme="minorHAnsi" w:hAnsiTheme="minorHAnsi" w:cstheme="minorHAnsi"/>
                <w:sz w:val="18"/>
                <w:szCs w:val="18"/>
              </w:rPr>
            </w:pPr>
            <w:r w:rsidRPr="00056DAA">
              <w:rPr>
                <w:rFonts w:asciiTheme="minorHAnsi" w:hAnsiTheme="minorHAnsi" w:cstheme="minorHAnsi"/>
                <w:sz w:val="18"/>
                <w:szCs w:val="18"/>
              </w:rPr>
              <w:t xml:space="preserve">-  P53 mutated AML treated with VEN-DEC (35) vs. DEC (10). </w:t>
            </w:r>
          </w:p>
        </w:tc>
        <w:tc>
          <w:tcPr>
            <w:tcW w:w="1600" w:type="dxa"/>
            <w:tcBorders>
              <w:top w:val="single" w:sz="4" w:space="0" w:color="auto"/>
              <w:left w:val="single" w:sz="4" w:space="0" w:color="auto"/>
              <w:bottom w:val="single" w:sz="4" w:space="0" w:color="auto"/>
              <w:right w:val="single" w:sz="4" w:space="0" w:color="auto"/>
            </w:tcBorders>
            <w:hideMark/>
          </w:tcPr>
          <w:p w14:paraId="208CA537" w14:textId="77777777" w:rsidR="00056DAA" w:rsidRPr="00056DAA" w:rsidRDefault="00056DAA" w:rsidP="00056DAA">
            <w:pPr>
              <w:rPr>
                <w:rFonts w:asciiTheme="minorHAnsi" w:hAnsiTheme="minorHAnsi" w:cstheme="minorHAnsi"/>
                <w:sz w:val="18"/>
                <w:szCs w:val="18"/>
              </w:rPr>
            </w:pPr>
            <w:r w:rsidRPr="00056DAA">
              <w:rPr>
                <w:rFonts w:asciiTheme="minorHAnsi" w:hAnsiTheme="minorHAnsi" w:cstheme="minorHAnsi"/>
                <w:sz w:val="18"/>
                <w:szCs w:val="18"/>
              </w:rPr>
              <w:t xml:space="preserve">DEC: 20 mg/m2 IV for 10 days of 28 days cycle until CR followed by 5-day cycles. </w:t>
            </w:r>
          </w:p>
          <w:p w14:paraId="4EAAFD6E" w14:textId="77777777" w:rsidR="00056DAA" w:rsidRPr="00056DAA" w:rsidRDefault="00056DAA" w:rsidP="00056DAA">
            <w:pPr>
              <w:rPr>
                <w:rFonts w:asciiTheme="minorHAnsi" w:hAnsiTheme="minorHAnsi" w:cstheme="minorHAnsi"/>
                <w:sz w:val="18"/>
                <w:szCs w:val="18"/>
              </w:rPr>
            </w:pPr>
            <w:r w:rsidRPr="00056DAA">
              <w:rPr>
                <w:rFonts w:asciiTheme="minorHAnsi" w:hAnsiTheme="minorHAnsi" w:cstheme="minorHAnsi"/>
                <w:sz w:val="18"/>
                <w:szCs w:val="18"/>
              </w:rPr>
              <w:lastRenderedPageBreak/>
              <w:t>VEN: ramp up dose to 400 mg QD.</w:t>
            </w:r>
          </w:p>
        </w:tc>
        <w:tc>
          <w:tcPr>
            <w:tcW w:w="2839" w:type="dxa"/>
            <w:tcBorders>
              <w:top w:val="single" w:sz="4" w:space="0" w:color="auto"/>
              <w:left w:val="single" w:sz="4" w:space="0" w:color="auto"/>
              <w:bottom w:val="single" w:sz="4" w:space="0" w:color="auto"/>
              <w:right w:val="single" w:sz="4" w:space="0" w:color="auto"/>
            </w:tcBorders>
          </w:tcPr>
          <w:p w14:paraId="10C9459F" w14:textId="77777777" w:rsidR="00056DAA" w:rsidRPr="00056DAA" w:rsidRDefault="00056DAA" w:rsidP="00056DAA">
            <w:pPr>
              <w:rPr>
                <w:rFonts w:asciiTheme="minorHAnsi" w:hAnsiTheme="minorHAnsi" w:cstheme="minorHAnsi"/>
                <w:sz w:val="18"/>
                <w:szCs w:val="18"/>
              </w:rPr>
            </w:pPr>
            <w:r w:rsidRPr="00056DAA">
              <w:rPr>
                <w:rFonts w:asciiTheme="minorHAnsi" w:hAnsiTheme="minorHAnsi" w:cstheme="minorHAnsi"/>
                <w:sz w:val="18"/>
                <w:szCs w:val="18"/>
              </w:rPr>
              <w:lastRenderedPageBreak/>
              <w:t xml:space="preserve">DEC vs, DEC-VEN: m-OS: 4.9 vs. 5.2. CCR: 53% vs. 66%. </w:t>
            </w:r>
          </w:p>
          <w:p w14:paraId="1480A461" w14:textId="77777777" w:rsidR="00056DAA" w:rsidRPr="00056DAA" w:rsidRDefault="00056DAA" w:rsidP="00056DAA">
            <w:pPr>
              <w:rPr>
                <w:rFonts w:asciiTheme="minorHAnsi" w:hAnsiTheme="minorHAnsi" w:cstheme="minorHAnsi"/>
                <w:sz w:val="18"/>
                <w:szCs w:val="18"/>
              </w:rPr>
            </w:pPr>
          </w:p>
        </w:tc>
        <w:tc>
          <w:tcPr>
            <w:tcW w:w="3376" w:type="dxa"/>
            <w:tcBorders>
              <w:top w:val="single" w:sz="4" w:space="0" w:color="auto"/>
              <w:left w:val="single" w:sz="4" w:space="0" w:color="auto"/>
              <w:bottom w:val="single" w:sz="4" w:space="0" w:color="auto"/>
              <w:right w:val="single" w:sz="4" w:space="0" w:color="auto"/>
            </w:tcBorders>
          </w:tcPr>
          <w:p w14:paraId="262ED8E2" w14:textId="77777777" w:rsidR="00056DAA" w:rsidRPr="00056DAA" w:rsidRDefault="00056DAA" w:rsidP="00056DAA">
            <w:pPr>
              <w:rPr>
                <w:rFonts w:asciiTheme="minorHAnsi" w:hAnsiTheme="minorHAnsi" w:cstheme="minorHAnsi"/>
                <w:sz w:val="18"/>
                <w:szCs w:val="18"/>
              </w:rPr>
            </w:pPr>
            <w:r w:rsidRPr="00056DAA">
              <w:rPr>
                <w:rFonts w:asciiTheme="minorHAnsi" w:hAnsiTheme="minorHAnsi" w:cstheme="minorHAnsi"/>
                <w:sz w:val="18"/>
                <w:szCs w:val="18"/>
              </w:rPr>
              <w:t xml:space="preserve">-Comparisons groups DEC-VEN vs DEC are all P53 mutated. </w:t>
            </w:r>
          </w:p>
          <w:p w14:paraId="6E43200E" w14:textId="77777777" w:rsidR="00056DAA" w:rsidRPr="00056DAA" w:rsidRDefault="00056DAA" w:rsidP="00056DAA">
            <w:pPr>
              <w:rPr>
                <w:rFonts w:asciiTheme="minorHAnsi" w:hAnsiTheme="minorHAnsi" w:cstheme="minorHAnsi"/>
                <w:sz w:val="18"/>
                <w:szCs w:val="18"/>
              </w:rPr>
            </w:pPr>
            <w:r w:rsidRPr="00056DAA">
              <w:rPr>
                <w:rFonts w:asciiTheme="minorHAnsi" w:hAnsiTheme="minorHAnsi" w:cstheme="minorHAnsi"/>
                <w:sz w:val="18"/>
                <w:szCs w:val="18"/>
              </w:rPr>
              <w:t xml:space="preserve">-Outcomes were not adjusted. </w:t>
            </w:r>
          </w:p>
          <w:p w14:paraId="20319DA4" w14:textId="77777777" w:rsidR="00056DAA" w:rsidRPr="00056DAA" w:rsidRDefault="00056DAA" w:rsidP="00056DAA">
            <w:pPr>
              <w:rPr>
                <w:rFonts w:asciiTheme="minorHAnsi" w:hAnsiTheme="minorHAnsi" w:cstheme="minorHAnsi"/>
                <w:sz w:val="18"/>
                <w:szCs w:val="18"/>
              </w:rPr>
            </w:pPr>
          </w:p>
        </w:tc>
      </w:tr>
      <w:tr w:rsidR="00056DAA" w:rsidRPr="00056DAA" w14:paraId="30605367" w14:textId="77777777" w:rsidTr="00056DAA">
        <w:trPr>
          <w:trHeight w:val="372"/>
        </w:trPr>
        <w:tc>
          <w:tcPr>
            <w:tcW w:w="1028" w:type="dxa"/>
            <w:tcBorders>
              <w:top w:val="single" w:sz="4" w:space="0" w:color="auto"/>
              <w:left w:val="single" w:sz="4" w:space="0" w:color="auto"/>
              <w:bottom w:val="single" w:sz="4" w:space="0" w:color="auto"/>
              <w:right w:val="single" w:sz="4" w:space="0" w:color="auto"/>
            </w:tcBorders>
            <w:hideMark/>
          </w:tcPr>
          <w:p w14:paraId="0F67C811" w14:textId="1C6EECE4" w:rsidR="00056DAA" w:rsidRPr="00056DAA" w:rsidRDefault="00056DAA" w:rsidP="00056DAA">
            <w:pPr>
              <w:rPr>
                <w:rFonts w:asciiTheme="minorHAnsi" w:hAnsiTheme="minorHAnsi" w:cstheme="minorHAnsi"/>
                <w:sz w:val="18"/>
                <w:szCs w:val="18"/>
              </w:rPr>
            </w:pPr>
            <w:r w:rsidRPr="00056DAA">
              <w:rPr>
                <w:rFonts w:asciiTheme="minorHAnsi" w:hAnsiTheme="minorHAnsi" w:cstheme="minorHAnsi"/>
                <w:sz w:val="18"/>
                <w:szCs w:val="18"/>
              </w:rPr>
              <w:t xml:space="preserve">Maiti </w:t>
            </w:r>
            <w:r w:rsidRPr="00056DAA">
              <w:rPr>
                <w:rFonts w:cstheme="minorHAnsi"/>
                <w:sz w:val="18"/>
                <w:szCs w:val="18"/>
              </w:rPr>
              <w:fldChar w:fldCharType="begin"/>
            </w:r>
            <w:r w:rsidR="002D2D6E">
              <w:rPr>
                <w:rFonts w:cstheme="minorHAnsi"/>
                <w:sz w:val="18"/>
                <w:szCs w:val="18"/>
              </w:rPr>
              <w:instrText xml:space="preserve"> ADDIN EN.CITE &lt;EndNote&gt;&lt;Cite&gt;&lt;Author&gt;Maiti&lt;/Author&gt;&lt;Year&gt;2021&lt;/Year&gt;&lt;RecNum&gt;20&lt;/RecNum&gt;&lt;DisplayText&gt;(10)&lt;/DisplayText&gt;&lt;record&gt;&lt;rec-number&gt;20&lt;/rec-number&gt;&lt;foreign-keys&gt;&lt;key app="EN" db-id="5d2tfaxd5v5wt8erttivfvefazxdwf0z5xtz" timestamp="1636313639"&gt;20&lt;/key&gt;&lt;/foreign-keys&gt;&lt;ref-type name="Conference Paper"&gt;47&lt;/ref-type&gt;&lt;contributors&gt;&lt;authors&gt;&lt;author&gt;Maiti, Abhishek&lt;/author&gt;&lt;author&gt;DiNardo, Courtney&lt;/author&gt;&lt;author&gt;Rausch, Caitlin&lt;/author&gt;&lt;author&gt;Pemmaraju, Naveen&lt;/author&gt;&lt;author&gt;Garcia-Manero, Guillermo&lt;/author&gt;&lt;author&gt;Ohanian, Maro&lt;/author&gt;&lt;author&gt;Daver, Naval&lt;/author&gt;&lt;author&gt;Issa, Ghayas&lt;/author&gt;&lt;author&gt;Borthakur, Gautam&lt;/author&gt;&lt;author&gt;Ravandi, Farhad&lt;/author&gt;&lt;author&gt;Alvarado, Yesid&lt;/author&gt;&lt;author&gt;Kadia, Tapan &lt;/author&gt;&lt;author&gt;Short, Nicholas&lt;/author&gt;&lt;author&gt;Jabbour, Elias&lt;/author&gt;&lt;author&gt;Montalban-Bravo, Guillermo&lt;/author&gt;&lt;author&gt;Jain, Nitin&lt;/author&gt;&lt;author&gt;Kornblau, Steven&lt;/author&gt;&lt;author&gt;Masarova, Lucia&lt;/author&gt;&lt;author&gt;Wierda, William&lt;/author&gt;&lt;author&gt;Sasaki, Koji&lt;/author&gt;&lt;author&gt;Takahashii, Koichi&lt;/author&gt;&lt;author&gt;Yilmaz, Musa&lt;/author&gt;&lt;author&gt;Burger, Jan&lt;/author&gt;&lt;author&gt;Estrov, Zeev&lt;/author&gt;&lt;author&gt;Verstovsek, Srdan&lt;/author&gt;&lt;author&gt;Andreeff, Michael&lt;/author&gt;&lt;author&gt;Bose, Prithviraj&lt;/author&gt;&lt;author&gt;Ferrajoli, Alessandra&lt;/author&gt;&lt;author&gt;Thompson, Philip&lt;/author&gt;&lt;author&gt;Montalbano, Kathryn&lt;/author&gt;&lt;author&gt;Vaughan, Kenneth&lt;/author&gt;&lt;author&gt;Bivins, Carol&lt;/author&gt;&lt;author&gt;Pierce, Sherry&lt;/author&gt;&lt;author&gt;Qiao, Wei&lt;/author&gt;&lt;author&gt;Ning, Jing&lt;/author&gt;&lt;author&gt;Welch, John&lt;/author&gt;&lt;author&gt;Kantarjian, Hagop&lt;/author&gt;&lt;author&gt;Konopleva, Marina&lt;/author&gt;&lt;/authors&gt;&lt;/contributors&gt;&lt;titles&gt;&lt;title&gt;Ten-Day Decitabine with Venetoclax (DEC10-VEN) in Acute Myeloid Leukemia and Myelodysplastic Syndrome: Updated Results of a Phase II Trial [ASH abstract 1270]&lt;/title&gt;&lt;/titles&gt;&lt;dates&gt;&lt;year&gt;2021&lt;/year&gt;&lt;/dates&gt;&lt;urls&gt;&lt;related-urls&gt;&lt;url&gt;https://ash.confex.com/ash/2021/webprogram/Paper153530.html&lt;/url&gt;&lt;/related-urls&gt;&lt;/urls&gt;&lt;/record&gt;&lt;/Cite&gt;&lt;/EndNote&gt;</w:instrText>
            </w:r>
            <w:r w:rsidRPr="00056DAA">
              <w:rPr>
                <w:rFonts w:cstheme="minorHAnsi"/>
                <w:sz w:val="18"/>
                <w:szCs w:val="18"/>
              </w:rPr>
              <w:fldChar w:fldCharType="separate"/>
            </w:r>
            <w:r w:rsidR="002D2D6E">
              <w:rPr>
                <w:rFonts w:cstheme="minorHAnsi"/>
                <w:noProof/>
                <w:sz w:val="18"/>
                <w:szCs w:val="18"/>
              </w:rPr>
              <w:t>(10)</w:t>
            </w:r>
            <w:r w:rsidRPr="00056DAA">
              <w:rPr>
                <w:rFonts w:cstheme="minorHAnsi"/>
                <w:sz w:val="18"/>
                <w:szCs w:val="18"/>
              </w:rPr>
              <w:fldChar w:fldCharType="end"/>
            </w:r>
            <w:r w:rsidRPr="00056DAA">
              <w:rPr>
                <w:rFonts w:asciiTheme="minorHAnsi" w:hAnsiTheme="minorHAnsi" w:cstheme="minorHAnsi"/>
                <w:sz w:val="18"/>
                <w:szCs w:val="18"/>
              </w:rPr>
              <w:t>/ 2021</w:t>
            </w:r>
          </w:p>
        </w:tc>
        <w:tc>
          <w:tcPr>
            <w:tcW w:w="1310" w:type="dxa"/>
            <w:tcBorders>
              <w:top w:val="single" w:sz="4" w:space="0" w:color="auto"/>
              <w:left w:val="single" w:sz="4" w:space="0" w:color="auto"/>
              <w:bottom w:val="single" w:sz="4" w:space="0" w:color="auto"/>
              <w:right w:val="single" w:sz="4" w:space="0" w:color="auto"/>
            </w:tcBorders>
            <w:hideMark/>
          </w:tcPr>
          <w:p w14:paraId="1B72E302" w14:textId="77777777" w:rsidR="00056DAA" w:rsidRPr="00056DAA" w:rsidRDefault="00056DAA" w:rsidP="00056DAA">
            <w:pPr>
              <w:rPr>
                <w:rFonts w:asciiTheme="minorHAnsi" w:hAnsiTheme="minorHAnsi" w:cstheme="minorHAnsi"/>
                <w:sz w:val="18"/>
                <w:szCs w:val="18"/>
              </w:rPr>
            </w:pPr>
            <w:r w:rsidRPr="00056DAA">
              <w:rPr>
                <w:rFonts w:asciiTheme="minorHAnsi" w:hAnsiTheme="minorHAnsi" w:cstheme="minorHAnsi"/>
                <w:sz w:val="18"/>
                <w:szCs w:val="18"/>
              </w:rPr>
              <w:t>Phase II, open-label, uncontrolled Study/ Single-institutional</w:t>
            </w:r>
          </w:p>
        </w:tc>
        <w:tc>
          <w:tcPr>
            <w:tcW w:w="1629" w:type="dxa"/>
            <w:tcBorders>
              <w:top w:val="single" w:sz="4" w:space="0" w:color="auto"/>
              <w:left w:val="single" w:sz="4" w:space="0" w:color="auto"/>
              <w:bottom w:val="single" w:sz="4" w:space="0" w:color="auto"/>
              <w:right w:val="single" w:sz="4" w:space="0" w:color="auto"/>
            </w:tcBorders>
            <w:hideMark/>
          </w:tcPr>
          <w:p w14:paraId="217B8B5C" w14:textId="77777777" w:rsidR="00056DAA" w:rsidRPr="00056DAA" w:rsidRDefault="00056DAA" w:rsidP="00056DAA">
            <w:pPr>
              <w:rPr>
                <w:rFonts w:asciiTheme="minorHAnsi" w:hAnsiTheme="minorHAnsi" w:cstheme="minorHAnsi"/>
                <w:sz w:val="18"/>
                <w:szCs w:val="18"/>
              </w:rPr>
            </w:pPr>
            <w:r w:rsidRPr="00056DAA">
              <w:rPr>
                <w:rFonts w:asciiTheme="minorHAnsi" w:hAnsiTheme="minorHAnsi" w:cstheme="minorHAnsi"/>
                <w:sz w:val="18"/>
                <w:szCs w:val="18"/>
              </w:rPr>
              <w:t>Older patients with AML or high-risk myelodysplastic syndrome / chronic myelomonocytic leukemia</w:t>
            </w:r>
          </w:p>
        </w:tc>
        <w:tc>
          <w:tcPr>
            <w:tcW w:w="2486" w:type="dxa"/>
            <w:tcBorders>
              <w:top w:val="single" w:sz="4" w:space="0" w:color="auto"/>
              <w:left w:val="single" w:sz="4" w:space="0" w:color="auto"/>
              <w:bottom w:val="single" w:sz="4" w:space="0" w:color="auto"/>
              <w:right w:val="single" w:sz="4" w:space="0" w:color="auto"/>
            </w:tcBorders>
            <w:hideMark/>
          </w:tcPr>
          <w:p w14:paraId="1B9E14C7" w14:textId="77777777" w:rsidR="00056DAA" w:rsidRPr="00056DAA" w:rsidRDefault="00056DAA" w:rsidP="00056DAA">
            <w:pPr>
              <w:rPr>
                <w:rFonts w:asciiTheme="minorHAnsi" w:hAnsiTheme="minorHAnsi" w:cstheme="minorHAnsi"/>
                <w:sz w:val="18"/>
                <w:szCs w:val="18"/>
              </w:rPr>
            </w:pPr>
            <w:r w:rsidRPr="00056DAA">
              <w:rPr>
                <w:rFonts w:asciiTheme="minorHAnsi" w:hAnsiTheme="minorHAnsi" w:cstheme="minorHAnsi"/>
                <w:sz w:val="18"/>
                <w:szCs w:val="18"/>
              </w:rPr>
              <w:t>- Single-arm: DEC-VEN (219).</w:t>
            </w:r>
          </w:p>
          <w:p w14:paraId="1A8FCD4B" w14:textId="77777777" w:rsidR="00056DAA" w:rsidRPr="00056DAA" w:rsidRDefault="00056DAA" w:rsidP="00056DAA">
            <w:pPr>
              <w:rPr>
                <w:rFonts w:asciiTheme="minorHAnsi" w:hAnsiTheme="minorHAnsi" w:cstheme="minorHAnsi"/>
                <w:sz w:val="18"/>
                <w:szCs w:val="18"/>
              </w:rPr>
            </w:pPr>
            <w:r w:rsidRPr="00056DAA">
              <w:rPr>
                <w:rFonts w:asciiTheme="minorHAnsi" w:hAnsiTheme="minorHAnsi" w:cstheme="minorHAnsi"/>
                <w:sz w:val="18"/>
                <w:szCs w:val="18"/>
              </w:rPr>
              <w:t xml:space="preserve">- Newly diagnosed AML (83). </w:t>
            </w:r>
          </w:p>
          <w:p w14:paraId="19C3762A" w14:textId="77777777" w:rsidR="00056DAA" w:rsidRPr="00056DAA" w:rsidRDefault="00056DAA" w:rsidP="00056DAA">
            <w:pPr>
              <w:rPr>
                <w:rFonts w:asciiTheme="minorHAnsi" w:hAnsiTheme="minorHAnsi" w:cstheme="minorHAnsi"/>
                <w:sz w:val="18"/>
                <w:szCs w:val="18"/>
              </w:rPr>
            </w:pPr>
            <w:r w:rsidRPr="00056DAA">
              <w:rPr>
                <w:rFonts w:asciiTheme="minorHAnsi" w:hAnsiTheme="minorHAnsi" w:cstheme="minorHAnsi"/>
                <w:sz w:val="18"/>
                <w:szCs w:val="18"/>
              </w:rPr>
              <w:t>- Untreated secondary AML (20).</w:t>
            </w:r>
          </w:p>
          <w:p w14:paraId="7A98DA68" w14:textId="77777777" w:rsidR="00056DAA" w:rsidRPr="00056DAA" w:rsidRDefault="00056DAA" w:rsidP="00056DAA">
            <w:pPr>
              <w:rPr>
                <w:rFonts w:asciiTheme="minorHAnsi" w:hAnsiTheme="minorHAnsi" w:cstheme="minorHAnsi"/>
                <w:sz w:val="18"/>
                <w:szCs w:val="18"/>
              </w:rPr>
            </w:pPr>
            <w:r w:rsidRPr="00056DAA">
              <w:rPr>
                <w:rFonts w:asciiTheme="minorHAnsi" w:hAnsiTheme="minorHAnsi" w:cstheme="minorHAnsi"/>
                <w:sz w:val="18"/>
                <w:szCs w:val="18"/>
              </w:rPr>
              <w:t>- Treated secondary AML (25).</w:t>
            </w:r>
          </w:p>
        </w:tc>
        <w:tc>
          <w:tcPr>
            <w:tcW w:w="1600" w:type="dxa"/>
            <w:tcBorders>
              <w:top w:val="single" w:sz="4" w:space="0" w:color="auto"/>
              <w:left w:val="single" w:sz="4" w:space="0" w:color="auto"/>
              <w:bottom w:val="single" w:sz="4" w:space="0" w:color="auto"/>
              <w:right w:val="single" w:sz="4" w:space="0" w:color="auto"/>
            </w:tcBorders>
            <w:hideMark/>
          </w:tcPr>
          <w:p w14:paraId="54FFCDFA" w14:textId="77777777" w:rsidR="00056DAA" w:rsidRPr="00056DAA" w:rsidRDefault="00056DAA" w:rsidP="00056DAA">
            <w:pPr>
              <w:rPr>
                <w:rFonts w:asciiTheme="minorHAnsi" w:hAnsiTheme="minorHAnsi" w:cstheme="minorHAnsi"/>
                <w:sz w:val="18"/>
                <w:szCs w:val="18"/>
              </w:rPr>
            </w:pPr>
            <w:r w:rsidRPr="00056DAA">
              <w:rPr>
                <w:rFonts w:asciiTheme="minorHAnsi" w:hAnsiTheme="minorHAnsi" w:cstheme="minorHAnsi"/>
                <w:sz w:val="18"/>
                <w:szCs w:val="18"/>
              </w:rPr>
              <w:t xml:space="preserve">DEC: 20 mg/m2 IV for 10 days of 28 days cycle until CR followed by 5-day cycles. </w:t>
            </w:r>
          </w:p>
          <w:p w14:paraId="748DD5F2" w14:textId="77777777" w:rsidR="00056DAA" w:rsidRPr="00056DAA" w:rsidRDefault="00056DAA" w:rsidP="00056DAA">
            <w:pPr>
              <w:rPr>
                <w:rFonts w:asciiTheme="minorHAnsi" w:hAnsiTheme="minorHAnsi" w:cstheme="minorHAnsi"/>
                <w:sz w:val="18"/>
                <w:szCs w:val="18"/>
              </w:rPr>
            </w:pPr>
            <w:r w:rsidRPr="00056DAA">
              <w:rPr>
                <w:rFonts w:asciiTheme="minorHAnsi" w:hAnsiTheme="minorHAnsi" w:cstheme="minorHAnsi"/>
                <w:sz w:val="18"/>
                <w:szCs w:val="18"/>
              </w:rPr>
              <w:t>VEN: ramp up dose to 400 mg QD.</w:t>
            </w:r>
          </w:p>
        </w:tc>
        <w:tc>
          <w:tcPr>
            <w:tcW w:w="2839" w:type="dxa"/>
            <w:tcBorders>
              <w:top w:val="single" w:sz="4" w:space="0" w:color="auto"/>
              <w:left w:val="single" w:sz="4" w:space="0" w:color="auto"/>
              <w:bottom w:val="single" w:sz="4" w:space="0" w:color="auto"/>
              <w:right w:val="single" w:sz="4" w:space="0" w:color="auto"/>
            </w:tcBorders>
            <w:hideMark/>
          </w:tcPr>
          <w:p w14:paraId="005594DC" w14:textId="77777777" w:rsidR="00056DAA" w:rsidRPr="00056DAA" w:rsidRDefault="00056DAA" w:rsidP="00056DAA">
            <w:pPr>
              <w:rPr>
                <w:rFonts w:asciiTheme="minorHAnsi" w:hAnsiTheme="minorHAnsi" w:cstheme="minorHAnsi"/>
                <w:sz w:val="18"/>
                <w:szCs w:val="18"/>
              </w:rPr>
            </w:pPr>
            <w:r w:rsidRPr="00056DAA">
              <w:rPr>
                <w:rFonts w:asciiTheme="minorHAnsi" w:hAnsiTheme="minorHAnsi" w:cstheme="minorHAnsi"/>
                <w:sz w:val="18"/>
                <w:szCs w:val="18"/>
              </w:rPr>
              <w:t xml:space="preserve">- Newly diagnosed AML: m-OS: 16.2, CCR: 83% .  </w:t>
            </w:r>
          </w:p>
          <w:p w14:paraId="6E3C7DC8" w14:textId="77777777" w:rsidR="00056DAA" w:rsidRPr="00056DAA" w:rsidRDefault="00056DAA" w:rsidP="00056DAA">
            <w:pPr>
              <w:rPr>
                <w:rFonts w:asciiTheme="minorHAnsi" w:hAnsiTheme="minorHAnsi" w:cstheme="minorHAnsi"/>
                <w:sz w:val="18"/>
                <w:szCs w:val="18"/>
              </w:rPr>
            </w:pPr>
            <w:r w:rsidRPr="00056DAA">
              <w:rPr>
                <w:rFonts w:asciiTheme="minorHAnsi" w:hAnsiTheme="minorHAnsi" w:cstheme="minorHAnsi"/>
                <w:sz w:val="18"/>
                <w:szCs w:val="18"/>
              </w:rPr>
              <w:t xml:space="preserve">- Untreated secondary AML: m-OS: 10.7, CCR: 65%.  </w:t>
            </w:r>
          </w:p>
          <w:p w14:paraId="21B254E6" w14:textId="77777777" w:rsidR="00056DAA" w:rsidRPr="00056DAA" w:rsidRDefault="00056DAA" w:rsidP="00056DAA">
            <w:pPr>
              <w:rPr>
                <w:rFonts w:asciiTheme="minorHAnsi" w:hAnsiTheme="minorHAnsi" w:cstheme="minorHAnsi"/>
                <w:sz w:val="18"/>
                <w:szCs w:val="18"/>
              </w:rPr>
            </w:pPr>
            <w:r w:rsidRPr="00056DAA">
              <w:rPr>
                <w:rFonts w:asciiTheme="minorHAnsi" w:hAnsiTheme="minorHAnsi" w:cstheme="minorHAnsi"/>
                <w:sz w:val="18"/>
                <w:szCs w:val="18"/>
              </w:rPr>
              <w:t xml:space="preserve">- Treated secondary AML : m-OS: 5.8, CCR: 40%.  </w:t>
            </w:r>
          </w:p>
        </w:tc>
        <w:tc>
          <w:tcPr>
            <w:tcW w:w="3376" w:type="dxa"/>
            <w:tcBorders>
              <w:top w:val="single" w:sz="4" w:space="0" w:color="auto"/>
              <w:left w:val="single" w:sz="4" w:space="0" w:color="auto"/>
              <w:bottom w:val="single" w:sz="4" w:space="0" w:color="auto"/>
              <w:right w:val="single" w:sz="4" w:space="0" w:color="auto"/>
            </w:tcBorders>
            <w:hideMark/>
          </w:tcPr>
          <w:p w14:paraId="516FCB5A" w14:textId="77777777" w:rsidR="00056DAA" w:rsidRPr="00056DAA" w:rsidRDefault="00056DAA" w:rsidP="00056DAA">
            <w:pPr>
              <w:rPr>
                <w:rFonts w:asciiTheme="minorHAnsi" w:hAnsiTheme="minorHAnsi" w:cstheme="minorHAnsi"/>
                <w:sz w:val="18"/>
                <w:szCs w:val="18"/>
              </w:rPr>
            </w:pPr>
            <w:r w:rsidRPr="00056DAA">
              <w:rPr>
                <w:rFonts w:asciiTheme="minorHAnsi" w:hAnsiTheme="minorHAnsi" w:cstheme="minorHAnsi"/>
                <w:sz w:val="18"/>
                <w:szCs w:val="18"/>
              </w:rPr>
              <w:t xml:space="preserve">-No comparison was provided. No statistical test was used for comparison between groups. </w:t>
            </w:r>
          </w:p>
          <w:p w14:paraId="48D926B1" w14:textId="77777777" w:rsidR="00056DAA" w:rsidRPr="00056DAA" w:rsidRDefault="00056DAA" w:rsidP="00056DAA">
            <w:pPr>
              <w:rPr>
                <w:rFonts w:asciiTheme="minorHAnsi" w:hAnsiTheme="minorHAnsi" w:cstheme="minorHAnsi"/>
                <w:sz w:val="18"/>
                <w:szCs w:val="18"/>
              </w:rPr>
            </w:pPr>
            <w:r w:rsidRPr="00056DAA">
              <w:rPr>
                <w:rFonts w:asciiTheme="minorHAnsi" w:hAnsiTheme="minorHAnsi" w:cstheme="minorHAnsi"/>
                <w:sz w:val="18"/>
                <w:szCs w:val="18"/>
              </w:rPr>
              <w:t>-Median follow-up was 24.7 mo.</w:t>
            </w:r>
          </w:p>
          <w:p w14:paraId="4DAE3CD3" w14:textId="77777777" w:rsidR="00056DAA" w:rsidRPr="00056DAA" w:rsidRDefault="00056DAA" w:rsidP="00056DAA">
            <w:pPr>
              <w:rPr>
                <w:rFonts w:asciiTheme="minorHAnsi" w:hAnsiTheme="minorHAnsi" w:cstheme="minorHAnsi"/>
                <w:sz w:val="18"/>
                <w:szCs w:val="18"/>
              </w:rPr>
            </w:pPr>
            <w:r w:rsidRPr="00056DAA">
              <w:rPr>
                <w:rFonts w:asciiTheme="minorHAnsi" w:hAnsiTheme="minorHAnsi" w:cstheme="minorHAnsi"/>
                <w:sz w:val="18"/>
                <w:szCs w:val="18"/>
              </w:rPr>
              <w:t>- Published in abstract form.</w:t>
            </w:r>
          </w:p>
        </w:tc>
      </w:tr>
      <w:tr w:rsidR="00056DAA" w:rsidRPr="00056DAA" w14:paraId="7AEE8619" w14:textId="77777777" w:rsidTr="00056DAA">
        <w:trPr>
          <w:trHeight w:val="361"/>
        </w:trPr>
        <w:tc>
          <w:tcPr>
            <w:tcW w:w="1028" w:type="dxa"/>
            <w:tcBorders>
              <w:top w:val="single" w:sz="4" w:space="0" w:color="auto"/>
              <w:left w:val="single" w:sz="4" w:space="0" w:color="auto"/>
              <w:bottom w:val="single" w:sz="4" w:space="0" w:color="auto"/>
              <w:right w:val="single" w:sz="4" w:space="0" w:color="auto"/>
            </w:tcBorders>
            <w:hideMark/>
          </w:tcPr>
          <w:p w14:paraId="7A6C6DB5" w14:textId="5E95F6BB" w:rsidR="00056DAA" w:rsidRPr="00056DAA" w:rsidRDefault="00056DAA" w:rsidP="00056DAA">
            <w:pPr>
              <w:rPr>
                <w:rFonts w:asciiTheme="minorHAnsi" w:hAnsiTheme="minorHAnsi" w:cstheme="minorHAnsi"/>
                <w:sz w:val="18"/>
                <w:szCs w:val="18"/>
              </w:rPr>
            </w:pPr>
            <w:r w:rsidRPr="00056DAA">
              <w:rPr>
                <w:rFonts w:asciiTheme="minorHAnsi" w:hAnsiTheme="minorHAnsi" w:cstheme="minorHAnsi"/>
                <w:sz w:val="18"/>
                <w:szCs w:val="18"/>
              </w:rPr>
              <w:t xml:space="preserve">Patel </w:t>
            </w:r>
            <w:r w:rsidRPr="00056DAA">
              <w:rPr>
                <w:rFonts w:cstheme="minorHAnsi"/>
                <w:sz w:val="18"/>
                <w:szCs w:val="18"/>
              </w:rPr>
              <w:fldChar w:fldCharType="begin"/>
            </w:r>
            <w:r w:rsidR="002D2D6E">
              <w:rPr>
                <w:rFonts w:cstheme="minorHAnsi"/>
                <w:sz w:val="18"/>
                <w:szCs w:val="18"/>
              </w:rPr>
              <w:instrText xml:space="preserve"> ADDIN EN.CITE &lt;EndNote&gt;&lt;Cite&gt;&lt;Author&gt;Patel&lt;/Author&gt;&lt;Year&gt;2021&lt;/Year&gt;&lt;RecNum&gt;23&lt;/RecNum&gt;&lt;DisplayText&gt;(11)&lt;/DisplayText&gt;&lt;record&gt;&lt;rec-number&gt;23&lt;/rec-number&gt;&lt;foreign-keys&gt;&lt;key app="EN" db-id="5d2tfaxd5v5wt8erttivfvefazxdwf0z5xtz" timestamp="1636318409"&gt;23&lt;/key&gt;&lt;/foreign-keys&gt;&lt;ref-type name="Conference Paper"&gt;47&lt;/ref-type&gt;&lt;contributors&gt;&lt;authors&gt;&lt;author&gt;Patel, Prapti&lt;/author&gt;&lt;author&gt;Madanat, Yazan&lt;/author&gt;&lt;author&gt;Belli, Andrew&lt;/author&gt;&lt;author&gt;Hansen, Eric&lt;/author&gt;&lt;author&gt;Foss, Heidi&lt;/author&gt;&lt;author&gt;Schulte, Molly&lt;/author&gt;&lt;author&gt;Wang, Ching-Kun&lt;/author&gt;&lt;/authors&gt;&lt;/contributors&gt;&lt;titles&gt;&lt;title&gt;Frontline Venetoclax (ven) Based Combination Therapy in Older Adults with Acute Myeloid Leukemia Treated in the Real-World Setting; A Multi-Institutional Retrospective Study [ASH abstract 4136]&lt;/title&gt;&lt;/titles&gt;&lt;dates&gt;&lt;year&gt;2021&lt;/year&gt;&lt;/dates&gt;&lt;urls&gt;&lt;related-urls&gt;&lt;url&gt;https://ash.confex.com/ash/2021/webprogram/Paper153186.html&lt;/url&gt;&lt;/related-urls&gt;&lt;/urls&gt;&lt;/record&gt;&lt;/Cite&gt;&lt;/EndNote&gt;</w:instrText>
            </w:r>
            <w:r w:rsidRPr="00056DAA">
              <w:rPr>
                <w:rFonts w:cstheme="minorHAnsi"/>
                <w:sz w:val="18"/>
                <w:szCs w:val="18"/>
              </w:rPr>
              <w:fldChar w:fldCharType="separate"/>
            </w:r>
            <w:r w:rsidR="002D2D6E">
              <w:rPr>
                <w:rFonts w:cstheme="minorHAnsi"/>
                <w:noProof/>
                <w:sz w:val="18"/>
                <w:szCs w:val="18"/>
              </w:rPr>
              <w:t>(11)</w:t>
            </w:r>
            <w:r w:rsidRPr="00056DAA">
              <w:rPr>
                <w:rFonts w:cstheme="minorHAnsi"/>
                <w:sz w:val="18"/>
                <w:szCs w:val="18"/>
              </w:rPr>
              <w:fldChar w:fldCharType="end"/>
            </w:r>
            <w:r w:rsidRPr="00056DAA">
              <w:rPr>
                <w:rFonts w:asciiTheme="minorHAnsi" w:hAnsiTheme="minorHAnsi" w:cstheme="minorHAnsi"/>
                <w:sz w:val="18"/>
                <w:szCs w:val="18"/>
              </w:rPr>
              <w:t>/ 2021</w:t>
            </w:r>
          </w:p>
        </w:tc>
        <w:tc>
          <w:tcPr>
            <w:tcW w:w="1310" w:type="dxa"/>
            <w:tcBorders>
              <w:top w:val="single" w:sz="4" w:space="0" w:color="auto"/>
              <w:left w:val="single" w:sz="4" w:space="0" w:color="auto"/>
              <w:bottom w:val="single" w:sz="4" w:space="0" w:color="auto"/>
              <w:right w:val="single" w:sz="4" w:space="0" w:color="auto"/>
            </w:tcBorders>
            <w:hideMark/>
          </w:tcPr>
          <w:p w14:paraId="2CB9AA0C" w14:textId="77777777" w:rsidR="00056DAA" w:rsidRPr="00056DAA" w:rsidRDefault="00056DAA" w:rsidP="00056DAA">
            <w:pPr>
              <w:rPr>
                <w:rFonts w:asciiTheme="minorHAnsi" w:hAnsiTheme="minorHAnsi" w:cstheme="minorHAnsi"/>
                <w:sz w:val="18"/>
                <w:szCs w:val="18"/>
              </w:rPr>
            </w:pPr>
            <w:r w:rsidRPr="00056DAA">
              <w:rPr>
                <w:rFonts w:asciiTheme="minorHAnsi" w:hAnsiTheme="minorHAnsi" w:cstheme="minorHAnsi"/>
                <w:sz w:val="18"/>
                <w:szCs w:val="18"/>
              </w:rPr>
              <w:t xml:space="preserve">Retrospective cohort/ Database </w:t>
            </w:r>
          </w:p>
        </w:tc>
        <w:tc>
          <w:tcPr>
            <w:tcW w:w="1629" w:type="dxa"/>
            <w:tcBorders>
              <w:top w:val="single" w:sz="4" w:space="0" w:color="auto"/>
              <w:left w:val="single" w:sz="4" w:space="0" w:color="auto"/>
              <w:bottom w:val="single" w:sz="4" w:space="0" w:color="auto"/>
              <w:right w:val="single" w:sz="4" w:space="0" w:color="auto"/>
            </w:tcBorders>
            <w:hideMark/>
          </w:tcPr>
          <w:p w14:paraId="69BD5A69" w14:textId="77777777" w:rsidR="00056DAA" w:rsidRPr="00056DAA" w:rsidRDefault="00056DAA" w:rsidP="00056DAA">
            <w:pPr>
              <w:rPr>
                <w:rFonts w:asciiTheme="minorHAnsi" w:hAnsiTheme="minorHAnsi" w:cstheme="minorHAnsi"/>
                <w:sz w:val="18"/>
                <w:szCs w:val="18"/>
              </w:rPr>
            </w:pPr>
            <w:r w:rsidRPr="00056DAA">
              <w:rPr>
                <w:rFonts w:asciiTheme="minorHAnsi" w:hAnsiTheme="minorHAnsi" w:cstheme="minorHAnsi"/>
                <w:sz w:val="18"/>
                <w:szCs w:val="18"/>
              </w:rPr>
              <w:t>All newly diagnosed AML patients treated with HMA with VEN.</w:t>
            </w:r>
          </w:p>
        </w:tc>
        <w:tc>
          <w:tcPr>
            <w:tcW w:w="2486" w:type="dxa"/>
            <w:tcBorders>
              <w:top w:val="single" w:sz="4" w:space="0" w:color="auto"/>
              <w:left w:val="single" w:sz="4" w:space="0" w:color="auto"/>
              <w:bottom w:val="single" w:sz="4" w:space="0" w:color="auto"/>
              <w:right w:val="single" w:sz="4" w:space="0" w:color="auto"/>
            </w:tcBorders>
            <w:hideMark/>
          </w:tcPr>
          <w:p w14:paraId="204255FF" w14:textId="77777777" w:rsidR="00056DAA" w:rsidRPr="00056DAA" w:rsidRDefault="00056DAA" w:rsidP="00056DAA">
            <w:pPr>
              <w:rPr>
                <w:rFonts w:asciiTheme="minorHAnsi" w:hAnsiTheme="minorHAnsi" w:cstheme="minorHAnsi"/>
                <w:sz w:val="18"/>
                <w:szCs w:val="18"/>
              </w:rPr>
            </w:pPr>
            <w:r w:rsidRPr="00056DAA">
              <w:rPr>
                <w:rFonts w:asciiTheme="minorHAnsi" w:hAnsiTheme="minorHAnsi" w:cstheme="minorHAnsi"/>
                <w:sz w:val="18"/>
                <w:szCs w:val="18"/>
              </w:rPr>
              <w:t>AZA-VEN (54).</w:t>
            </w:r>
          </w:p>
          <w:p w14:paraId="2BE9E809" w14:textId="77777777" w:rsidR="00056DAA" w:rsidRPr="00056DAA" w:rsidRDefault="00056DAA" w:rsidP="00056DAA">
            <w:pPr>
              <w:rPr>
                <w:rFonts w:asciiTheme="minorHAnsi" w:hAnsiTheme="minorHAnsi" w:cstheme="minorHAnsi"/>
                <w:sz w:val="18"/>
                <w:szCs w:val="18"/>
              </w:rPr>
            </w:pPr>
            <w:r w:rsidRPr="00056DAA">
              <w:rPr>
                <w:rFonts w:asciiTheme="minorHAnsi" w:hAnsiTheme="minorHAnsi" w:cstheme="minorHAnsi"/>
                <w:sz w:val="18"/>
                <w:szCs w:val="18"/>
              </w:rPr>
              <w:t>DEC-VEN (52).</w:t>
            </w:r>
          </w:p>
          <w:p w14:paraId="47777749" w14:textId="77777777" w:rsidR="00056DAA" w:rsidRPr="00056DAA" w:rsidRDefault="00056DAA" w:rsidP="00056DAA">
            <w:pPr>
              <w:rPr>
                <w:rFonts w:asciiTheme="minorHAnsi" w:hAnsiTheme="minorHAnsi" w:cstheme="minorHAnsi"/>
                <w:sz w:val="18"/>
                <w:szCs w:val="18"/>
              </w:rPr>
            </w:pPr>
            <w:r w:rsidRPr="00056DAA">
              <w:rPr>
                <w:rFonts w:asciiTheme="minorHAnsi" w:hAnsiTheme="minorHAnsi" w:cstheme="minorHAnsi"/>
                <w:sz w:val="18"/>
                <w:szCs w:val="18"/>
              </w:rPr>
              <w:t>LDAC-VEN (6).</w:t>
            </w:r>
          </w:p>
        </w:tc>
        <w:tc>
          <w:tcPr>
            <w:tcW w:w="1600" w:type="dxa"/>
            <w:tcBorders>
              <w:top w:val="single" w:sz="4" w:space="0" w:color="auto"/>
              <w:left w:val="single" w:sz="4" w:space="0" w:color="auto"/>
              <w:bottom w:val="single" w:sz="4" w:space="0" w:color="auto"/>
              <w:right w:val="single" w:sz="4" w:space="0" w:color="auto"/>
            </w:tcBorders>
            <w:hideMark/>
          </w:tcPr>
          <w:p w14:paraId="4D281970" w14:textId="77777777" w:rsidR="00056DAA" w:rsidRPr="00056DAA" w:rsidRDefault="00056DAA" w:rsidP="00056DAA">
            <w:pPr>
              <w:rPr>
                <w:rFonts w:asciiTheme="minorHAnsi" w:hAnsiTheme="minorHAnsi" w:cstheme="minorHAnsi"/>
                <w:sz w:val="18"/>
                <w:szCs w:val="18"/>
              </w:rPr>
            </w:pPr>
            <w:r w:rsidRPr="00056DAA">
              <w:rPr>
                <w:rFonts w:asciiTheme="minorHAnsi" w:hAnsiTheme="minorHAnsi" w:cstheme="minorHAnsi"/>
                <w:sz w:val="18"/>
                <w:szCs w:val="18"/>
              </w:rPr>
              <w:t>Not specified</w:t>
            </w:r>
          </w:p>
        </w:tc>
        <w:tc>
          <w:tcPr>
            <w:tcW w:w="2839" w:type="dxa"/>
            <w:tcBorders>
              <w:top w:val="single" w:sz="4" w:space="0" w:color="auto"/>
              <w:left w:val="single" w:sz="4" w:space="0" w:color="auto"/>
              <w:bottom w:val="single" w:sz="4" w:space="0" w:color="auto"/>
              <w:right w:val="single" w:sz="4" w:space="0" w:color="auto"/>
            </w:tcBorders>
          </w:tcPr>
          <w:p w14:paraId="1664C970" w14:textId="77777777" w:rsidR="00056DAA" w:rsidRPr="00056DAA" w:rsidRDefault="00056DAA" w:rsidP="00056DAA">
            <w:pPr>
              <w:rPr>
                <w:rFonts w:asciiTheme="minorHAnsi" w:hAnsiTheme="minorHAnsi" w:cstheme="minorHAnsi"/>
                <w:sz w:val="18"/>
                <w:szCs w:val="18"/>
              </w:rPr>
            </w:pPr>
            <w:r w:rsidRPr="00056DAA">
              <w:rPr>
                <w:rFonts w:asciiTheme="minorHAnsi" w:hAnsiTheme="minorHAnsi" w:cstheme="minorHAnsi"/>
                <w:sz w:val="18"/>
                <w:szCs w:val="18"/>
              </w:rPr>
              <w:t xml:space="preserve">AZA-VEN vs. DEC-VEN vs. LDAC-VEN: m-OS: 11.3 vs. 13.9 vs. 6.5, P=0.77. ORR: 55.6%, 57.7%, 33.3%, P=0.85. </w:t>
            </w:r>
          </w:p>
          <w:p w14:paraId="339088CF" w14:textId="77777777" w:rsidR="00056DAA" w:rsidRPr="00056DAA" w:rsidRDefault="00056DAA" w:rsidP="00056DAA">
            <w:pPr>
              <w:rPr>
                <w:rFonts w:asciiTheme="minorHAnsi" w:hAnsiTheme="minorHAnsi" w:cstheme="minorHAnsi"/>
                <w:sz w:val="18"/>
                <w:szCs w:val="18"/>
              </w:rPr>
            </w:pPr>
          </w:p>
        </w:tc>
        <w:tc>
          <w:tcPr>
            <w:tcW w:w="3376" w:type="dxa"/>
            <w:tcBorders>
              <w:top w:val="single" w:sz="4" w:space="0" w:color="auto"/>
              <w:left w:val="single" w:sz="4" w:space="0" w:color="auto"/>
              <w:bottom w:val="single" w:sz="4" w:space="0" w:color="auto"/>
              <w:right w:val="single" w:sz="4" w:space="0" w:color="auto"/>
            </w:tcBorders>
            <w:hideMark/>
          </w:tcPr>
          <w:p w14:paraId="4ADD2CBD" w14:textId="77777777" w:rsidR="00056DAA" w:rsidRPr="00056DAA" w:rsidRDefault="00056DAA" w:rsidP="00056DAA">
            <w:pPr>
              <w:rPr>
                <w:rFonts w:asciiTheme="minorHAnsi" w:hAnsiTheme="minorHAnsi" w:cstheme="minorHAnsi"/>
                <w:sz w:val="18"/>
                <w:szCs w:val="18"/>
              </w:rPr>
            </w:pPr>
            <w:r w:rsidRPr="00056DAA">
              <w:rPr>
                <w:rFonts w:asciiTheme="minorHAnsi" w:hAnsiTheme="minorHAnsi" w:cstheme="minorHAnsi"/>
                <w:sz w:val="18"/>
                <w:szCs w:val="18"/>
              </w:rPr>
              <w:t xml:space="preserve">-Outcomes were not adjusted. </w:t>
            </w:r>
          </w:p>
          <w:p w14:paraId="220A29B3" w14:textId="77777777" w:rsidR="00056DAA" w:rsidRPr="00056DAA" w:rsidRDefault="00056DAA" w:rsidP="00056DAA">
            <w:pPr>
              <w:rPr>
                <w:rFonts w:asciiTheme="minorHAnsi" w:hAnsiTheme="minorHAnsi" w:cstheme="minorHAnsi"/>
                <w:sz w:val="18"/>
                <w:szCs w:val="18"/>
              </w:rPr>
            </w:pPr>
            <w:r w:rsidRPr="00056DAA">
              <w:rPr>
                <w:rFonts w:asciiTheme="minorHAnsi" w:hAnsiTheme="minorHAnsi" w:cstheme="minorHAnsi"/>
                <w:sz w:val="18"/>
                <w:szCs w:val="18"/>
              </w:rPr>
              <w:t>- Published in abstract form.</w:t>
            </w:r>
          </w:p>
        </w:tc>
      </w:tr>
      <w:tr w:rsidR="00056DAA" w:rsidRPr="00056DAA" w14:paraId="79898489" w14:textId="77777777" w:rsidTr="00056DAA">
        <w:trPr>
          <w:trHeight w:val="361"/>
        </w:trPr>
        <w:tc>
          <w:tcPr>
            <w:tcW w:w="1028" w:type="dxa"/>
            <w:tcBorders>
              <w:top w:val="single" w:sz="4" w:space="0" w:color="auto"/>
              <w:left w:val="single" w:sz="4" w:space="0" w:color="auto"/>
              <w:bottom w:val="single" w:sz="4" w:space="0" w:color="auto"/>
              <w:right w:val="single" w:sz="4" w:space="0" w:color="auto"/>
            </w:tcBorders>
            <w:hideMark/>
          </w:tcPr>
          <w:p w14:paraId="2B9B77A0" w14:textId="77777777" w:rsidR="00056DAA" w:rsidRPr="00056DAA" w:rsidRDefault="00056DAA" w:rsidP="00056DAA">
            <w:pPr>
              <w:rPr>
                <w:rFonts w:asciiTheme="minorHAnsi" w:hAnsiTheme="minorHAnsi" w:cstheme="minorHAnsi"/>
                <w:sz w:val="18"/>
                <w:szCs w:val="18"/>
              </w:rPr>
            </w:pPr>
            <w:r w:rsidRPr="00056DAA">
              <w:rPr>
                <w:rFonts w:asciiTheme="minorHAnsi" w:hAnsiTheme="minorHAnsi" w:cstheme="minorHAnsi"/>
                <w:sz w:val="18"/>
                <w:szCs w:val="18"/>
              </w:rPr>
              <w:t>Current study/ 2021</w:t>
            </w:r>
          </w:p>
        </w:tc>
        <w:tc>
          <w:tcPr>
            <w:tcW w:w="1310" w:type="dxa"/>
            <w:tcBorders>
              <w:top w:val="single" w:sz="4" w:space="0" w:color="auto"/>
              <w:left w:val="single" w:sz="4" w:space="0" w:color="auto"/>
              <w:bottom w:val="single" w:sz="4" w:space="0" w:color="auto"/>
              <w:right w:val="single" w:sz="4" w:space="0" w:color="auto"/>
            </w:tcBorders>
            <w:hideMark/>
          </w:tcPr>
          <w:p w14:paraId="0649096C" w14:textId="77777777" w:rsidR="00056DAA" w:rsidRPr="00056DAA" w:rsidRDefault="00056DAA" w:rsidP="00056DAA">
            <w:pPr>
              <w:rPr>
                <w:rFonts w:asciiTheme="minorHAnsi" w:hAnsiTheme="minorHAnsi" w:cstheme="minorHAnsi"/>
                <w:sz w:val="18"/>
                <w:szCs w:val="18"/>
              </w:rPr>
            </w:pPr>
            <w:r w:rsidRPr="00056DAA">
              <w:rPr>
                <w:rFonts w:asciiTheme="minorHAnsi" w:hAnsiTheme="minorHAnsi" w:cstheme="minorHAnsi"/>
                <w:sz w:val="18"/>
                <w:szCs w:val="18"/>
              </w:rPr>
              <w:t>Retrospective cohort/ Single-center</w:t>
            </w:r>
          </w:p>
        </w:tc>
        <w:tc>
          <w:tcPr>
            <w:tcW w:w="1629" w:type="dxa"/>
            <w:tcBorders>
              <w:top w:val="single" w:sz="4" w:space="0" w:color="auto"/>
              <w:left w:val="single" w:sz="4" w:space="0" w:color="auto"/>
              <w:bottom w:val="single" w:sz="4" w:space="0" w:color="auto"/>
              <w:right w:val="single" w:sz="4" w:space="0" w:color="auto"/>
            </w:tcBorders>
            <w:hideMark/>
          </w:tcPr>
          <w:p w14:paraId="3AFB34F9" w14:textId="77777777" w:rsidR="00056DAA" w:rsidRPr="00056DAA" w:rsidRDefault="00056DAA" w:rsidP="00056DAA">
            <w:pPr>
              <w:rPr>
                <w:rFonts w:asciiTheme="minorHAnsi" w:hAnsiTheme="minorHAnsi" w:cstheme="minorHAnsi"/>
                <w:sz w:val="18"/>
                <w:szCs w:val="18"/>
              </w:rPr>
            </w:pPr>
            <w:r w:rsidRPr="00056DAA">
              <w:rPr>
                <w:rFonts w:asciiTheme="minorHAnsi" w:hAnsiTheme="minorHAnsi" w:cstheme="minorHAnsi"/>
                <w:sz w:val="18"/>
                <w:szCs w:val="18"/>
              </w:rPr>
              <w:t xml:space="preserve">All newly diagnosed AML patients treated with HMA with or without VEN. Patients ≥ 18 years. </w:t>
            </w:r>
          </w:p>
        </w:tc>
        <w:tc>
          <w:tcPr>
            <w:tcW w:w="2486" w:type="dxa"/>
            <w:tcBorders>
              <w:top w:val="single" w:sz="4" w:space="0" w:color="auto"/>
              <w:left w:val="single" w:sz="4" w:space="0" w:color="auto"/>
              <w:bottom w:val="single" w:sz="4" w:space="0" w:color="auto"/>
              <w:right w:val="single" w:sz="4" w:space="0" w:color="auto"/>
            </w:tcBorders>
            <w:hideMark/>
          </w:tcPr>
          <w:p w14:paraId="522C0BE6" w14:textId="77777777" w:rsidR="00056DAA" w:rsidRPr="00056DAA" w:rsidRDefault="00056DAA" w:rsidP="00056DAA">
            <w:pPr>
              <w:rPr>
                <w:rFonts w:asciiTheme="minorHAnsi" w:hAnsiTheme="minorHAnsi" w:cstheme="minorHAnsi"/>
                <w:sz w:val="18"/>
                <w:szCs w:val="18"/>
              </w:rPr>
            </w:pPr>
            <w:r w:rsidRPr="00056DAA">
              <w:rPr>
                <w:rFonts w:asciiTheme="minorHAnsi" w:hAnsiTheme="minorHAnsi" w:cstheme="minorHAnsi"/>
                <w:sz w:val="18"/>
                <w:szCs w:val="18"/>
              </w:rPr>
              <w:t>- HMA (119) vs. HMA-VEN (51)</w:t>
            </w:r>
          </w:p>
          <w:p w14:paraId="7ED14F6B" w14:textId="77777777" w:rsidR="00056DAA" w:rsidRPr="00056DAA" w:rsidRDefault="00056DAA" w:rsidP="00056DAA">
            <w:pPr>
              <w:rPr>
                <w:rFonts w:asciiTheme="minorHAnsi" w:hAnsiTheme="minorHAnsi" w:cstheme="minorHAnsi"/>
                <w:sz w:val="18"/>
                <w:szCs w:val="18"/>
              </w:rPr>
            </w:pPr>
            <w:r w:rsidRPr="00056DAA">
              <w:rPr>
                <w:rFonts w:asciiTheme="minorHAnsi" w:hAnsiTheme="minorHAnsi" w:cstheme="minorHAnsi"/>
                <w:sz w:val="18"/>
                <w:szCs w:val="18"/>
              </w:rPr>
              <w:t>-AZA (35) vs. AZA-VEN (24)</w:t>
            </w:r>
          </w:p>
          <w:p w14:paraId="3EE0A60B" w14:textId="77777777" w:rsidR="00056DAA" w:rsidRPr="00056DAA" w:rsidRDefault="00056DAA" w:rsidP="00056DAA">
            <w:pPr>
              <w:rPr>
                <w:rFonts w:asciiTheme="minorHAnsi" w:hAnsiTheme="minorHAnsi" w:cstheme="minorHAnsi"/>
                <w:sz w:val="18"/>
                <w:szCs w:val="18"/>
              </w:rPr>
            </w:pPr>
            <w:r w:rsidRPr="00056DAA">
              <w:rPr>
                <w:rFonts w:asciiTheme="minorHAnsi" w:hAnsiTheme="minorHAnsi" w:cstheme="minorHAnsi"/>
                <w:sz w:val="18"/>
                <w:szCs w:val="18"/>
              </w:rPr>
              <w:t>-DEC (84) vs. DEC-VEN (27)</w:t>
            </w:r>
          </w:p>
          <w:p w14:paraId="4B4EDCAC" w14:textId="77777777" w:rsidR="00056DAA" w:rsidRPr="00056DAA" w:rsidRDefault="00056DAA" w:rsidP="00056DAA">
            <w:pPr>
              <w:rPr>
                <w:rFonts w:asciiTheme="minorHAnsi" w:hAnsiTheme="minorHAnsi" w:cstheme="minorHAnsi"/>
                <w:sz w:val="18"/>
                <w:szCs w:val="18"/>
              </w:rPr>
            </w:pPr>
            <w:r w:rsidRPr="00056DAA">
              <w:rPr>
                <w:rFonts w:asciiTheme="minorHAnsi" w:hAnsiTheme="minorHAnsi" w:cstheme="minorHAnsi"/>
                <w:sz w:val="18"/>
                <w:szCs w:val="18"/>
              </w:rPr>
              <w:t>-AZA (35) vs. DEC (84)</w:t>
            </w:r>
          </w:p>
          <w:p w14:paraId="2B7482CF" w14:textId="77777777" w:rsidR="00056DAA" w:rsidRPr="00056DAA" w:rsidRDefault="00056DAA" w:rsidP="00056DAA">
            <w:pPr>
              <w:rPr>
                <w:rFonts w:asciiTheme="minorHAnsi" w:hAnsiTheme="minorHAnsi" w:cstheme="minorHAnsi"/>
                <w:sz w:val="18"/>
                <w:szCs w:val="18"/>
              </w:rPr>
            </w:pPr>
            <w:r w:rsidRPr="00056DAA">
              <w:rPr>
                <w:rFonts w:asciiTheme="minorHAnsi" w:hAnsiTheme="minorHAnsi" w:cstheme="minorHAnsi"/>
                <w:sz w:val="18"/>
                <w:szCs w:val="18"/>
              </w:rPr>
              <w:t xml:space="preserve">-AZA-VEN (24)  vs. DEC-VEN: </w:t>
            </w:r>
          </w:p>
        </w:tc>
        <w:tc>
          <w:tcPr>
            <w:tcW w:w="1600" w:type="dxa"/>
            <w:tcBorders>
              <w:top w:val="single" w:sz="4" w:space="0" w:color="auto"/>
              <w:left w:val="single" w:sz="4" w:space="0" w:color="auto"/>
              <w:bottom w:val="single" w:sz="4" w:space="0" w:color="auto"/>
              <w:right w:val="single" w:sz="4" w:space="0" w:color="auto"/>
            </w:tcBorders>
          </w:tcPr>
          <w:p w14:paraId="2FCB0E40" w14:textId="77777777" w:rsidR="00056DAA" w:rsidRPr="00056DAA" w:rsidRDefault="00056DAA" w:rsidP="00056DAA">
            <w:pPr>
              <w:rPr>
                <w:rFonts w:asciiTheme="minorHAnsi" w:hAnsiTheme="minorHAnsi" w:cstheme="minorHAnsi"/>
                <w:sz w:val="18"/>
                <w:szCs w:val="18"/>
              </w:rPr>
            </w:pPr>
            <w:r w:rsidRPr="00056DAA">
              <w:rPr>
                <w:rFonts w:asciiTheme="minorHAnsi" w:hAnsiTheme="minorHAnsi" w:cstheme="minorHAnsi"/>
                <w:sz w:val="18"/>
                <w:szCs w:val="18"/>
              </w:rPr>
              <w:t xml:space="preserve">AZA: 75 mg/m2 IV/SC for 7 days of 28 days cycle. </w:t>
            </w:r>
          </w:p>
          <w:p w14:paraId="1BEE78EE" w14:textId="77777777" w:rsidR="00056DAA" w:rsidRPr="00056DAA" w:rsidRDefault="00056DAA" w:rsidP="00056DAA">
            <w:pPr>
              <w:rPr>
                <w:rFonts w:asciiTheme="minorHAnsi" w:hAnsiTheme="minorHAnsi" w:cstheme="minorHAnsi"/>
                <w:sz w:val="18"/>
                <w:szCs w:val="18"/>
              </w:rPr>
            </w:pPr>
            <w:r w:rsidRPr="00056DAA">
              <w:rPr>
                <w:rFonts w:asciiTheme="minorHAnsi" w:hAnsiTheme="minorHAnsi" w:cstheme="minorHAnsi"/>
                <w:sz w:val="18"/>
                <w:szCs w:val="18"/>
              </w:rPr>
              <w:t xml:space="preserve">DEC: 10-20 mg/m2 IV for 5-10 days of 28 days cycle. </w:t>
            </w:r>
          </w:p>
          <w:p w14:paraId="26A20779" w14:textId="77777777" w:rsidR="00056DAA" w:rsidRPr="00056DAA" w:rsidRDefault="00056DAA" w:rsidP="00056DAA">
            <w:pPr>
              <w:rPr>
                <w:rFonts w:asciiTheme="minorHAnsi" w:hAnsiTheme="minorHAnsi" w:cstheme="minorHAnsi"/>
                <w:sz w:val="18"/>
                <w:szCs w:val="18"/>
              </w:rPr>
            </w:pPr>
            <w:r w:rsidRPr="00056DAA">
              <w:rPr>
                <w:rFonts w:asciiTheme="minorHAnsi" w:hAnsiTheme="minorHAnsi" w:cstheme="minorHAnsi"/>
                <w:sz w:val="18"/>
                <w:szCs w:val="18"/>
              </w:rPr>
              <w:t>VEN: ramp up dose to 400 mg QD.</w:t>
            </w:r>
          </w:p>
          <w:p w14:paraId="31056B99" w14:textId="77777777" w:rsidR="00056DAA" w:rsidRPr="00056DAA" w:rsidRDefault="00056DAA" w:rsidP="00056DAA">
            <w:pPr>
              <w:rPr>
                <w:rFonts w:asciiTheme="minorHAnsi" w:hAnsiTheme="minorHAnsi" w:cstheme="minorHAnsi"/>
                <w:sz w:val="18"/>
                <w:szCs w:val="18"/>
              </w:rPr>
            </w:pPr>
          </w:p>
          <w:p w14:paraId="37FDA0BA" w14:textId="77777777" w:rsidR="00056DAA" w:rsidRPr="00056DAA" w:rsidRDefault="00056DAA" w:rsidP="00056DAA">
            <w:pPr>
              <w:rPr>
                <w:rFonts w:asciiTheme="minorHAnsi" w:hAnsiTheme="minorHAnsi" w:cstheme="minorHAnsi"/>
                <w:sz w:val="18"/>
                <w:szCs w:val="18"/>
              </w:rPr>
            </w:pPr>
          </w:p>
        </w:tc>
        <w:tc>
          <w:tcPr>
            <w:tcW w:w="2839" w:type="dxa"/>
            <w:tcBorders>
              <w:top w:val="single" w:sz="4" w:space="0" w:color="auto"/>
              <w:left w:val="single" w:sz="4" w:space="0" w:color="auto"/>
              <w:bottom w:val="single" w:sz="4" w:space="0" w:color="auto"/>
              <w:right w:val="single" w:sz="4" w:space="0" w:color="auto"/>
            </w:tcBorders>
            <w:hideMark/>
          </w:tcPr>
          <w:p w14:paraId="180BD8BD" w14:textId="77777777" w:rsidR="00056DAA" w:rsidRPr="00056DAA" w:rsidRDefault="00056DAA" w:rsidP="00056DAA">
            <w:pPr>
              <w:rPr>
                <w:rFonts w:asciiTheme="minorHAnsi" w:hAnsiTheme="minorHAnsi" w:cstheme="minorHAnsi"/>
                <w:sz w:val="18"/>
                <w:szCs w:val="18"/>
              </w:rPr>
            </w:pPr>
            <w:r w:rsidRPr="00056DAA">
              <w:rPr>
                <w:rFonts w:asciiTheme="minorHAnsi" w:hAnsiTheme="minorHAnsi" w:cstheme="minorHAnsi"/>
                <w:sz w:val="18"/>
                <w:szCs w:val="18"/>
              </w:rPr>
              <w:t>-HMA vs. HMA-VEN</w:t>
            </w:r>
            <w:r w:rsidRPr="00056DAA">
              <w:rPr>
                <w:rFonts w:asciiTheme="minorHAnsi" w:hAnsiTheme="minorHAnsi" w:cstheme="minorHAnsi"/>
                <w:sz w:val="18"/>
                <w:szCs w:val="18"/>
                <w:vertAlign w:val="superscript"/>
              </w:rPr>
              <w:t>α</w:t>
            </w:r>
            <w:r w:rsidRPr="00056DAA">
              <w:rPr>
                <w:rFonts w:asciiTheme="minorHAnsi" w:hAnsiTheme="minorHAnsi" w:cstheme="minorHAnsi"/>
                <w:sz w:val="18"/>
                <w:szCs w:val="18"/>
              </w:rPr>
              <w:t xml:space="preserve">: m-OS: 8.8 vs. 7.43, P=0.7. m-EFS: 4.13 vs. 4.2, P=0.6. CCR: 27% vs. 52%, P&lt; 0.01. </w:t>
            </w:r>
          </w:p>
          <w:p w14:paraId="198683FC" w14:textId="77777777" w:rsidR="00056DAA" w:rsidRPr="00056DAA" w:rsidRDefault="00056DAA" w:rsidP="00056DAA">
            <w:pPr>
              <w:rPr>
                <w:rFonts w:asciiTheme="minorHAnsi" w:hAnsiTheme="minorHAnsi" w:cstheme="minorHAnsi"/>
                <w:sz w:val="18"/>
                <w:szCs w:val="18"/>
              </w:rPr>
            </w:pPr>
            <w:r w:rsidRPr="00056DAA">
              <w:rPr>
                <w:rFonts w:asciiTheme="minorHAnsi" w:hAnsiTheme="minorHAnsi" w:cstheme="minorHAnsi"/>
                <w:sz w:val="18"/>
                <w:szCs w:val="18"/>
              </w:rPr>
              <w:t>-Aza  vs. AZA-VEN</w:t>
            </w:r>
            <w:r w:rsidRPr="00056DAA">
              <w:rPr>
                <w:rFonts w:asciiTheme="minorHAnsi" w:hAnsiTheme="minorHAnsi" w:cstheme="minorHAnsi"/>
                <w:sz w:val="18"/>
                <w:szCs w:val="18"/>
                <w:vertAlign w:val="superscript"/>
              </w:rPr>
              <w:t>α</w:t>
            </w:r>
            <w:r w:rsidRPr="00056DAA">
              <w:rPr>
                <w:rFonts w:asciiTheme="minorHAnsi" w:hAnsiTheme="minorHAnsi" w:cstheme="minorHAnsi"/>
                <w:sz w:val="18"/>
                <w:szCs w:val="18"/>
              </w:rPr>
              <w:t xml:space="preserve">: m-OS: 8 vs. 17.9, P=0.26. m-EFS: 3.8 vs. 10.5, P=0.02. CCR: 10% vs. 54%, P&lt; 0.01. </w:t>
            </w:r>
          </w:p>
          <w:p w14:paraId="58820C4C" w14:textId="77777777" w:rsidR="00056DAA" w:rsidRPr="00056DAA" w:rsidRDefault="00056DAA" w:rsidP="00056DAA">
            <w:pPr>
              <w:rPr>
                <w:rFonts w:asciiTheme="minorHAnsi" w:hAnsiTheme="minorHAnsi" w:cstheme="minorHAnsi"/>
                <w:sz w:val="18"/>
                <w:szCs w:val="18"/>
              </w:rPr>
            </w:pPr>
            <w:r w:rsidRPr="00056DAA">
              <w:rPr>
                <w:rFonts w:asciiTheme="minorHAnsi" w:hAnsiTheme="minorHAnsi" w:cstheme="minorHAnsi"/>
                <w:sz w:val="18"/>
                <w:szCs w:val="18"/>
              </w:rPr>
              <w:t>-DEC  vs. DEC-VEN</w:t>
            </w:r>
            <w:r w:rsidRPr="00056DAA">
              <w:rPr>
                <w:rFonts w:asciiTheme="minorHAnsi" w:hAnsiTheme="minorHAnsi" w:cstheme="minorHAnsi"/>
                <w:sz w:val="18"/>
                <w:szCs w:val="18"/>
                <w:vertAlign w:val="superscript"/>
              </w:rPr>
              <w:t>α</w:t>
            </w:r>
            <w:r w:rsidRPr="00056DAA">
              <w:rPr>
                <w:rFonts w:asciiTheme="minorHAnsi" w:hAnsiTheme="minorHAnsi" w:cstheme="minorHAnsi"/>
                <w:sz w:val="18"/>
                <w:szCs w:val="18"/>
              </w:rPr>
              <w:t xml:space="preserve">: m-OS: 8.3 vs. 5.3, P=0.07. m-EFS: 5 vs. 2.1, P=0.16.  CCR: 32% vs. 43%, P=0.35. </w:t>
            </w:r>
          </w:p>
          <w:p w14:paraId="101EB0D4" w14:textId="77777777" w:rsidR="00056DAA" w:rsidRPr="00056DAA" w:rsidRDefault="00056DAA" w:rsidP="00056DAA">
            <w:pPr>
              <w:rPr>
                <w:rFonts w:asciiTheme="minorHAnsi" w:hAnsiTheme="minorHAnsi" w:cstheme="minorHAnsi"/>
                <w:sz w:val="18"/>
                <w:szCs w:val="18"/>
              </w:rPr>
            </w:pPr>
            <w:r w:rsidRPr="00056DAA">
              <w:rPr>
                <w:rFonts w:asciiTheme="minorHAnsi" w:hAnsiTheme="minorHAnsi" w:cstheme="minorHAnsi"/>
                <w:sz w:val="18"/>
                <w:szCs w:val="18"/>
              </w:rPr>
              <w:t>-AZA vs. DEC</w:t>
            </w:r>
            <w:r w:rsidRPr="00056DAA">
              <w:rPr>
                <w:rFonts w:asciiTheme="minorHAnsi" w:hAnsiTheme="minorHAnsi" w:cstheme="minorHAnsi"/>
                <w:sz w:val="18"/>
                <w:szCs w:val="18"/>
                <w:vertAlign w:val="superscript"/>
              </w:rPr>
              <w:t>α</w:t>
            </w:r>
            <w:r w:rsidRPr="00056DAA">
              <w:rPr>
                <w:rFonts w:asciiTheme="minorHAnsi" w:hAnsiTheme="minorHAnsi" w:cstheme="minorHAnsi"/>
                <w:sz w:val="18"/>
                <w:szCs w:val="18"/>
              </w:rPr>
              <w:t xml:space="preserve">: m-OS: 9 vs. 9, P=0.3. m-EFS: 3.8 vs. 5.5, P= 0.6. CCR:  13% vs. 33%, P=0.04. </w:t>
            </w:r>
          </w:p>
          <w:p w14:paraId="04727A1A" w14:textId="77777777" w:rsidR="00056DAA" w:rsidRPr="00056DAA" w:rsidRDefault="00056DAA" w:rsidP="00056DAA">
            <w:pPr>
              <w:rPr>
                <w:rFonts w:asciiTheme="minorHAnsi" w:hAnsiTheme="minorHAnsi" w:cstheme="minorHAnsi"/>
                <w:sz w:val="18"/>
                <w:szCs w:val="18"/>
              </w:rPr>
            </w:pPr>
            <w:r w:rsidRPr="00056DAA">
              <w:rPr>
                <w:rFonts w:asciiTheme="minorHAnsi" w:hAnsiTheme="minorHAnsi" w:cstheme="minorHAnsi"/>
                <w:sz w:val="18"/>
                <w:szCs w:val="18"/>
              </w:rPr>
              <w:t>-AZA-VEN vs. DEC-VEN</w:t>
            </w:r>
            <w:r w:rsidRPr="00056DAA">
              <w:rPr>
                <w:rFonts w:asciiTheme="minorHAnsi" w:hAnsiTheme="minorHAnsi" w:cstheme="minorHAnsi"/>
                <w:sz w:val="18"/>
                <w:szCs w:val="18"/>
                <w:vertAlign w:val="superscript"/>
              </w:rPr>
              <w:t>α</w:t>
            </w:r>
            <w:r w:rsidRPr="00056DAA">
              <w:rPr>
                <w:rFonts w:asciiTheme="minorHAnsi" w:hAnsiTheme="minorHAnsi" w:cstheme="minorHAnsi"/>
                <w:sz w:val="18"/>
                <w:szCs w:val="18"/>
              </w:rPr>
              <w:t xml:space="preserve">: m-OS: 12.3 vs. 2.8, P=0.02. m-EFS: 9.2 vs. 2.1 , P=0.02. CCR: 58% vs. 52%,  P=0.66. </w:t>
            </w:r>
          </w:p>
        </w:tc>
        <w:tc>
          <w:tcPr>
            <w:tcW w:w="3376" w:type="dxa"/>
            <w:tcBorders>
              <w:top w:val="single" w:sz="4" w:space="0" w:color="auto"/>
              <w:left w:val="single" w:sz="4" w:space="0" w:color="auto"/>
              <w:bottom w:val="single" w:sz="4" w:space="0" w:color="auto"/>
              <w:right w:val="single" w:sz="4" w:space="0" w:color="auto"/>
            </w:tcBorders>
          </w:tcPr>
          <w:p w14:paraId="36C2FD0E" w14:textId="77777777" w:rsidR="00056DAA" w:rsidRPr="00056DAA" w:rsidRDefault="00056DAA" w:rsidP="00056DAA">
            <w:pPr>
              <w:rPr>
                <w:rFonts w:asciiTheme="minorHAnsi" w:hAnsiTheme="minorHAnsi" w:cstheme="minorHAnsi"/>
                <w:sz w:val="18"/>
                <w:szCs w:val="18"/>
              </w:rPr>
            </w:pPr>
            <w:r w:rsidRPr="00056DAA">
              <w:rPr>
                <w:rFonts w:asciiTheme="minorHAnsi" w:hAnsiTheme="minorHAnsi" w:cstheme="minorHAnsi"/>
                <w:sz w:val="18"/>
                <w:szCs w:val="18"/>
              </w:rPr>
              <w:t xml:space="preserve">-We used propensity score to adjust for observable confounding.  Average treatment effect obtained. </w:t>
            </w:r>
          </w:p>
          <w:p w14:paraId="7172D21B" w14:textId="77777777" w:rsidR="00056DAA" w:rsidRPr="00056DAA" w:rsidRDefault="00056DAA" w:rsidP="00056DAA">
            <w:pPr>
              <w:rPr>
                <w:rFonts w:asciiTheme="minorHAnsi" w:hAnsiTheme="minorHAnsi" w:cstheme="minorHAnsi"/>
                <w:sz w:val="18"/>
                <w:szCs w:val="18"/>
              </w:rPr>
            </w:pPr>
            <w:r w:rsidRPr="00056DAA">
              <w:rPr>
                <w:rFonts w:asciiTheme="minorHAnsi" w:hAnsiTheme="minorHAnsi" w:cstheme="minorHAnsi"/>
                <w:sz w:val="18"/>
                <w:szCs w:val="18"/>
              </w:rPr>
              <w:t xml:space="preserve">-In DEC only arm, 65% received 20 mg/m2 IV for 10 days of 28 days cycle until CR followed by 5 day cycles and 25% received 10 mg/m2 for 10 days. In DEC-AZA arm, 89% received 20 mg/m2 IV for 10 days of 28 days cycle until CR followed by 5-day cycles. </w:t>
            </w:r>
          </w:p>
          <w:p w14:paraId="5CF355B6" w14:textId="77777777" w:rsidR="00056DAA" w:rsidRPr="00056DAA" w:rsidRDefault="00056DAA" w:rsidP="00056DAA">
            <w:pPr>
              <w:rPr>
                <w:rFonts w:asciiTheme="minorHAnsi" w:hAnsiTheme="minorHAnsi" w:cstheme="minorHAnsi"/>
                <w:sz w:val="18"/>
                <w:szCs w:val="18"/>
              </w:rPr>
            </w:pPr>
            <w:r w:rsidRPr="00056DAA">
              <w:rPr>
                <w:rFonts w:asciiTheme="minorHAnsi" w:hAnsiTheme="minorHAnsi" w:cstheme="minorHAnsi"/>
                <w:sz w:val="18"/>
                <w:szCs w:val="18"/>
              </w:rPr>
              <w:t xml:space="preserve">-Median follow-up for HMA and HMA-VEN was 78.6 and 21.13 mo. </w:t>
            </w:r>
          </w:p>
          <w:p w14:paraId="7E2C035A" w14:textId="77777777" w:rsidR="00056DAA" w:rsidRPr="00056DAA" w:rsidRDefault="00056DAA" w:rsidP="00056DAA">
            <w:pPr>
              <w:rPr>
                <w:rFonts w:asciiTheme="minorHAnsi" w:hAnsiTheme="minorHAnsi" w:cstheme="minorHAnsi"/>
                <w:sz w:val="18"/>
                <w:szCs w:val="18"/>
              </w:rPr>
            </w:pPr>
          </w:p>
        </w:tc>
      </w:tr>
    </w:tbl>
    <w:p w14:paraId="2BAE6AE4" w14:textId="77777777" w:rsidR="00056DAA" w:rsidRPr="00056DAA" w:rsidRDefault="00056DAA" w:rsidP="00056DAA">
      <w:pPr>
        <w:spacing w:line="240" w:lineRule="auto"/>
        <w:rPr>
          <w:rFonts w:ascii="Calibri" w:eastAsia="Calibri" w:hAnsi="Calibri" w:cs="Calibri"/>
          <w:sz w:val="20"/>
          <w:szCs w:val="20"/>
        </w:rPr>
      </w:pPr>
      <w:r w:rsidRPr="00056DAA">
        <w:rPr>
          <w:rFonts w:ascii="Calibri" w:eastAsia="Calibri" w:hAnsi="Calibri" w:cs="Calibri"/>
          <w:sz w:val="20"/>
          <w:szCs w:val="20"/>
        </w:rPr>
        <w:t xml:space="preserve">AML: acute myeloid leukemia; AZA: azacitidine; VEN: venetoclax; DEC: decitabine; IV: intravenous; SC: subcutaneous, QD: daily; CCR: composite complete response;  m-OS: median overall survival; mo: months; LDAC: low dose cytarabine; NR: not reached; ORR: overall response rate;  m-EFS: median event-free survival; R/R: relapsed refractory.  *Follow-up expressed in months. </w:t>
      </w:r>
      <w:r w:rsidRPr="00056DAA">
        <w:rPr>
          <w:rFonts w:ascii="Calibri" w:eastAsia="Calibri" w:hAnsi="Calibri" w:cs="Calibri Light"/>
          <w:sz w:val="20"/>
          <w:szCs w:val="20"/>
          <w:vertAlign w:val="superscript"/>
        </w:rPr>
        <w:t xml:space="preserve">α </w:t>
      </w:r>
      <w:r w:rsidRPr="00056DAA">
        <w:rPr>
          <w:rFonts w:ascii="Calibri" w:eastAsia="Calibri" w:hAnsi="Calibri" w:cs="Calibri Light"/>
          <w:sz w:val="20"/>
          <w:szCs w:val="20"/>
        </w:rPr>
        <w:t xml:space="preserve">Outcomes adjusted using propensity score weighting. </w:t>
      </w:r>
      <w:bookmarkEnd w:id="17"/>
    </w:p>
    <w:p w14:paraId="2C7D5C33" w14:textId="252FF7FA" w:rsidR="004234BE" w:rsidRDefault="004234BE" w:rsidP="004234BE">
      <w:pPr>
        <w:rPr>
          <w:rFonts w:cstheme="minorHAnsi"/>
        </w:rPr>
      </w:pPr>
    </w:p>
    <w:p w14:paraId="3C48F209" w14:textId="557A104B" w:rsidR="00DD5936" w:rsidRDefault="00DD5936" w:rsidP="004234BE">
      <w:pPr>
        <w:rPr>
          <w:rFonts w:cstheme="minorHAnsi"/>
        </w:rPr>
      </w:pPr>
    </w:p>
    <w:p w14:paraId="46D002F5" w14:textId="77777777" w:rsidR="00DD5936" w:rsidRDefault="00DD5936" w:rsidP="004234BE">
      <w:pPr>
        <w:rPr>
          <w:rFonts w:cstheme="minorHAnsi"/>
        </w:rPr>
      </w:pPr>
    </w:p>
    <w:p w14:paraId="564942C4" w14:textId="77777777" w:rsidR="004C4E1E" w:rsidRPr="004C4E1E" w:rsidRDefault="00056DAA" w:rsidP="00DD5936">
      <w:pPr>
        <w:pStyle w:val="Heading1"/>
      </w:pPr>
      <w:bookmarkStart w:id="18" w:name="_Toc96864839"/>
      <w:r w:rsidRPr="004C4E1E">
        <w:lastRenderedPageBreak/>
        <w:t>References:</w:t>
      </w:r>
      <w:bookmarkEnd w:id="18"/>
      <w:r w:rsidRPr="004C4E1E">
        <w:t xml:space="preserve"> </w:t>
      </w:r>
    </w:p>
    <w:p w14:paraId="54EE3291" w14:textId="77777777" w:rsidR="004C4E1E" w:rsidRDefault="004C4E1E" w:rsidP="004234BE">
      <w:pPr>
        <w:rPr>
          <w:rFonts w:cstheme="minorHAnsi"/>
        </w:rPr>
      </w:pPr>
    </w:p>
    <w:p w14:paraId="6AE448D9" w14:textId="77777777" w:rsidR="002D2D6E" w:rsidRPr="002D2D6E" w:rsidRDefault="004C4E1E" w:rsidP="002D2D6E">
      <w:pPr>
        <w:pStyle w:val="EndNoteBibliography"/>
        <w:spacing w:after="0"/>
      </w:pPr>
      <w:r>
        <w:rPr>
          <w:rFonts w:cstheme="minorHAnsi"/>
        </w:rPr>
        <w:fldChar w:fldCharType="begin"/>
      </w:r>
      <w:r>
        <w:rPr>
          <w:rFonts w:cstheme="minorHAnsi"/>
        </w:rPr>
        <w:instrText xml:space="preserve"> ADDIN EN.REFLIST </w:instrText>
      </w:r>
      <w:r>
        <w:rPr>
          <w:rFonts w:cstheme="minorHAnsi"/>
        </w:rPr>
        <w:fldChar w:fldCharType="separate"/>
      </w:r>
      <w:r w:rsidR="002D2D6E" w:rsidRPr="002D2D6E">
        <w:t>1.</w:t>
      </w:r>
      <w:r w:rsidR="002D2D6E" w:rsidRPr="002D2D6E">
        <w:tab/>
        <w:t>DiNardo CD, Pratz K, Pullarkat V, Jonas BA, Arellano M, Becker PS, et al. Venetoclax combined with decitabine or azacitidine in treatment-naive, elderly patients with acute myeloid leukemia. Blood. 2019;133(1):7-17.</w:t>
      </w:r>
    </w:p>
    <w:p w14:paraId="1EC73D75" w14:textId="77777777" w:rsidR="002D2D6E" w:rsidRPr="002D2D6E" w:rsidRDefault="002D2D6E" w:rsidP="002D2D6E">
      <w:pPr>
        <w:pStyle w:val="EndNoteBibliography"/>
        <w:spacing w:after="0"/>
      </w:pPr>
      <w:r w:rsidRPr="002D2D6E">
        <w:t>2.</w:t>
      </w:r>
      <w:r w:rsidRPr="002D2D6E">
        <w:tab/>
        <w:t>DiNardo CD, Jonas BA, Pullarkat V, Thirman MJ, Garcia JS, Wei AH, et al. Azacitidine and Venetoclax in Previously Untreated Acute Myeloid Leukemia. New England Journal of Medicine. 2020;383(7):617-29.</w:t>
      </w:r>
    </w:p>
    <w:p w14:paraId="33C92986" w14:textId="77777777" w:rsidR="002D2D6E" w:rsidRPr="002D2D6E" w:rsidRDefault="002D2D6E" w:rsidP="002D2D6E">
      <w:pPr>
        <w:pStyle w:val="EndNoteBibliography"/>
        <w:spacing w:after="0"/>
      </w:pPr>
      <w:r w:rsidRPr="002D2D6E">
        <w:t>3.</w:t>
      </w:r>
      <w:r w:rsidRPr="002D2D6E">
        <w:tab/>
        <w:t>Labrador J, Martínez-Cuadrón D, de la Fuente A, Rodriguez-Veiga R, Serrano J, Tormo M, et al. Azacitidine Vs. Decitabine in Unfit Newly Diagnosed Acute Myeloid Leukemia Patients: Results from the Pethema Registry. Blood. 2020;136:25-7.</w:t>
      </w:r>
    </w:p>
    <w:p w14:paraId="61717310" w14:textId="77777777" w:rsidR="002D2D6E" w:rsidRPr="002D2D6E" w:rsidRDefault="002D2D6E" w:rsidP="002D2D6E">
      <w:pPr>
        <w:pStyle w:val="EndNoteBibliography"/>
        <w:spacing w:after="0"/>
      </w:pPr>
      <w:r w:rsidRPr="002D2D6E">
        <w:t>4.</w:t>
      </w:r>
      <w:r w:rsidRPr="002D2D6E">
        <w:tab/>
        <w:t>Morsia E, McCullough K, Joshi M, Cook J, Alkhateeb HB, Al-Kali A, et al. Venetoclax and hypomethylating agents in acute myeloid leukemia: Mayo Clinic series on 86 patients. American Journal of Hematology. 2020;95(12):1511-21.</w:t>
      </w:r>
    </w:p>
    <w:p w14:paraId="4600E4C7" w14:textId="77777777" w:rsidR="002D2D6E" w:rsidRPr="002D2D6E" w:rsidRDefault="002D2D6E" w:rsidP="002D2D6E">
      <w:pPr>
        <w:pStyle w:val="EndNoteBibliography"/>
        <w:spacing w:after="0"/>
      </w:pPr>
      <w:r w:rsidRPr="002D2D6E">
        <w:t>5.</w:t>
      </w:r>
      <w:r w:rsidRPr="002D2D6E">
        <w:tab/>
        <w:t>Wen B, You W, Yang S, Du X. Indirect comparison of azacitidine and decitabine for the therapy of elderly patients with acute myeloid leukemia: a systematic review and network meta-analysis. Experimental hematology &amp; oncology. 2020;9:3.</w:t>
      </w:r>
    </w:p>
    <w:p w14:paraId="490B476C" w14:textId="77777777" w:rsidR="002D2D6E" w:rsidRPr="002D2D6E" w:rsidRDefault="002D2D6E" w:rsidP="002D2D6E">
      <w:pPr>
        <w:pStyle w:val="EndNoteBibliography"/>
        <w:spacing w:after="0"/>
      </w:pPr>
      <w:r w:rsidRPr="002D2D6E">
        <w:t>6.</w:t>
      </w:r>
      <w:r w:rsidRPr="002D2D6E">
        <w:tab/>
        <w:t>Zeidan A, Fenaux P, Gobbi M. Comparative results of azacitidine and decitabine from a large prospective phase 3 study in treatment naive patients with acute myeloid leukemia not eligible for intensive chemotherapy [ASH abstract 1037]. Blood. 2020;136(1).</w:t>
      </w:r>
    </w:p>
    <w:p w14:paraId="7CCCA70B" w14:textId="77777777" w:rsidR="002D2D6E" w:rsidRPr="002D2D6E" w:rsidRDefault="002D2D6E" w:rsidP="002D2D6E">
      <w:pPr>
        <w:pStyle w:val="EndNoteBibliography"/>
        <w:spacing w:after="0"/>
      </w:pPr>
      <w:r w:rsidRPr="002D2D6E">
        <w:t>7.</w:t>
      </w:r>
      <w:r w:rsidRPr="002D2D6E">
        <w:tab/>
        <w:t>Bouligny I, Maher K. Outcomes of Induction with Venetoclax in Combination with Decitabine, Azacitidine, or Low-Dose Cytarabine for Treatment of AML: A Real-World Retrospective Analysis [ASH abstract 2335]. 2021.</w:t>
      </w:r>
    </w:p>
    <w:p w14:paraId="1E6A2AE3" w14:textId="77777777" w:rsidR="002D2D6E" w:rsidRPr="002D2D6E" w:rsidRDefault="002D2D6E" w:rsidP="002D2D6E">
      <w:pPr>
        <w:pStyle w:val="EndNoteBibliography"/>
        <w:spacing w:after="0"/>
      </w:pPr>
      <w:r w:rsidRPr="002D2D6E">
        <w:t>8.</w:t>
      </w:r>
      <w:r w:rsidRPr="002D2D6E">
        <w:tab/>
        <w:t>Garcia JS, Wolach O, Vachhani P, Zeidner JF, Talati C, Pollyea DA, et al. Comparative Effectiveness of Venetoclax Combinations Vs Other Therapies Among Patients with Newly Diagnosed Acute Myeloid Leukemia: Results from the AML Real World Evidence (ARC) Initiative [ASH abstract 2328]. 2021.</w:t>
      </w:r>
    </w:p>
    <w:p w14:paraId="1C82898A" w14:textId="77777777" w:rsidR="002D2D6E" w:rsidRPr="002D2D6E" w:rsidRDefault="002D2D6E" w:rsidP="002D2D6E">
      <w:pPr>
        <w:pStyle w:val="EndNoteBibliography"/>
        <w:spacing w:after="0"/>
      </w:pPr>
      <w:r w:rsidRPr="002D2D6E">
        <w:t>9.</w:t>
      </w:r>
      <w:r w:rsidRPr="002D2D6E">
        <w:tab/>
        <w:t>Kim K, Maiti A, Loghavi S, Pourebrahim R, Kadia TM, Rausch CR, et al. Outcomes of TP53-mutant acute myeloid leukemia with decitabine and venetoclax. Cancer. 2021;127(20):3772-81.</w:t>
      </w:r>
    </w:p>
    <w:p w14:paraId="11F50382" w14:textId="77777777" w:rsidR="002D2D6E" w:rsidRPr="002D2D6E" w:rsidRDefault="002D2D6E" w:rsidP="002D2D6E">
      <w:pPr>
        <w:pStyle w:val="EndNoteBibliography"/>
        <w:spacing w:after="0"/>
      </w:pPr>
      <w:r w:rsidRPr="002D2D6E">
        <w:t>10.</w:t>
      </w:r>
      <w:r w:rsidRPr="002D2D6E">
        <w:tab/>
        <w:t>Maiti A, DiNardo C, Rausch C, Pemmaraju N, Garcia-Manero G, Ohanian M, et al. Ten-Day Decitabine with Venetoclax (DEC10-VEN) in Acute Myeloid Leukemia and Myelodysplastic Syndrome: Updated Results of a Phase II Trial [ASH abstract 1270]. 2021.</w:t>
      </w:r>
    </w:p>
    <w:p w14:paraId="79F528DB" w14:textId="77777777" w:rsidR="002D2D6E" w:rsidRPr="002D2D6E" w:rsidRDefault="002D2D6E" w:rsidP="002D2D6E">
      <w:pPr>
        <w:pStyle w:val="EndNoteBibliography"/>
      </w:pPr>
      <w:r w:rsidRPr="002D2D6E">
        <w:t>11.</w:t>
      </w:r>
      <w:r w:rsidRPr="002D2D6E">
        <w:tab/>
        <w:t>Patel P, Madanat Y, Belli A, Hansen E, Foss H, Schulte M, et al. Frontline Venetoclax (ven) Based Combination Therapy in Older Adults with Acute Myeloid Leukemia Treated in the Real-World Setting; A Multi-Institutional Retrospective Study [ASH abstract 4136]. 2021.</w:t>
      </w:r>
    </w:p>
    <w:p w14:paraId="350F54A8" w14:textId="006C1EA0" w:rsidR="00056DAA" w:rsidRPr="00E70DD9" w:rsidRDefault="004C4E1E" w:rsidP="002D2D6E">
      <w:pPr>
        <w:rPr>
          <w:rFonts w:cstheme="minorHAnsi"/>
        </w:rPr>
      </w:pPr>
      <w:r>
        <w:rPr>
          <w:rFonts w:cstheme="minorHAnsi"/>
        </w:rPr>
        <w:fldChar w:fldCharType="end"/>
      </w:r>
    </w:p>
    <w:sectPr w:rsidR="00056DAA" w:rsidRPr="00E70DD9" w:rsidSect="003431ED">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19905A" w14:textId="77777777" w:rsidR="0064590A" w:rsidRDefault="0064590A" w:rsidP="00847ED8">
      <w:pPr>
        <w:spacing w:after="0" w:line="240" w:lineRule="auto"/>
      </w:pPr>
      <w:r>
        <w:separator/>
      </w:r>
    </w:p>
  </w:endnote>
  <w:endnote w:type="continuationSeparator" w:id="0">
    <w:p w14:paraId="0D486B62" w14:textId="77777777" w:rsidR="0064590A" w:rsidRDefault="0064590A" w:rsidP="00847E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13399911"/>
      <w:docPartObj>
        <w:docPartGallery w:val="Page Numbers (Bottom of Page)"/>
        <w:docPartUnique/>
      </w:docPartObj>
    </w:sdtPr>
    <w:sdtEndPr>
      <w:rPr>
        <w:color w:val="7F7F7F" w:themeColor="background1" w:themeShade="7F"/>
        <w:spacing w:val="60"/>
      </w:rPr>
    </w:sdtEndPr>
    <w:sdtContent>
      <w:p w14:paraId="56422159" w14:textId="03E2ACEF" w:rsidR="00CA5540" w:rsidRDefault="00CA5540">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570DF3D9" w14:textId="77777777" w:rsidR="00CA5540" w:rsidRDefault="00CA55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59E1D5" w14:textId="77777777" w:rsidR="0064590A" w:rsidRDefault="0064590A" w:rsidP="00847ED8">
      <w:pPr>
        <w:spacing w:after="0" w:line="240" w:lineRule="auto"/>
      </w:pPr>
      <w:r>
        <w:separator/>
      </w:r>
    </w:p>
  </w:footnote>
  <w:footnote w:type="continuationSeparator" w:id="0">
    <w:p w14:paraId="72B6BB8A" w14:textId="77777777" w:rsidR="0064590A" w:rsidRDefault="0064590A" w:rsidP="00847ED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7O0sDC1NDExNLCwNDRV0lEKTi0uzszPAykwMq4FAI5Ru0QtAAAA"/>
    <w:docVar w:name="EN.InstantFormat" w:val="&lt;ENInstantFormat&gt;&lt;Enabled&gt;1&lt;/Enabled&gt;&lt;ScanUnformatted&gt;1&lt;/ScanUnformatted&gt;&lt;ScanChanges&gt;1&lt;/ScanChanges&gt;&lt;Suspended&gt;0&lt;/Suspended&gt;&lt;/ENInstantFormat&gt;"/>
    <w:docVar w:name="EN.Layout" w:val="&lt;ENLayout&gt;&lt;Style&gt;Vancouver&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5d2tfaxd5v5wt8erttivfvefazxdwf0z5xtz&quot;&gt;HMA library&lt;record-ids&gt;&lt;item&gt;12&lt;/item&gt;&lt;item&gt;14&lt;/item&gt;&lt;item&gt;16&lt;/item&gt;&lt;item&gt;17&lt;/item&gt;&lt;item&gt;18&lt;/item&gt;&lt;item&gt;20&lt;/item&gt;&lt;item&gt;21&lt;/item&gt;&lt;item&gt;22&lt;/item&gt;&lt;item&gt;23&lt;/item&gt;&lt;item&gt;24&lt;/item&gt;&lt;/record-ids&gt;&lt;/item&gt;&lt;/Libraries&gt;"/>
  </w:docVars>
  <w:rsids>
    <w:rsidRoot w:val="00E3025D"/>
    <w:rsid w:val="00004A13"/>
    <w:rsid w:val="000102A2"/>
    <w:rsid w:val="00017CA9"/>
    <w:rsid w:val="000466B9"/>
    <w:rsid w:val="00052A84"/>
    <w:rsid w:val="00056DAA"/>
    <w:rsid w:val="000763A0"/>
    <w:rsid w:val="000828E5"/>
    <w:rsid w:val="00093A22"/>
    <w:rsid w:val="000A788C"/>
    <w:rsid w:val="000B215D"/>
    <w:rsid w:val="000B4028"/>
    <w:rsid w:val="000B6730"/>
    <w:rsid w:val="000B6C4C"/>
    <w:rsid w:val="000E4556"/>
    <w:rsid w:val="000F7621"/>
    <w:rsid w:val="0010750E"/>
    <w:rsid w:val="00147DD8"/>
    <w:rsid w:val="00155975"/>
    <w:rsid w:val="001667F9"/>
    <w:rsid w:val="00186BDC"/>
    <w:rsid w:val="00191ED8"/>
    <w:rsid w:val="001960E2"/>
    <w:rsid w:val="001A0538"/>
    <w:rsid w:val="001A6460"/>
    <w:rsid w:val="001A6A88"/>
    <w:rsid w:val="001B7F1D"/>
    <w:rsid w:val="001C5091"/>
    <w:rsid w:val="001C532E"/>
    <w:rsid w:val="001E5FF1"/>
    <w:rsid w:val="00200C17"/>
    <w:rsid w:val="002277A2"/>
    <w:rsid w:val="002316DD"/>
    <w:rsid w:val="00261F1D"/>
    <w:rsid w:val="00271D9F"/>
    <w:rsid w:val="002A56F3"/>
    <w:rsid w:val="002B0249"/>
    <w:rsid w:val="002C52CE"/>
    <w:rsid w:val="002C7D75"/>
    <w:rsid w:val="002D2D6E"/>
    <w:rsid w:val="002E1503"/>
    <w:rsid w:val="002E29A0"/>
    <w:rsid w:val="002E693E"/>
    <w:rsid w:val="0030424F"/>
    <w:rsid w:val="00304A48"/>
    <w:rsid w:val="00310F97"/>
    <w:rsid w:val="003335C0"/>
    <w:rsid w:val="00336EBD"/>
    <w:rsid w:val="003431ED"/>
    <w:rsid w:val="00354908"/>
    <w:rsid w:val="00363018"/>
    <w:rsid w:val="00377184"/>
    <w:rsid w:val="00377C91"/>
    <w:rsid w:val="00381DC7"/>
    <w:rsid w:val="0038219A"/>
    <w:rsid w:val="003915FA"/>
    <w:rsid w:val="003B2628"/>
    <w:rsid w:val="003C222E"/>
    <w:rsid w:val="003C4C91"/>
    <w:rsid w:val="003C5952"/>
    <w:rsid w:val="003E7108"/>
    <w:rsid w:val="003F0057"/>
    <w:rsid w:val="003F427A"/>
    <w:rsid w:val="00406BC4"/>
    <w:rsid w:val="00413F09"/>
    <w:rsid w:val="00416CA5"/>
    <w:rsid w:val="004234BE"/>
    <w:rsid w:val="00435768"/>
    <w:rsid w:val="004541D7"/>
    <w:rsid w:val="00463163"/>
    <w:rsid w:val="004A3E1C"/>
    <w:rsid w:val="004A693B"/>
    <w:rsid w:val="004B00C7"/>
    <w:rsid w:val="004B0DD4"/>
    <w:rsid w:val="004C056E"/>
    <w:rsid w:val="004C4E1E"/>
    <w:rsid w:val="004D793C"/>
    <w:rsid w:val="004F19B4"/>
    <w:rsid w:val="004F3281"/>
    <w:rsid w:val="004F4F22"/>
    <w:rsid w:val="00505F3E"/>
    <w:rsid w:val="005119AE"/>
    <w:rsid w:val="00517413"/>
    <w:rsid w:val="005318FD"/>
    <w:rsid w:val="005360C5"/>
    <w:rsid w:val="00556214"/>
    <w:rsid w:val="00564B76"/>
    <w:rsid w:val="00592F33"/>
    <w:rsid w:val="005B2E55"/>
    <w:rsid w:val="005C4A0C"/>
    <w:rsid w:val="005D7AC1"/>
    <w:rsid w:val="005F29DF"/>
    <w:rsid w:val="0060148F"/>
    <w:rsid w:val="006032C6"/>
    <w:rsid w:val="00615009"/>
    <w:rsid w:val="006164CA"/>
    <w:rsid w:val="00616827"/>
    <w:rsid w:val="006247D7"/>
    <w:rsid w:val="006354E7"/>
    <w:rsid w:val="0064590A"/>
    <w:rsid w:val="00650F7E"/>
    <w:rsid w:val="006555DD"/>
    <w:rsid w:val="00662744"/>
    <w:rsid w:val="0068419C"/>
    <w:rsid w:val="006A24BD"/>
    <w:rsid w:val="006A4D67"/>
    <w:rsid w:val="006A6281"/>
    <w:rsid w:val="006B3637"/>
    <w:rsid w:val="006C0831"/>
    <w:rsid w:val="006C0BDC"/>
    <w:rsid w:val="006C2D5A"/>
    <w:rsid w:val="006C419F"/>
    <w:rsid w:val="006C550D"/>
    <w:rsid w:val="006D50B0"/>
    <w:rsid w:val="006E251D"/>
    <w:rsid w:val="006E7327"/>
    <w:rsid w:val="006F5FD7"/>
    <w:rsid w:val="00715BF6"/>
    <w:rsid w:val="007368AA"/>
    <w:rsid w:val="0077269B"/>
    <w:rsid w:val="00795840"/>
    <w:rsid w:val="007A067C"/>
    <w:rsid w:val="007B743D"/>
    <w:rsid w:val="007C2B84"/>
    <w:rsid w:val="007C67F1"/>
    <w:rsid w:val="007D2367"/>
    <w:rsid w:val="007D4008"/>
    <w:rsid w:val="007D453B"/>
    <w:rsid w:val="007E6C53"/>
    <w:rsid w:val="007F0FE7"/>
    <w:rsid w:val="00821A33"/>
    <w:rsid w:val="00822862"/>
    <w:rsid w:val="00830A79"/>
    <w:rsid w:val="008416B4"/>
    <w:rsid w:val="00847ED8"/>
    <w:rsid w:val="00851A81"/>
    <w:rsid w:val="00857E49"/>
    <w:rsid w:val="0086441F"/>
    <w:rsid w:val="008666E8"/>
    <w:rsid w:val="00892375"/>
    <w:rsid w:val="008A0A13"/>
    <w:rsid w:val="008A2818"/>
    <w:rsid w:val="008A6DD9"/>
    <w:rsid w:val="00900D1C"/>
    <w:rsid w:val="00900F05"/>
    <w:rsid w:val="00911B6A"/>
    <w:rsid w:val="00920AC3"/>
    <w:rsid w:val="00922790"/>
    <w:rsid w:val="00952753"/>
    <w:rsid w:val="00973D75"/>
    <w:rsid w:val="00974F09"/>
    <w:rsid w:val="009840D9"/>
    <w:rsid w:val="00984C2E"/>
    <w:rsid w:val="00985399"/>
    <w:rsid w:val="00987DC1"/>
    <w:rsid w:val="00987F57"/>
    <w:rsid w:val="009B3404"/>
    <w:rsid w:val="009B79D3"/>
    <w:rsid w:val="009C2030"/>
    <w:rsid w:val="009D2BD6"/>
    <w:rsid w:val="009D3E35"/>
    <w:rsid w:val="009D72DC"/>
    <w:rsid w:val="009E1016"/>
    <w:rsid w:val="009F0CDE"/>
    <w:rsid w:val="00A260B7"/>
    <w:rsid w:val="00A363E2"/>
    <w:rsid w:val="00A44133"/>
    <w:rsid w:val="00A46CA9"/>
    <w:rsid w:val="00A61EDE"/>
    <w:rsid w:val="00A62E5F"/>
    <w:rsid w:val="00A675A2"/>
    <w:rsid w:val="00A8223F"/>
    <w:rsid w:val="00A865E8"/>
    <w:rsid w:val="00AA408A"/>
    <w:rsid w:val="00AB2EAC"/>
    <w:rsid w:val="00AC6959"/>
    <w:rsid w:val="00AD726D"/>
    <w:rsid w:val="00AE3C8E"/>
    <w:rsid w:val="00AE4925"/>
    <w:rsid w:val="00AF6035"/>
    <w:rsid w:val="00B108FE"/>
    <w:rsid w:val="00B10995"/>
    <w:rsid w:val="00B14F2E"/>
    <w:rsid w:val="00B17D42"/>
    <w:rsid w:val="00B30E87"/>
    <w:rsid w:val="00B53082"/>
    <w:rsid w:val="00B554C9"/>
    <w:rsid w:val="00B66B0C"/>
    <w:rsid w:val="00B66FE0"/>
    <w:rsid w:val="00B74403"/>
    <w:rsid w:val="00B8152C"/>
    <w:rsid w:val="00B93A69"/>
    <w:rsid w:val="00B94B6F"/>
    <w:rsid w:val="00BA5C75"/>
    <w:rsid w:val="00BA5DA5"/>
    <w:rsid w:val="00BB005C"/>
    <w:rsid w:val="00BE1696"/>
    <w:rsid w:val="00BE32C7"/>
    <w:rsid w:val="00C45AB2"/>
    <w:rsid w:val="00C55D98"/>
    <w:rsid w:val="00C650CB"/>
    <w:rsid w:val="00C93D89"/>
    <w:rsid w:val="00CA5540"/>
    <w:rsid w:val="00CA77C3"/>
    <w:rsid w:val="00CA7EF3"/>
    <w:rsid w:val="00CB167D"/>
    <w:rsid w:val="00CB6592"/>
    <w:rsid w:val="00CB6595"/>
    <w:rsid w:val="00CC7F31"/>
    <w:rsid w:val="00CD4A53"/>
    <w:rsid w:val="00CE47DF"/>
    <w:rsid w:val="00D23ED3"/>
    <w:rsid w:val="00D35B4B"/>
    <w:rsid w:val="00D47D0B"/>
    <w:rsid w:val="00D657DC"/>
    <w:rsid w:val="00D81423"/>
    <w:rsid w:val="00D8291C"/>
    <w:rsid w:val="00D8587A"/>
    <w:rsid w:val="00DA078B"/>
    <w:rsid w:val="00DB2D28"/>
    <w:rsid w:val="00DB706C"/>
    <w:rsid w:val="00DC2049"/>
    <w:rsid w:val="00DD25BA"/>
    <w:rsid w:val="00DD3D3B"/>
    <w:rsid w:val="00DD5936"/>
    <w:rsid w:val="00DD5D19"/>
    <w:rsid w:val="00DE3474"/>
    <w:rsid w:val="00DE440A"/>
    <w:rsid w:val="00E02308"/>
    <w:rsid w:val="00E03F3B"/>
    <w:rsid w:val="00E20EFC"/>
    <w:rsid w:val="00E2761F"/>
    <w:rsid w:val="00E3025D"/>
    <w:rsid w:val="00E349DA"/>
    <w:rsid w:val="00E369C6"/>
    <w:rsid w:val="00E420B9"/>
    <w:rsid w:val="00E45F8B"/>
    <w:rsid w:val="00E57AAC"/>
    <w:rsid w:val="00E709F1"/>
    <w:rsid w:val="00E70DD9"/>
    <w:rsid w:val="00E74DED"/>
    <w:rsid w:val="00E82CB1"/>
    <w:rsid w:val="00EA1449"/>
    <w:rsid w:val="00EE025D"/>
    <w:rsid w:val="00EF3563"/>
    <w:rsid w:val="00EF7F1E"/>
    <w:rsid w:val="00F02F02"/>
    <w:rsid w:val="00F045E8"/>
    <w:rsid w:val="00F108BD"/>
    <w:rsid w:val="00F16445"/>
    <w:rsid w:val="00F23BB7"/>
    <w:rsid w:val="00F47770"/>
    <w:rsid w:val="00F504D7"/>
    <w:rsid w:val="00F55497"/>
    <w:rsid w:val="00F5690C"/>
    <w:rsid w:val="00F56AD5"/>
    <w:rsid w:val="00FA48DA"/>
    <w:rsid w:val="00FC6C5B"/>
    <w:rsid w:val="00FD5BAA"/>
    <w:rsid w:val="00FE70C4"/>
    <w:rsid w:val="00FF4F6D"/>
    <w:rsid w:val="01F43062"/>
    <w:rsid w:val="01FD78DA"/>
    <w:rsid w:val="021E5484"/>
    <w:rsid w:val="027B5158"/>
    <w:rsid w:val="02E7C097"/>
    <w:rsid w:val="034CBB43"/>
    <w:rsid w:val="03657C2F"/>
    <w:rsid w:val="058D13B8"/>
    <w:rsid w:val="05C4D677"/>
    <w:rsid w:val="06A1B8C2"/>
    <w:rsid w:val="0709C0F4"/>
    <w:rsid w:val="072A3966"/>
    <w:rsid w:val="085378BB"/>
    <w:rsid w:val="08EA92DC"/>
    <w:rsid w:val="0916EC12"/>
    <w:rsid w:val="093884C1"/>
    <w:rsid w:val="094E56FB"/>
    <w:rsid w:val="0978E129"/>
    <w:rsid w:val="097B8EFF"/>
    <w:rsid w:val="0AA70DA7"/>
    <w:rsid w:val="0B9E77F3"/>
    <w:rsid w:val="0E4C4E76"/>
    <w:rsid w:val="0E62BD2E"/>
    <w:rsid w:val="10C210E2"/>
    <w:rsid w:val="10F4112A"/>
    <w:rsid w:val="11153EEA"/>
    <w:rsid w:val="11E0C8DE"/>
    <w:rsid w:val="16A0AE27"/>
    <w:rsid w:val="18BCF09F"/>
    <w:rsid w:val="19B6E70E"/>
    <w:rsid w:val="1A7CA703"/>
    <w:rsid w:val="1A853720"/>
    <w:rsid w:val="1ACFF8ED"/>
    <w:rsid w:val="1C66BC76"/>
    <w:rsid w:val="1D5B54FA"/>
    <w:rsid w:val="1D7B63A9"/>
    <w:rsid w:val="203CB863"/>
    <w:rsid w:val="20C94627"/>
    <w:rsid w:val="2116E034"/>
    <w:rsid w:val="23E11B06"/>
    <w:rsid w:val="245A3CF1"/>
    <w:rsid w:val="262E455D"/>
    <w:rsid w:val="2693CDD0"/>
    <w:rsid w:val="26BDF340"/>
    <w:rsid w:val="26C17CA3"/>
    <w:rsid w:val="277FE8B0"/>
    <w:rsid w:val="27ACDE4F"/>
    <w:rsid w:val="27F929CC"/>
    <w:rsid w:val="280C1B06"/>
    <w:rsid w:val="28546B1D"/>
    <w:rsid w:val="2923C024"/>
    <w:rsid w:val="2930455F"/>
    <w:rsid w:val="29C0F016"/>
    <w:rsid w:val="2A016661"/>
    <w:rsid w:val="2AFAD2CF"/>
    <w:rsid w:val="2B13AA9B"/>
    <w:rsid w:val="2B3AD2DD"/>
    <w:rsid w:val="2C412BA8"/>
    <w:rsid w:val="2DD9BD59"/>
    <w:rsid w:val="2ECCD3AF"/>
    <w:rsid w:val="2ED4CE7A"/>
    <w:rsid w:val="2F3C1A3A"/>
    <w:rsid w:val="2FDF4DFB"/>
    <w:rsid w:val="31391BC8"/>
    <w:rsid w:val="32362A14"/>
    <w:rsid w:val="32DCB068"/>
    <w:rsid w:val="342C5DBF"/>
    <w:rsid w:val="354ED632"/>
    <w:rsid w:val="36E399B4"/>
    <w:rsid w:val="387FEEBE"/>
    <w:rsid w:val="39EDD5D9"/>
    <w:rsid w:val="3AC7C7E4"/>
    <w:rsid w:val="3B4513F2"/>
    <w:rsid w:val="3C2B0B14"/>
    <w:rsid w:val="3D6EFD4C"/>
    <w:rsid w:val="3F8210AA"/>
    <w:rsid w:val="3FA83A66"/>
    <w:rsid w:val="413F37A6"/>
    <w:rsid w:val="41B03DBC"/>
    <w:rsid w:val="42CE8432"/>
    <w:rsid w:val="434C0E1D"/>
    <w:rsid w:val="450989E3"/>
    <w:rsid w:val="4546519E"/>
    <w:rsid w:val="46C9FD24"/>
    <w:rsid w:val="477443B1"/>
    <w:rsid w:val="4810F4E2"/>
    <w:rsid w:val="483D1D83"/>
    <w:rsid w:val="48BF218B"/>
    <w:rsid w:val="494F6A10"/>
    <w:rsid w:val="4C05B4A4"/>
    <w:rsid w:val="4C2B2FB2"/>
    <w:rsid w:val="4D0486C2"/>
    <w:rsid w:val="4D86FE1B"/>
    <w:rsid w:val="4F0210CC"/>
    <w:rsid w:val="4F3A8F93"/>
    <w:rsid w:val="4F5D36D0"/>
    <w:rsid w:val="4F6A31B5"/>
    <w:rsid w:val="4FA731FD"/>
    <w:rsid w:val="50210A73"/>
    <w:rsid w:val="5056BB05"/>
    <w:rsid w:val="5060E91F"/>
    <w:rsid w:val="509A163C"/>
    <w:rsid w:val="50A893F9"/>
    <w:rsid w:val="51DE6C71"/>
    <w:rsid w:val="52899C56"/>
    <w:rsid w:val="52CC86CA"/>
    <w:rsid w:val="545FCF0B"/>
    <w:rsid w:val="54757D70"/>
    <w:rsid w:val="58558ED5"/>
    <w:rsid w:val="586D1235"/>
    <w:rsid w:val="59003BC3"/>
    <w:rsid w:val="59724D63"/>
    <w:rsid w:val="5BD9F95A"/>
    <w:rsid w:val="5C0C66C5"/>
    <w:rsid w:val="5C39C805"/>
    <w:rsid w:val="5C6FADD4"/>
    <w:rsid w:val="5D982177"/>
    <w:rsid w:val="5F7CCD34"/>
    <w:rsid w:val="61FACC1E"/>
    <w:rsid w:val="6249E63A"/>
    <w:rsid w:val="62A89588"/>
    <w:rsid w:val="63175BC1"/>
    <w:rsid w:val="633E3FAA"/>
    <w:rsid w:val="639E949D"/>
    <w:rsid w:val="65BF7495"/>
    <w:rsid w:val="66A4D0AC"/>
    <w:rsid w:val="677A6907"/>
    <w:rsid w:val="69A9E8E4"/>
    <w:rsid w:val="6BC76019"/>
    <w:rsid w:val="6C4952B2"/>
    <w:rsid w:val="6CB6D426"/>
    <w:rsid w:val="6CB721D4"/>
    <w:rsid w:val="6DDEEAA7"/>
    <w:rsid w:val="6F70A806"/>
    <w:rsid w:val="6FF6F22F"/>
    <w:rsid w:val="701745A5"/>
    <w:rsid w:val="710E7686"/>
    <w:rsid w:val="712C9E56"/>
    <w:rsid w:val="721ECCD7"/>
    <w:rsid w:val="74E6DB36"/>
    <w:rsid w:val="76134974"/>
    <w:rsid w:val="778F79FC"/>
    <w:rsid w:val="77A2C6AA"/>
    <w:rsid w:val="7818F553"/>
    <w:rsid w:val="79569E1D"/>
    <w:rsid w:val="796210FD"/>
    <w:rsid w:val="7A67B752"/>
    <w:rsid w:val="7B99AA5A"/>
    <w:rsid w:val="7BB76007"/>
    <w:rsid w:val="7C253830"/>
    <w:rsid w:val="7CD9B1BA"/>
    <w:rsid w:val="7D0F7A06"/>
    <w:rsid w:val="7E0895B1"/>
    <w:rsid w:val="7E5CF50C"/>
    <w:rsid w:val="7EB8F11A"/>
    <w:rsid w:val="7F76580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09D316"/>
  <w15:chartTrackingRefBased/>
  <w15:docId w15:val="{AACF67C4-5C81-4DB4-A34B-BC1DB6BAB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34BE"/>
  </w:style>
  <w:style w:type="paragraph" w:styleId="Heading1">
    <w:name w:val="heading 1"/>
    <w:basedOn w:val="Normal"/>
    <w:next w:val="Normal"/>
    <w:link w:val="Heading1Char"/>
    <w:uiPriority w:val="9"/>
    <w:qFormat/>
    <w:rsid w:val="00DC204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0763A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rsid w:val="003431ED"/>
    <w:pPr>
      <w:spacing w:after="200" w:line="240" w:lineRule="auto"/>
    </w:pPr>
    <w:rPr>
      <w:i/>
      <w:iCs/>
      <w:color w:val="44546A" w:themeColor="text2"/>
      <w:sz w:val="18"/>
      <w:szCs w:val="18"/>
    </w:rPr>
  </w:style>
  <w:style w:type="table" w:styleId="TableGrid">
    <w:name w:val="Table Grid"/>
    <w:basedOn w:val="TableNormal"/>
    <w:uiPriority w:val="39"/>
    <w:rsid w:val="00D814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47E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7ED8"/>
  </w:style>
  <w:style w:type="paragraph" w:styleId="Footer">
    <w:name w:val="footer"/>
    <w:basedOn w:val="Normal"/>
    <w:link w:val="FooterChar"/>
    <w:uiPriority w:val="99"/>
    <w:unhideWhenUsed/>
    <w:rsid w:val="00847E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7ED8"/>
  </w:style>
  <w:style w:type="character" w:customStyle="1" w:styleId="Heading1Char">
    <w:name w:val="Heading 1 Char"/>
    <w:basedOn w:val="DefaultParagraphFont"/>
    <w:link w:val="Heading1"/>
    <w:uiPriority w:val="9"/>
    <w:rsid w:val="00DC2049"/>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DC2049"/>
    <w:pPr>
      <w:outlineLvl w:val="9"/>
    </w:pPr>
  </w:style>
  <w:style w:type="paragraph" w:styleId="TOC1">
    <w:name w:val="toc 1"/>
    <w:basedOn w:val="Normal"/>
    <w:next w:val="Normal"/>
    <w:autoRedefine/>
    <w:uiPriority w:val="39"/>
    <w:unhideWhenUsed/>
    <w:rsid w:val="009D2BD6"/>
    <w:pPr>
      <w:tabs>
        <w:tab w:val="right" w:leader="dot" w:pos="12950"/>
      </w:tabs>
      <w:spacing w:after="100"/>
    </w:pPr>
  </w:style>
  <w:style w:type="character" w:styleId="Hyperlink">
    <w:name w:val="Hyperlink"/>
    <w:basedOn w:val="DefaultParagraphFont"/>
    <w:uiPriority w:val="99"/>
    <w:unhideWhenUsed/>
    <w:rsid w:val="00DC2049"/>
    <w:rPr>
      <w:color w:val="0563C1" w:themeColor="hyperlink"/>
      <w:u w:val="single"/>
    </w:rPr>
  </w:style>
  <w:style w:type="character" w:customStyle="1" w:styleId="Heading2Char">
    <w:name w:val="Heading 2 Char"/>
    <w:basedOn w:val="DefaultParagraphFont"/>
    <w:link w:val="Heading2"/>
    <w:uiPriority w:val="9"/>
    <w:rsid w:val="000763A0"/>
    <w:rPr>
      <w:rFonts w:asciiTheme="majorHAnsi" w:eastAsiaTheme="majorEastAsia" w:hAnsiTheme="majorHAnsi" w:cstheme="majorBidi"/>
      <w:color w:val="2F5496" w:themeColor="accent1" w:themeShade="BF"/>
      <w:sz w:val="26"/>
      <w:szCs w:val="26"/>
    </w:rPr>
  </w:style>
  <w:style w:type="paragraph" w:styleId="TOC2">
    <w:name w:val="toc 2"/>
    <w:basedOn w:val="Normal"/>
    <w:next w:val="Normal"/>
    <w:autoRedefine/>
    <w:uiPriority w:val="39"/>
    <w:unhideWhenUsed/>
    <w:rsid w:val="000763A0"/>
    <w:pPr>
      <w:spacing w:after="100"/>
      <w:ind w:left="220"/>
    </w:pPr>
  </w:style>
  <w:style w:type="paragraph" w:styleId="Title">
    <w:name w:val="Title"/>
    <w:basedOn w:val="Normal"/>
    <w:next w:val="Normal"/>
    <w:link w:val="TitleChar"/>
    <w:uiPriority w:val="10"/>
    <w:qFormat/>
    <w:rsid w:val="00310F9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10F97"/>
    <w:rPr>
      <w:rFonts w:asciiTheme="majorHAnsi" w:eastAsiaTheme="majorEastAsia" w:hAnsiTheme="majorHAnsi" w:cstheme="majorBidi"/>
      <w:spacing w:val="-10"/>
      <w:kern w:val="28"/>
      <w:sz w:val="56"/>
      <w:szCs w:val="56"/>
    </w:rPr>
  </w:style>
  <w:style w:type="table" w:customStyle="1" w:styleId="TableGrid1">
    <w:name w:val="Table Grid1"/>
    <w:basedOn w:val="TableNormal"/>
    <w:next w:val="TableGrid"/>
    <w:uiPriority w:val="39"/>
    <w:rsid w:val="00056DAA"/>
    <w:pPr>
      <w:spacing w:after="0" w:line="240" w:lineRule="auto"/>
    </w:pPr>
    <w:rPr>
      <w:rFonts w:ascii="Calibri Light" w:eastAsia="Calibri" w:hAnsi="Calibri Light"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dNoteBibliographyTitle">
    <w:name w:val="EndNote Bibliography Title"/>
    <w:basedOn w:val="Normal"/>
    <w:link w:val="EndNoteBibliographyTitleChar"/>
    <w:rsid w:val="004C4E1E"/>
    <w:pPr>
      <w:spacing w:after="0"/>
      <w:jc w:val="center"/>
    </w:pPr>
    <w:rPr>
      <w:rFonts w:ascii="Calibri" w:hAnsi="Calibri" w:cs="Calibri"/>
      <w:noProof/>
    </w:rPr>
  </w:style>
  <w:style w:type="character" w:customStyle="1" w:styleId="EndNoteBibliographyTitleChar">
    <w:name w:val="EndNote Bibliography Title Char"/>
    <w:basedOn w:val="DefaultParagraphFont"/>
    <w:link w:val="EndNoteBibliographyTitle"/>
    <w:rsid w:val="004C4E1E"/>
    <w:rPr>
      <w:rFonts w:ascii="Calibri" w:hAnsi="Calibri" w:cs="Calibri"/>
      <w:noProof/>
    </w:rPr>
  </w:style>
  <w:style w:type="paragraph" w:customStyle="1" w:styleId="EndNoteBibliography">
    <w:name w:val="EndNote Bibliography"/>
    <w:basedOn w:val="Normal"/>
    <w:link w:val="EndNoteBibliographyChar"/>
    <w:rsid w:val="004C4E1E"/>
    <w:pPr>
      <w:spacing w:line="240" w:lineRule="auto"/>
    </w:pPr>
    <w:rPr>
      <w:rFonts w:ascii="Calibri" w:hAnsi="Calibri" w:cs="Calibri"/>
      <w:noProof/>
    </w:rPr>
  </w:style>
  <w:style w:type="character" w:customStyle="1" w:styleId="EndNoteBibliographyChar">
    <w:name w:val="EndNote Bibliography Char"/>
    <w:basedOn w:val="DefaultParagraphFont"/>
    <w:link w:val="EndNoteBibliography"/>
    <w:rsid w:val="004C4E1E"/>
    <w:rPr>
      <w:rFonts w:ascii="Calibri" w:hAnsi="Calibri" w:cs="Calibri"/>
      <w:noProof/>
    </w:rPr>
  </w:style>
  <w:style w:type="paragraph" w:styleId="Revision">
    <w:name w:val="Revision"/>
    <w:hidden/>
    <w:uiPriority w:val="99"/>
    <w:semiHidden/>
    <w:rsid w:val="009840D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67912">
      <w:bodyDiv w:val="1"/>
      <w:marLeft w:val="0"/>
      <w:marRight w:val="0"/>
      <w:marTop w:val="0"/>
      <w:marBottom w:val="0"/>
      <w:divBdr>
        <w:top w:val="none" w:sz="0" w:space="0" w:color="auto"/>
        <w:left w:val="none" w:sz="0" w:space="0" w:color="auto"/>
        <w:bottom w:val="none" w:sz="0" w:space="0" w:color="auto"/>
        <w:right w:val="none" w:sz="0" w:space="0" w:color="auto"/>
      </w:divBdr>
    </w:div>
    <w:div w:id="98184808">
      <w:bodyDiv w:val="1"/>
      <w:marLeft w:val="0"/>
      <w:marRight w:val="0"/>
      <w:marTop w:val="0"/>
      <w:marBottom w:val="0"/>
      <w:divBdr>
        <w:top w:val="none" w:sz="0" w:space="0" w:color="auto"/>
        <w:left w:val="none" w:sz="0" w:space="0" w:color="auto"/>
        <w:bottom w:val="none" w:sz="0" w:space="0" w:color="auto"/>
        <w:right w:val="none" w:sz="0" w:space="0" w:color="auto"/>
      </w:divBdr>
    </w:div>
    <w:div w:id="131363041">
      <w:bodyDiv w:val="1"/>
      <w:marLeft w:val="0"/>
      <w:marRight w:val="0"/>
      <w:marTop w:val="0"/>
      <w:marBottom w:val="0"/>
      <w:divBdr>
        <w:top w:val="none" w:sz="0" w:space="0" w:color="auto"/>
        <w:left w:val="none" w:sz="0" w:space="0" w:color="auto"/>
        <w:bottom w:val="none" w:sz="0" w:space="0" w:color="auto"/>
        <w:right w:val="none" w:sz="0" w:space="0" w:color="auto"/>
      </w:divBdr>
    </w:div>
    <w:div w:id="213398170">
      <w:bodyDiv w:val="1"/>
      <w:marLeft w:val="0"/>
      <w:marRight w:val="0"/>
      <w:marTop w:val="0"/>
      <w:marBottom w:val="0"/>
      <w:divBdr>
        <w:top w:val="none" w:sz="0" w:space="0" w:color="auto"/>
        <w:left w:val="none" w:sz="0" w:space="0" w:color="auto"/>
        <w:bottom w:val="none" w:sz="0" w:space="0" w:color="auto"/>
        <w:right w:val="none" w:sz="0" w:space="0" w:color="auto"/>
      </w:divBdr>
    </w:div>
    <w:div w:id="252977718">
      <w:bodyDiv w:val="1"/>
      <w:marLeft w:val="0"/>
      <w:marRight w:val="0"/>
      <w:marTop w:val="0"/>
      <w:marBottom w:val="0"/>
      <w:divBdr>
        <w:top w:val="none" w:sz="0" w:space="0" w:color="auto"/>
        <w:left w:val="none" w:sz="0" w:space="0" w:color="auto"/>
        <w:bottom w:val="none" w:sz="0" w:space="0" w:color="auto"/>
        <w:right w:val="none" w:sz="0" w:space="0" w:color="auto"/>
      </w:divBdr>
    </w:div>
    <w:div w:id="288905068">
      <w:bodyDiv w:val="1"/>
      <w:marLeft w:val="0"/>
      <w:marRight w:val="0"/>
      <w:marTop w:val="0"/>
      <w:marBottom w:val="0"/>
      <w:divBdr>
        <w:top w:val="none" w:sz="0" w:space="0" w:color="auto"/>
        <w:left w:val="none" w:sz="0" w:space="0" w:color="auto"/>
        <w:bottom w:val="none" w:sz="0" w:space="0" w:color="auto"/>
        <w:right w:val="none" w:sz="0" w:space="0" w:color="auto"/>
      </w:divBdr>
    </w:div>
    <w:div w:id="396057154">
      <w:bodyDiv w:val="1"/>
      <w:marLeft w:val="0"/>
      <w:marRight w:val="0"/>
      <w:marTop w:val="0"/>
      <w:marBottom w:val="0"/>
      <w:divBdr>
        <w:top w:val="none" w:sz="0" w:space="0" w:color="auto"/>
        <w:left w:val="none" w:sz="0" w:space="0" w:color="auto"/>
        <w:bottom w:val="none" w:sz="0" w:space="0" w:color="auto"/>
        <w:right w:val="none" w:sz="0" w:space="0" w:color="auto"/>
      </w:divBdr>
    </w:div>
    <w:div w:id="455370659">
      <w:bodyDiv w:val="1"/>
      <w:marLeft w:val="0"/>
      <w:marRight w:val="0"/>
      <w:marTop w:val="0"/>
      <w:marBottom w:val="0"/>
      <w:divBdr>
        <w:top w:val="none" w:sz="0" w:space="0" w:color="auto"/>
        <w:left w:val="none" w:sz="0" w:space="0" w:color="auto"/>
        <w:bottom w:val="none" w:sz="0" w:space="0" w:color="auto"/>
        <w:right w:val="none" w:sz="0" w:space="0" w:color="auto"/>
      </w:divBdr>
    </w:div>
    <w:div w:id="463542441">
      <w:bodyDiv w:val="1"/>
      <w:marLeft w:val="0"/>
      <w:marRight w:val="0"/>
      <w:marTop w:val="0"/>
      <w:marBottom w:val="0"/>
      <w:divBdr>
        <w:top w:val="none" w:sz="0" w:space="0" w:color="auto"/>
        <w:left w:val="none" w:sz="0" w:space="0" w:color="auto"/>
        <w:bottom w:val="none" w:sz="0" w:space="0" w:color="auto"/>
        <w:right w:val="none" w:sz="0" w:space="0" w:color="auto"/>
      </w:divBdr>
    </w:div>
    <w:div w:id="524516811">
      <w:bodyDiv w:val="1"/>
      <w:marLeft w:val="0"/>
      <w:marRight w:val="0"/>
      <w:marTop w:val="0"/>
      <w:marBottom w:val="0"/>
      <w:divBdr>
        <w:top w:val="none" w:sz="0" w:space="0" w:color="auto"/>
        <w:left w:val="none" w:sz="0" w:space="0" w:color="auto"/>
        <w:bottom w:val="none" w:sz="0" w:space="0" w:color="auto"/>
        <w:right w:val="none" w:sz="0" w:space="0" w:color="auto"/>
      </w:divBdr>
    </w:div>
    <w:div w:id="587233411">
      <w:bodyDiv w:val="1"/>
      <w:marLeft w:val="0"/>
      <w:marRight w:val="0"/>
      <w:marTop w:val="0"/>
      <w:marBottom w:val="0"/>
      <w:divBdr>
        <w:top w:val="none" w:sz="0" w:space="0" w:color="auto"/>
        <w:left w:val="none" w:sz="0" w:space="0" w:color="auto"/>
        <w:bottom w:val="none" w:sz="0" w:space="0" w:color="auto"/>
        <w:right w:val="none" w:sz="0" w:space="0" w:color="auto"/>
      </w:divBdr>
    </w:div>
    <w:div w:id="606500555">
      <w:bodyDiv w:val="1"/>
      <w:marLeft w:val="0"/>
      <w:marRight w:val="0"/>
      <w:marTop w:val="0"/>
      <w:marBottom w:val="0"/>
      <w:divBdr>
        <w:top w:val="none" w:sz="0" w:space="0" w:color="auto"/>
        <w:left w:val="none" w:sz="0" w:space="0" w:color="auto"/>
        <w:bottom w:val="none" w:sz="0" w:space="0" w:color="auto"/>
        <w:right w:val="none" w:sz="0" w:space="0" w:color="auto"/>
      </w:divBdr>
    </w:div>
    <w:div w:id="624775383">
      <w:bodyDiv w:val="1"/>
      <w:marLeft w:val="0"/>
      <w:marRight w:val="0"/>
      <w:marTop w:val="0"/>
      <w:marBottom w:val="0"/>
      <w:divBdr>
        <w:top w:val="none" w:sz="0" w:space="0" w:color="auto"/>
        <w:left w:val="none" w:sz="0" w:space="0" w:color="auto"/>
        <w:bottom w:val="none" w:sz="0" w:space="0" w:color="auto"/>
        <w:right w:val="none" w:sz="0" w:space="0" w:color="auto"/>
      </w:divBdr>
    </w:div>
    <w:div w:id="637036407">
      <w:bodyDiv w:val="1"/>
      <w:marLeft w:val="0"/>
      <w:marRight w:val="0"/>
      <w:marTop w:val="0"/>
      <w:marBottom w:val="0"/>
      <w:divBdr>
        <w:top w:val="none" w:sz="0" w:space="0" w:color="auto"/>
        <w:left w:val="none" w:sz="0" w:space="0" w:color="auto"/>
        <w:bottom w:val="none" w:sz="0" w:space="0" w:color="auto"/>
        <w:right w:val="none" w:sz="0" w:space="0" w:color="auto"/>
      </w:divBdr>
    </w:div>
    <w:div w:id="647326842">
      <w:bodyDiv w:val="1"/>
      <w:marLeft w:val="0"/>
      <w:marRight w:val="0"/>
      <w:marTop w:val="0"/>
      <w:marBottom w:val="0"/>
      <w:divBdr>
        <w:top w:val="none" w:sz="0" w:space="0" w:color="auto"/>
        <w:left w:val="none" w:sz="0" w:space="0" w:color="auto"/>
        <w:bottom w:val="none" w:sz="0" w:space="0" w:color="auto"/>
        <w:right w:val="none" w:sz="0" w:space="0" w:color="auto"/>
      </w:divBdr>
    </w:div>
    <w:div w:id="667096144">
      <w:bodyDiv w:val="1"/>
      <w:marLeft w:val="0"/>
      <w:marRight w:val="0"/>
      <w:marTop w:val="0"/>
      <w:marBottom w:val="0"/>
      <w:divBdr>
        <w:top w:val="none" w:sz="0" w:space="0" w:color="auto"/>
        <w:left w:val="none" w:sz="0" w:space="0" w:color="auto"/>
        <w:bottom w:val="none" w:sz="0" w:space="0" w:color="auto"/>
        <w:right w:val="none" w:sz="0" w:space="0" w:color="auto"/>
      </w:divBdr>
    </w:div>
    <w:div w:id="686639457">
      <w:bodyDiv w:val="1"/>
      <w:marLeft w:val="0"/>
      <w:marRight w:val="0"/>
      <w:marTop w:val="0"/>
      <w:marBottom w:val="0"/>
      <w:divBdr>
        <w:top w:val="none" w:sz="0" w:space="0" w:color="auto"/>
        <w:left w:val="none" w:sz="0" w:space="0" w:color="auto"/>
        <w:bottom w:val="none" w:sz="0" w:space="0" w:color="auto"/>
        <w:right w:val="none" w:sz="0" w:space="0" w:color="auto"/>
      </w:divBdr>
    </w:div>
    <w:div w:id="700471172">
      <w:bodyDiv w:val="1"/>
      <w:marLeft w:val="0"/>
      <w:marRight w:val="0"/>
      <w:marTop w:val="0"/>
      <w:marBottom w:val="0"/>
      <w:divBdr>
        <w:top w:val="none" w:sz="0" w:space="0" w:color="auto"/>
        <w:left w:val="none" w:sz="0" w:space="0" w:color="auto"/>
        <w:bottom w:val="none" w:sz="0" w:space="0" w:color="auto"/>
        <w:right w:val="none" w:sz="0" w:space="0" w:color="auto"/>
      </w:divBdr>
    </w:div>
    <w:div w:id="710692793">
      <w:bodyDiv w:val="1"/>
      <w:marLeft w:val="0"/>
      <w:marRight w:val="0"/>
      <w:marTop w:val="0"/>
      <w:marBottom w:val="0"/>
      <w:divBdr>
        <w:top w:val="none" w:sz="0" w:space="0" w:color="auto"/>
        <w:left w:val="none" w:sz="0" w:space="0" w:color="auto"/>
        <w:bottom w:val="none" w:sz="0" w:space="0" w:color="auto"/>
        <w:right w:val="none" w:sz="0" w:space="0" w:color="auto"/>
      </w:divBdr>
    </w:div>
    <w:div w:id="711349842">
      <w:bodyDiv w:val="1"/>
      <w:marLeft w:val="0"/>
      <w:marRight w:val="0"/>
      <w:marTop w:val="0"/>
      <w:marBottom w:val="0"/>
      <w:divBdr>
        <w:top w:val="none" w:sz="0" w:space="0" w:color="auto"/>
        <w:left w:val="none" w:sz="0" w:space="0" w:color="auto"/>
        <w:bottom w:val="none" w:sz="0" w:space="0" w:color="auto"/>
        <w:right w:val="none" w:sz="0" w:space="0" w:color="auto"/>
      </w:divBdr>
    </w:div>
    <w:div w:id="771897183">
      <w:bodyDiv w:val="1"/>
      <w:marLeft w:val="0"/>
      <w:marRight w:val="0"/>
      <w:marTop w:val="0"/>
      <w:marBottom w:val="0"/>
      <w:divBdr>
        <w:top w:val="none" w:sz="0" w:space="0" w:color="auto"/>
        <w:left w:val="none" w:sz="0" w:space="0" w:color="auto"/>
        <w:bottom w:val="none" w:sz="0" w:space="0" w:color="auto"/>
        <w:right w:val="none" w:sz="0" w:space="0" w:color="auto"/>
      </w:divBdr>
    </w:div>
    <w:div w:id="831603822">
      <w:bodyDiv w:val="1"/>
      <w:marLeft w:val="0"/>
      <w:marRight w:val="0"/>
      <w:marTop w:val="0"/>
      <w:marBottom w:val="0"/>
      <w:divBdr>
        <w:top w:val="none" w:sz="0" w:space="0" w:color="auto"/>
        <w:left w:val="none" w:sz="0" w:space="0" w:color="auto"/>
        <w:bottom w:val="none" w:sz="0" w:space="0" w:color="auto"/>
        <w:right w:val="none" w:sz="0" w:space="0" w:color="auto"/>
      </w:divBdr>
    </w:div>
    <w:div w:id="833254930">
      <w:bodyDiv w:val="1"/>
      <w:marLeft w:val="0"/>
      <w:marRight w:val="0"/>
      <w:marTop w:val="0"/>
      <w:marBottom w:val="0"/>
      <w:divBdr>
        <w:top w:val="none" w:sz="0" w:space="0" w:color="auto"/>
        <w:left w:val="none" w:sz="0" w:space="0" w:color="auto"/>
        <w:bottom w:val="none" w:sz="0" w:space="0" w:color="auto"/>
        <w:right w:val="none" w:sz="0" w:space="0" w:color="auto"/>
      </w:divBdr>
    </w:div>
    <w:div w:id="843790198">
      <w:bodyDiv w:val="1"/>
      <w:marLeft w:val="0"/>
      <w:marRight w:val="0"/>
      <w:marTop w:val="0"/>
      <w:marBottom w:val="0"/>
      <w:divBdr>
        <w:top w:val="none" w:sz="0" w:space="0" w:color="auto"/>
        <w:left w:val="none" w:sz="0" w:space="0" w:color="auto"/>
        <w:bottom w:val="none" w:sz="0" w:space="0" w:color="auto"/>
        <w:right w:val="none" w:sz="0" w:space="0" w:color="auto"/>
      </w:divBdr>
    </w:div>
    <w:div w:id="862016318">
      <w:bodyDiv w:val="1"/>
      <w:marLeft w:val="0"/>
      <w:marRight w:val="0"/>
      <w:marTop w:val="0"/>
      <w:marBottom w:val="0"/>
      <w:divBdr>
        <w:top w:val="none" w:sz="0" w:space="0" w:color="auto"/>
        <w:left w:val="none" w:sz="0" w:space="0" w:color="auto"/>
        <w:bottom w:val="none" w:sz="0" w:space="0" w:color="auto"/>
        <w:right w:val="none" w:sz="0" w:space="0" w:color="auto"/>
      </w:divBdr>
    </w:div>
    <w:div w:id="924731648">
      <w:bodyDiv w:val="1"/>
      <w:marLeft w:val="0"/>
      <w:marRight w:val="0"/>
      <w:marTop w:val="0"/>
      <w:marBottom w:val="0"/>
      <w:divBdr>
        <w:top w:val="none" w:sz="0" w:space="0" w:color="auto"/>
        <w:left w:val="none" w:sz="0" w:space="0" w:color="auto"/>
        <w:bottom w:val="none" w:sz="0" w:space="0" w:color="auto"/>
        <w:right w:val="none" w:sz="0" w:space="0" w:color="auto"/>
      </w:divBdr>
    </w:div>
    <w:div w:id="983433990">
      <w:bodyDiv w:val="1"/>
      <w:marLeft w:val="0"/>
      <w:marRight w:val="0"/>
      <w:marTop w:val="0"/>
      <w:marBottom w:val="0"/>
      <w:divBdr>
        <w:top w:val="none" w:sz="0" w:space="0" w:color="auto"/>
        <w:left w:val="none" w:sz="0" w:space="0" w:color="auto"/>
        <w:bottom w:val="none" w:sz="0" w:space="0" w:color="auto"/>
        <w:right w:val="none" w:sz="0" w:space="0" w:color="auto"/>
      </w:divBdr>
    </w:div>
    <w:div w:id="1102334965">
      <w:bodyDiv w:val="1"/>
      <w:marLeft w:val="0"/>
      <w:marRight w:val="0"/>
      <w:marTop w:val="0"/>
      <w:marBottom w:val="0"/>
      <w:divBdr>
        <w:top w:val="none" w:sz="0" w:space="0" w:color="auto"/>
        <w:left w:val="none" w:sz="0" w:space="0" w:color="auto"/>
        <w:bottom w:val="none" w:sz="0" w:space="0" w:color="auto"/>
        <w:right w:val="none" w:sz="0" w:space="0" w:color="auto"/>
      </w:divBdr>
    </w:div>
    <w:div w:id="1109469506">
      <w:bodyDiv w:val="1"/>
      <w:marLeft w:val="0"/>
      <w:marRight w:val="0"/>
      <w:marTop w:val="0"/>
      <w:marBottom w:val="0"/>
      <w:divBdr>
        <w:top w:val="none" w:sz="0" w:space="0" w:color="auto"/>
        <w:left w:val="none" w:sz="0" w:space="0" w:color="auto"/>
        <w:bottom w:val="none" w:sz="0" w:space="0" w:color="auto"/>
        <w:right w:val="none" w:sz="0" w:space="0" w:color="auto"/>
      </w:divBdr>
    </w:div>
    <w:div w:id="1162811988">
      <w:bodyDiv w:val="1"/>
      <w:marLeft w:val="0"/>
      <w:marRight w:val="0"/>
      <w:marTop w:val="0"/>
      <w:marBottom w:val="0"/>
      <w:divBdr>
        <w:top w:val="none" w:sz="0" w:space="0" w:color="auto"/>
        <w:left w:val="none" w:sz="0" w:space="0" w:color="auto"/>
        <w:bottom w:val="none" w:sz="0" w:space="0" w:color="auto"/>
        <w:right w:val="none" w:sz="0" w:space="0" w:color="auto"/>
      </w:divBdr>
    </w:div>
    <w:div w:id="1361125452">
      <w:bodyDiv w:val="1"/>
      <w:marLeft w:val="0"/>
      <w:marRight w:val="0"/>
      <w:marTop w:val="0"/>
      <w:marBottom w:val="0"/>
      <w:divBdr>
        <w:top w:val="none" w:sz="0" w:space="0" w:color="auto"/>
        <w:left w:val="none" w:sz="0" w:space="0" w:color="auto"/>
        <w:bottom w:val="none" w:sz="0" w:space="0" w:color="auto"/>
        <w:right w:val="none" w:sz="0" w:space="0" w:color="auto"/>
      </w:divBdr>
    </w:div>
    <w:div w:id="1470515262">
      <w:bodyDiv w:val="1"/>
      <w:marLeft w:val="0"/>
      <w:marRight w:val="0"/>
      <w:marTop w:val="0"/>
      <w:marBottom w:val="0"/>
      <w:divBdr>
        <w:top w:val="none" w:sz="0" w:space="0" w:color="auto"/>
        <w:left w:val="none" w:sz="0" w:space="0" w:color="auto"/>
        <w:bottom w:val="none" w:sz="0" w:space="0" w:color="auto"/>
        <w:right w:val="none" w:sz="0" w:space="0" w:color="auto"/>
      </w:divBdr>
    </w:div>
    <w:div w:id="1535922478">
      <w:bodyDiv w:val="1"/>
      <w:marLeft w:val="0"/>
      <w:marRight w:val="0"/>
      <w:marTop w:val="0"/>
      <w:marBottom w:val="0"/>
      <w:divBdr>
        <w:top w:val="none" w:sz="0" w:space="0" w:color="auto"/>
        <w:left w:val="none" w:sz="0" w:space="0" w:color="auto"/>
        <w:bottom w:val="none" w:sz="0" w:space="0" w:color="auto"/>
        <w:right w:val="none" w:sz="0" w:space="0" w:color="auto"/>
      </w:divBdr>
    </w:div>
    <w:div w:id="1590193887">
      <w:bodyDiv w:val="1"/>
      <w:marLeft w:val="0"/>
      <w:marRight w:val="0"/>
      <w:marTop w:val="0"/>
      <w:marBottom w:val="0"/>
      <w:divBdr>
        <w:top w:val="none" w:sz="0" w:space="0" w:color="auto"/>
        <w:left w:val="none" w:sz="0" w:space="0" w:color="auto"/>
        <w:bottom w:val="none" w:sz="0" w:space="0" w:color="auto"/>
        <w:right w:val="none" w:sz="0" w:space="0" w:color="auto"/>
      </w:divBdr>
    </w:div>
    <w:div w:id="1606226140">
      <w:bodyDiv w:val="1"/>
      <w:marLeft w:val="0"/>
      <w:marRight w:val="0"/>
      <w:marTop w:val="0"/>
      <w:marBottom w:val="0"/>
      <w:divBdr>
        <w:top w:val="none" w:sz="0" w:space="0" w:color="auto"/>
        <w:left w:val="none" w:sz="0" w:space="0" w:color="auto"/>
        <w:bottom w:val="none" w:sz="0" w:space="0" w:color="auto"/>
        <w:right w:val="none" w:sz="0" w:space="0" w:color="auto"/>
      </w:divBdr>
    </w:div>
    <w:div w:id="1608082862">
      <w:bodyDiv w:val="1"/>
      <w:marLeft w:val="0"/>
      <w:marRight w:val="0"/>
      <w:marTop w:val="0"/>
      <w:marBottom w:val="0"/>
      <w:divBdr>
        <w:top w:val="none" w:sz="0" w:space="0" w:color="auto"/>
        <w:left w:val="none" w:sz="0" w:space="0" w:color="auto"/>
        <w:bottom w:val="none" w:sz="0" w:space="0" w:color="auto"/>
        <w:right w:val="none" w:sz="0" w:space="0" w:color="auto"/>
      </w:divBdr>
    </w:div>
    <w:div w:id="1613248503">
      <w:bodyDiv w:val="1"/>
      <w:marLeft w:val="0"/>
      <w:marRight w:val="0"/>
      <w:marTop w:val="0"/>
      <w:marBottom w:val="0"/>
      <w:divBdr>
        <w:top w:val="none" w:sz="0" w:space="0" w:color="auto"/>
        <w:left w:val="none" w:sz="0" w:space="0" w:color="auto"/>
        <w:bottom w:val="none" w:sz="0" w:space="0" w:color="auto"/>
        <w:right w:val="none" w:sz="0" w:space="0" w:color="auto"/>
      </w:divBdr>
    </w:div>
    <w:div w:id="1794329157">
      <w:bodyDiv w:val="1"/>
      <w:marLeft w:val="0"/>
      <w:marRight w:val="0"/>
      <w:marTop w:val="0"/>
      <w:marBottom w:val="0"/>
      <w:divBdr>
        <w:top w:val="none" w:sz="0" w:space="0" w:color="auto"/>
        <w:left w:val="none" w:sz="0" w:space="0" w:color="auto"/>
        <w:bottom w:val="none" w:sz="0" w:space="0" w:color="auto"/>
        <w:right w:val="none" w:sz="0" w:space="0" w:color="auto"/>
      </w:divBdr>
    </w:div>
    <w:div w:id="1801261078">
      <w:bodyDiv w:val="1"/>
      <w:marLeft w:val="0"/>
      <w:marRight w:val="0"/>
      <w:marTop w:val="0"/>
      <w:marBottom w:val="0"/>
      <w:divBdr>
        <w:top w:val="none" w:sz="0" w:space="0" w:color="auto"/>
        <w:left w:val="none" w:sz="0" w:space="0" w:color="auto"/>
        <w:bottom w:val="none" w:sz="0" w:space="0" w:color="auto"/>
        <w:right w:val="none" w:sz="0" w:space="0" w:color="auto"/>
      </w:divBdr>
    </w:div>
    <w:div w:id="1830099486">
      <w:bodyDiv w:val="1"/>
      <w:marLeft w:val="0"/>
      <w:marRight w:val="0"/>
      <w:marTop w:val="0"/>
      <w:marBottom w:val="0"/>
      <w:divBdr>
        <w:top w:val="none" w:sz="0" w:space="0" w:color="auto"/>
        <w:left w:val="none" w:sz="0" w:space="0" w:color="auto"/>
        <w:bottom w:val="none" w:sz="0" w:space="0" w:color="auto"/>
        <w:right w:val="none" w:sz="0" w:space="0" w:color="auto"/>
      </w:divBdr>
    </w:div>
    <w:div w:id="1842308988">
      <w:bodyDiv w:val="1"/>
      <w:marLeft w:val="0"/>
      <w:marRight w:val="0"/>
      <w:marTop w:val="0"/>
      <w:marBottom w:val="0"/>
      <w:divBdr>
        <w:top w:val="none" w:sz="0" w:space="0" w:color="auto"/>
        <w:left w:val="none" w:sz="0" w:space="0" w:color="auto"/>
        <w:bottom w:val="none" w:sz="0" w:space="0" w:color="auto"/>
        <w:right w:val="none" w:sz="0" w:space="0" w:color="auto"/>
      </w:divBdr>
    </w:div>
    <w:div w:id="1855412275">
      <w:bodyDiv w:val="1"/>
      <w:marLeft w:val="0"/>
      <w:marRight w:val="0"/>
      <w:marTop w:val="0"/>
      <w:marBottom w:val="0"/>
      <w:divBdr>
        <w:top w:val="none" w:sz="0" w:space="0" w:color="auto"/>
        <w:left w:val="none" w:sz="0" w:space="0" w:color="auto"/>
        <w:bottom w:val="none" w:sz="0" w:space="0" w:color="auto"/>
        <w:right w:val="none" w:sz="0" w:space="0" w:color="auto"/>
      </w:divBdr>
    </w:div>
    <w:div w:id="1907644628">
      <w:bodyDiv w:val="1"/>
      <w:marLeft w:val="0"/>
      <w:marRight w:val="0"/>
      <w:marTop w:val="0"/>
      <w:marBottom w:val="0"/>
      <w:divBdr>
        <w:top w:val="none" w:sz="0" w:space="0" w:color="auto"/>
        <w:left w:val="none" w:sz="0" w:space="0" w:color="auto"/>
        <w:bottom w:val="none" w:sz="0" w:space="0" w:color="auto"/>
        <w:right w:val="none" w:sz="0" w:space="0" w:color="auto"/>
      </w:divBdr>
    </w:div>
    <w:div w:id="2022966935">
      <w:bodyDiv w:val="1"/>
      <w:marLeft w:val="0"/>
      <w:marRight w:val="0"/>
      <w:marTop w:val="0"/>
      <w:marBottom w:val="0"/>
      <w:divBdr>
        <w:top w:val="none" w:sz="0" w:space="0" w:color="auto"/>
        <w:left w:val="none" w:sz="0" w:space="0" w:color="auto"/>
        <w:bottom w:val="none" w:sz="0" w:space="0" w:color="auto"/>
        <w:right w:val="none" w:sz="0" w:space="0" w:color="auto"/>
      </w:divBdr>
    </w:div>
    <w:div w:id="2049181045">
      <w:bodyDiv w:val="1"/>
      <w:marLeft w:val="0"/>
      <w:marRight w:val="0"/>
      <w:marTop w:val="0"/>
      <w:marBottom w:val="0"/>
      <w:divBdr>
        <w:top w:val="none" w:sz="0" w:space="0" w:color="auto"/>
        <w:left w:val="none" w:sz="0" w:space="0" w:color="auto"/>
        <w:bottom w:val="none" w:sz="0" w:space="0" w:color="auto"/>
        <w:right w:val="none" w:sz="0" w:space="0" w:color="auto"/>
      </w:divBdr>
    </w:div>
    <w:div w:id="2071266550">
      <w:bodyDiv w:val="1"/>
      <w:marLeft w:val="0"/>
      <w:marRight w:val="0"/>
      <w:marTop w:val="0"/>
      <w:marBottom w:val="0"/>
      <w:divBdr>
        <w:top w:val="none" w:sz="0" w:space="0" w:color="auto"/>
        <w:left w:val="none" w:sz="0" w:space="0" w:color="auto"/>
        <w:bottom w:val="none" w:sz="0" w:space="0" w:color="auto"/>
        <w:right w:val="none" w:sz="0" w:space="0" w:color="auto"/>
      </w:divBdr>
    </w:div>
    <w:div w:id="2088531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image" Target="media/image9.png"/><Relationship Id="rId3" Type="http://schemas.openxmlformats.org/officeDocument/2006/relationships/customXml" Target="../customXml/item3.xml"/><Relationship Id="rId21" Type="http://schemas.openxmlformats.org/officeDocument/2006/relationships/image" Target="media/image12.png"/><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7.png"/><Relationship Id="rId20"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image" Target="media/image6.png"/><Relationship Id="rId23"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image" Target="media/image10.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image" Target="media/image5.png"/><Relationship Id="rId22" Type="http://schemas.openxmlformats.org/officeDocument/2006/relationships/image" Target="media/image1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2662E67A3D3C8B43B1C18C7B60BDEEC2" ma:contentTypeVersion="13" ma:contentTypeDescription="Create a new document." ma:contentTypeScope="" ma:versionID="85ee68c04fdab2cd2be7622bbd005e44">
  <xsd:schema xmlns:xsd="http://www.w3.org/2001/XMLSchema" xmlns:xs="http://www.w3.org/2001/XMLSchema" xmlns:p="http://schemas.microsoft.com/office/2006/metadata/properties" xmlns:ns3="79494f7a-5f39-4451-bb04-4642b19c510b" xmlns:ns4="604528f5-3d41-4a82-aa07-35695555ef80" targetNamespace="http://schemas.microsoft.com/office/2006/metadata/properties" ma:root="true" ma:fieldsID="7e609e8a1afeddcf1a683c93822819da" ns3:_="" ns4:_="">
    <xsd:import namespace="79494f7a-5f39-4451-bb04-4642b19c510b"/>
    <xsd:import namespace="604528f5-3d41-4a82-aa07-35695555ef8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LengthInSecond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494f7a-5f39-4451-bb04-4642b19c51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04528f5-3d41-4a82-aa07-35695555ef8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3395696-7F74-4D39-9CF9-CB1889637E96}">
  <ds:schemaRefs>
    <ds:schemaRef ds:uri="http://schemas.microsoft.com/sharepoint/v3/contenttype/forms"/>
  </ds:schemaRefs>
</ds:datastoreItem>
</file>

<file path=customXml/itemProps2.xml><?xml version="1.0" encoding="utf-8"?>
<ds:datastoreItem xmlns:ds="http://schemas.openxmlformats.org/officeDocument/2006/customXml" ds:itemID="{C045CCCD-6CCF-4012-9538-E7AC72FE571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A34E4DF-A5A8-4756-9609-88913F73ABFD}">
  <ds:schemaRefs>
    <ds:schemaRef ds:uri="http://schemas.openxmlformats.org/officeDocument/2006/bibliography"/>
  </ds:schemaRefs>
</ds:datastoreItem>
</file>

<file path=customXml/itemProps4.xml><?xml version="1.0" encoding="utf-8"?>
<ds:datastoreItem xmlns:ds="http://schemas.openxmlformats.org/officeDocument/2006/customXml" ds:itemID="{FA7CFEE0-04AC-4120-994B-E30333BD6E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494f7a-5f39-4451-bb04-4642b19c510b"/>
    <ds:schemaRef ds:uri="604528f5-3d41-4a82-aa07-35695555ef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30</Pages>
  <Words>4428</Words>
  <Characters>25240</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Moaath Mustafa Ali</dc:creator>
  <cp:keywords/>
  <dc:description/>
  <cp:lastModifiedBy>Moaath Mustafa Ali</cp:lastModifiedBy>
  <cp:revision>4</cp:revision>
  <dcterms:created xsi:type="dcterms:W3CDTF">2022-02-27T19:32:00Z</dcterms:created>
  <dcterms:modified xsi:type="dcterms:W3CDTF">2022-02-27T19:33:00Z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0x0101002662E67A3D3C8B43B1C18C7B60BDEEC2</vt:lpwstr>
  </property>
</Properties>
</file>