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Table1: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Summary of tissue-engineered hydrogel for different degrees of osteoarthritis.</w:t>
      </w:r>
    </w:p>
    <w:tbl>
      <w:tblPr>
        <w:tblStyle w:val="8"/>
        <w:tblW w:w="14824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3784"/>
        <w:gridCol w:w="6016"/>
        <w:gridCol w:w="1583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983" w:hRule="atLeast"/>
          <w:jc w:val="center"/>
        </w:trPr>
        <w:tc>
          <w:tcPr>
            <w:tcW w:w="14824" w:type="dxa"/>
            <w:gridSpan w:val="4"/>
          </w:tcPr>
          <w:p>
            <w:pPr>
              <w:outlineLvl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36"/>
                <w:szCs w:val="36"/>
              </w:rPr>
              <w:t>Hydrogel in early stage of osteoarthritis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550" w:hRule="atLeast"/>
          <w:jc w:val="center"/>
        </w:trPr>
        <w:tc>
          <w:tcPr>
            <w:tcW w:w="3441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Name (Abbreviation)</w:t>
            </w:r>
          </w:p>
        </w:tc>
        <w:tc>
          <w:tcPr>
            <w:tcW w:w="3784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Ingredients</w:t>
            </w:r>
          </w:p>
        </w:tc>
        <w:tc>
          <w:tcPr>
            <w:tcW w:w="6016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Effect</w:t>
            </w:r>
          </w:p>
        </w:tc>
        <w:tc>
          <w:tcPr>
            <w:tcW w:w="158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Reference</w:t>
            </w:r>
          </w:p>
          <w:p>
            <w:pPr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Gellan Gum hydrogel</w:t>
            </w:r>
          </w:p>
        </w:tc>
        <w:tc>
          <w:tcPr>
            <w:tcW w:w="3784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Gellan Gum (GG); polyvinyl alcohol (PVA)</w:t>
            </w:r>
          </w:p>
        </w:tc>
        <w:tc>
          <w:tcPr>
            <w:tcW w:w="6016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Biocompatibility 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Injectable 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Enhanced lubrication performance. Can be used as a viscoelastic supplement</w:t>
            </w:r>
          </w:p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83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(Leone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1561" w:hRule="atLeast"/>
          <w:jc w:val="center"/>
        </w:trPr>
        <w:tc>
          <w:tcPr>
            <w:tcW w:w="3441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color w:val="333333"/>
                <w:spacing w:val="12"/>
                <w:szCs w:val="20"/>
                <w:shd w:val="clear" w:color="auto" w:fill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HA</w:t>
            </w:r>
            <w:r>
              <w:rPr>
                <w:rFonts w:ascii="Times New Roman" w:hAnsi="Times New Roman"/>
                <w:b/>
                <w:bCs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Cs w:val="20"/>
              </w:rPr>
              <w:t>PA+HA/PM</w:t>
            </w:r>
            <w:r>
              <w:rPr>
                <w:rFonts w:ascii="Times New Roman" w:hAnsi="Times New Roman"/>
                <w:b/>
                <w:bCs/>
                <w:color w:val="333333"/>
                <w:spacing w:val="12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</w:rPr>
              <w:t>hydrogel</w:t>
            </w:r>
          </w:p>
          <w:p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784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Sodium hyaluronate (HA);</w:t>
            </w:r>
          </w:p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poly-2-acrylamide-2-methylpropanesulfonic acid sodium salt (PAMPS); poly-2-methacryloyloxyethyl phosphoryl choline (PMPC) </w:t>
            </w:r>
          </w:p>
        </w:tc>
        <w:tc>
          <w:tcPr>
            <w:tcW w:w="6016" w:type="dxa"/>
            <w:shd w:val="clear" w:color="auto" w:fill="F1F1F1" w:themeFill="background1" w:themeFillShade="F2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Friction coefficient is low to the level of natural cartilage 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Promote cartilage regeneration and inhibit inflammation in rat arthritis model</w:t>
            </w:r>
          </w:p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8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(Xie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1130" w:hRule="atLeast"/>
          <w:jc w:val="center"/>
        </w:trPr>
        <w:tc>
          <w:tcPr>
            <w:tcW w:w="3441" w:type="dxa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Pluronic</w:t>
            </w:r>
            <w:r>
              <w:rPr>
                <w:rFonts w:ascii="Times New Roman" w:hAnsi="Times New Roman"/>
                <w:b/>
                <w:bCs/>
                <w:szCs w:val="20"/>
              </w:rPr>
              <w:t>+</w:t>
            </w:r>
            <w:r>
              <w:rPr>
                <w:rFonts w:ascii="Times New Roman" w:hAnsi="Times New Roman"/>
                <w:b/>
                <w:bCs/>
                <w:szCs w:val="20"/>
              </w:rPr>
              <w:t>HA hydrogels</w:t>
            </w:r>
          </w:p>
        </w:tc>
        <w:tc>
          <w:tcPr>
            <w:tcW w:w="3784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Poloxamers; hyaluronic acid; β-Lapachone</w:t>
            </w:r>
          </w:p>
        </w:tc>
        <w:tc>
          <w:tcPr>
            <w:tcW w:w="6016" w:type="dxa"/>
          </w:tcPr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 be used as a viscoelastic supplement 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Injectable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Controlled‐release</w:t>
            </w:r>
          </w:p>
        </w:tc>
        <w:tc>
          <w:tcPr>
            <w:tcW w:w="1583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(Diaz-Rodriguez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  <w:t>HA-VS/SH-2-PEG</w:t>
            </w:r>
          </w:p>
        </w:tc>
        <w:tc>
          <w:tcPr>
            <w:tcW w:w="3784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>HA, Divinyl sulfon (DVS),</w:t>
            </w:r>
            <w:r>
              <w:rPr>
                <w:rStyle w:val="9"/>
                <w:rFonts w:hint="eastAsia" w:ascii="Times New Roman" w:hAnsi="Times New Roman" w:cs="Times New Roman"/>
                <w:szCs w:val="20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>Dithiol functionalized poly(ethylene glycol)（SH-2PEG）</w:t>
            </w:r>
          </w:p>
        </w:tc>
        <w:tc>
          <w:tcPr>
            <w:tcW w:w="6016" w:type="dxa"/>
            <w:shd w:val="clear" w:color="auto" w:fill="F1F1F1" w:themeFill="background1" w:themeFillShade="F2"/>
          </w:tcPr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Viscosity supplement 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</w:rPr>
            </w:pPr>
            <w:bookmarkStart w:id="0" w:name="OLE_LINK19"/>
            <w:bookmarkStart w:id="1" w:name="OLE_LINK20"/>
            <w:r>
              <w:rPr>
                <w:rFonts w:ascii="Times New Roman" w:hAnsi="Times New Roman"/>
              </w:rPr>
              <w:t>Inflammation suppression</w:t>
            </w:r>
            <w:bookmarkEnd w:id="0"/>
            <w:bookmarkEnd w:id="1"/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Triamcinolone Acetonide load capacity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Injectable, adjustable viscoelastic, controllable degradation rate</w:t>
            </w:r>
          </w:p>
        </w:tc>
        <w:tc>
          <w:tcPr>
            <w:tcW w:w="158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(Cai et al., 2019)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  <w:t>N-chitosan-ADH-HA-ALD</w:t>
            </w:r>
          </w:p>
        </w:tc>
        <w:tc>
          <w:tcPr>
            <w:tcW w:w="3784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N-car-boxyethyl chitosan (N-chitosan)； adipic acid dihydrazide (ADH)； hyaluronic acid–aldehyde (HA-ALD).</w:t>
            </w:r>
          </w:p>
        </w:tc>
        <w:tc>
          <w:tcPr>
            <w:tcW w:w="6016" w:type="dxa"/>
          </w:tcPr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Viscosity supplement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Self-healing properties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</w:rPr>
            </w:pPr>
            <w:bookmarkStart w:id="2" w:name="OLE_LINK27"/>
            <w:bookmarkStart w:id="3" w:name="OLE_LINK28"/>
            <w:r>
              <w:rPr>
                <w:rFonts w:ascii="Times New Roman" w:hAnsi="Times New Roman"/>
              </w:rPr>
              <w:t>Inflammation suppression</w:t>
            </w:r>
            <w:bookmarkEnd w:id="2"/>
            <w:bookmarkEnd w:id="3"/>
          </w:p>
        </w:tc>
        <w:tc>
          <w:tcPr>
            <w:tcW w:w="1583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(Mou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GelMA</w:t>
            </w:r>
            <w:r>
              <w:rPr>
                <w:rFonts w:ascii="Times New Roman" w:hAnsi="Times New Roman"/>
                <w:b/>
                <w:bCs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Cs w:val="20"/>
              </w:rPr>
              <w:t>AGA hydrogels</w:t>
            </w:r>
          </w:p>
        </w:tc>
        <w:tc>
          <w:tcPr>
            <w:tcW w:w="3784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Acryloyl glucosamine (AGA)；Methacrylated gelatin (GelMA)</w:t>
            </w:r>
          </w:p>
        </w:tc>
        <w:tc>
          <w:tcPr>
            <w:tcW w:w="6016" w:type="dxa"/>
            <w:shd w:val="clear" w:color="auto" w:fill="F1F1F1" w:themeFill="background1" w:themeFillShade="F2"/>
          </w:tcPr>
          <w:p>
            <w:pPr>
              <w:pStyle w:val="1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better biocompatibility</w:t>
            </w:r>
          </w:p>
          <w:p>
            <w:pPr>
              <w:pStyle w:val="1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larger cell attachment</w:t>
            </w:r>
          </w:p>
          <w:p>
            <w:pPr>
              <w:pStyle w:val="1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Promote hyaline cartilage growth</w:t>
            </w:r>
          </w:p>
        </w:tc>
        <w:tc>
          <w:tcPr>
            <w:tcW w:w="158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(Suo et al., 2020b)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bookmarkStart w:id="4" w:name="_Hlk93363915"/>
            <w: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  <w:t>injectable semi-IPN hydrogel based</w:t>
            </w:r>
          </w:p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  <w:t>on gelatin and HA</w:t>
            </w:r>
          </w:p>
        </w:tc>
        <w:tc>
          <w:tcPr>
            <w:tcW w:w="3784" w:type="dxa"/>
          </w:tcPr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>Hyaluronic acid (HA);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>gelatin;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>oxidized</w:t>
            </w:r>
          </w:p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>dextran (Dex70-ox)</w:t>
            </w:r>
          </w:p>
        </w:tc>
        <w:tc>
          <w:tcPr>
            <w:tcW w:w="6016" w:type="dxa"/>
          </w:tcPr>
          <w:p>
            <w:pPr>
              <w:pStyle w:val="10"/>
              <w:numPr>
                <w:ilvl w:val="0"/>
                <w:numId w:val="9"/>
              </w:numPr>
              <w:ind w:firstLineChars="0"/>
              <w:rPr>
                <w:rStyle w:val="11"/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 w:cs="Times New Roman"/>
              </w:rPr>
              <w:t xml:space="preserve">Sustained drug release </w:t>
            </w:r>
          </w:p>
          <w:p>
            <w:pPr>
              <w:pStyle w:val="10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</w:rPr>
            </w:pPr>
            <w:r>
              <w:rPr>
                <w:rStyle w:val="11"/>
                <w:rFonts w:ascii="Times New Roman" w:hAnsi="Times New Roman" w:cs="Times New Roman"/>
              </w:rPr>
              <w:t>Inflammation inhibiting</w:t>
            </w:r>
          </w:p>
        </w:tc>
        <w:tc>
          <w:tcPr>
            <w:tcW w:w="1583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(García-Fernández et al., 2020)</w:t>
            </w:r>
          </w:p>
        </w:tc>
      </w:tr>
      <w:bookmarkEnd w:id="4"/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GelMA@DMA-MPC microspheres</w:t>
            </w:r>
          </w:p>
        </w:tc>
        <w:tc>
          <w:tcPr>
            <w:tcW w:w="3784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bookmarkStart w:id="5" w:name="OLE_LINK7"/>
            <w:bookmarkStart w:id="6" w:name="OLE_LINK8"/>
            <w:r>
              <w:rPr>
                <w:rStyle w:val="9"/>
                <w:rFonts w:ascii="Times New Roman" w:hAnsi="Times New Roman" w:cs="Times New Roman"/>
                <w:szCs w:val="20"/>
              </w:rPr>
              <w:t>Dopamine (DMA</w:t>
            </w:r>
            <w:bookmarkEnd w:id="5"/>
            <w:bookmarkEnd w:id="6"/>
            <w:r>
              <w:rPr>
                <w:rStyle w:val="9"/>
                <w:rFonts w:ascii="Times New Roman" w:hAnsi="Times New Roman" w:cs="Times New Roman"/>
                <w:szCs w:val="20"/>
              </w:rPr>
              <w:t>);</w:t>
            </w:r>
          </w:p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>methacrylate gelatin (GelMA);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>poly sulfobetaine methacrylate (pSBMA)</w:t>
            </w:r>
          </w:p>
        </w:tc>
        <w:tc>
          <w:tcPr>
            <w:tcW w:w="6016" w:type="dxa"/>
            <w:shd w:val="clear" w:color="auto" w:fill="F1F1F1" w:themeFill="background1" w:themeFillShade="F2"/>
          </w:tcPr>
          <w:p>
            <w:pPr>
              <w:pStyle w:val="10"/>
              <w:numPr>
                <w:ilvl w:val="0"/>
                <w:numId w:val="10"/>
              </w:numPr>
              <w:ind w:firstLineChars="0"/>
              <w:rPr>
                <w:rStyle w:val="11"/>
                <w:rFonts w:ascii="Times New Roman" w:hAnsi="Times New Roman" w:cs="Times New Roman"/>
              </w:rPr>
            </w:pPr>
            <w:bookmarkStart w:id="7" w:name="OLE_LINK9"/>
            <w:bookmarkStart w:id="8" w:name="OLE_LINK10"/>
            <w:r>
              <w:rPr>
                <w:rStyle w:val="11"/>
                <w:rFonts w:ascii="Times New Roman" w:hAnsi="Times New Roman" w:cs="Times New Roman"/>
              </w:rPr>
              <w:t>Enhanced lubrication</w:t>
            </w:r>
            <w:bookmarkEnd w:id="7"/>
            <w:bookmarkEnd w:id="8"/>
          </w:p>
          <w:p>
            <w:pPr>
              <w:pStyle w:val="10"/>
              <w:numPr>
                <w:ilvl w:val="0"/>
                <w:numId w:val="10"/>
              </w:numPr>
              <w:ind w:firstLineChars="0"/>
              <w:rPr>
                <w:rStyle w:val="11"/>
                <w:rFonts w:ascii="Times New Roman" w:hAnsi="Times New Roman" w:cs="Times New Roman"/>
              </w:rPr>
            </w:pPr>
            <w:bookmarkStart w:id="9" w:name="OLE_LINK25"/>
            <w:bookmarkStart w:id="10" w:name="OLE_LINK26"/>
            <w:r>
              <w:rPr>
                <w:rStyle w:val="11"/>
                <w:rFonts w:ascii="Times New Roman" w:hAnsi="Times New Roman" w:cs="Times New Roman"/>
              </w:rPr>
              <w:t xml:space="preserve">Sustained drug release </w:t>
            </w:r>
          </w:p>
          <w:p>
            <w:pPr>
              <w:pStyle w:val="10"/>
              <w:numPr>
                <w:ilvl w:val="0"/>
                <w:numId w:val="10"/>
              </w:numPr>
              <w:ind w:firstLineChars="0"/>
              <w:rPr>
                <w:rStyle w:val="11"/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 w:cs="Times New Roman"/>
              </w:rPr>
              <w:t>Inflammation inhibiting</w:t>
            </w:r>
            <w:bookmarkEnd w:id="9"/>
            <w:bookmarkEnd w:id="10"/>
          </w:p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8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(Han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>MGS@DMA-SBMA</w:t>
            </w:r>
          </w:p>
        </w:tc>
        <w:tc>
          <w:tcPr>
            <w:tcW w:w="3784" w:type="dxa"/>
          </w:tcPr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 xml:space="preserve">Dopamine (DMA); 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 xml:space="preserve">poly sulfobetaine methacrylate 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>(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>pSBMA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 xml:space="preserve">) 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 xml:space="preserve">microfluidic gelatin methacrylate sphere 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>(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>MGS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 xml:space="preserve">) 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>loaded with diclofenac sodium</w:t>
            </w:r>
          </w:p>
        </w:tc>
        <w:tc>
          <w:tcPr>
            <w:tcW w:w="6016" w:type="dxa"/>
          </w:tcPr>
          <w:p>
            <w:pPr>
              <w:pStyle w:val="10"/>
              <w:numPr>
                <w:ilvl w:val="0"/>
                <w:numId w:val="11"/>
              </w:numPr>
              <w:ind w:firstLineChars="0"/>
              <w:rPr>
                <w:rStyle w:val="11"/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 w:cs="Times New Roman"/>
              </w:rPr>
              <w:t>Enhanced lubrication</w:t>
            </w:r>
          </w:p>
          <w:p>
            <w:pPr>
              <w:pStyle w:val="10"/>
              <w:numPr>
                <w:ilvl w:val="0"/>
                <w:numId w:val="11"/>
              </w:numPr>
              <w:ind w:firstLineChars="0"/>
              <w:rPr>
                <w:rStyle w:val="11"/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 w:cs="Times New Roman"/>
              </w:rPr>
              <w:t xml:space="preserve">Sustained drug release </w:t>
            </w:r>
          </w:p>
          <w:p>
            <w:pPr>
              <w:pStyle w:val="10"/>
              <w:numPr>
                <w:ilvl w:val="0"/>
                <w:numId w:val="11"/>
              </w:numPr>
              <w:ind w:firstLineChars="0"/>
              <w:rPr>
                <w:rStyle w:val="11"/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 w:cs="Times New Roman"/>
              </w:rPr>
              <w:t>Inflammation inhibiting</w:t>
            </w:r>
          </w:p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83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(Yang et al., 2020b)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>EPA</w:t>
            </w: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>-</w:t>
            </w: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>gelatin hydrogels</w:t>
            </w:r>
          </w:p>
        </w:tc>
        <w:tc>
          <w:tcPr>
            <w:tcW w:w="3784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>Eicosapentanoic acid (EPA)；gelatin hydrogel</w:t>
            </w:r>
          </w:p>
        </w:tc>
        <w:tc>
          <w:tcPr>
            <w:tcW w:w="6016" w:type="dxa"/>
            <w:shd w:val="clear" w:color="auto" w:fill="F1F1F1" w:themeFill="background1" w:themeFillShade="F2"/>
          </w:tcPr>
          <w:p>
            <w:pPr>
              <w:pStyle w:val="10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bookmarkStart w:id="11" w:name="OLE_LINK31"/>
            <w:bookmarkStart w:id="12" w:name="OLE_LINK32"/>
            <w:r>
              <w:rPr>
                <w:rFonts w:ascii="Times New Roman" w:hAnsi="Times New Roman"/>
              </w:rPr>
              <w:t>nflammation suppres</w:t>
            </w:r>
            <w:bookmarkEnd w:id="11"/>
            <w:bookmarkEnd w:id="12"/>
            <w:r>
              <w:rPr>
                <w:rFonts w:ascii="Times New Roman" w:hAnsi="Times New Roman"/>
              </w:rPr>
              <w:t xml:space="preserve">sion </w:t>
            </w:r>
            <w:bookmarkStart w:id="13" w:name="OLE_LINK17"/>
            <w:bookmarkStart w:id="14" w:name="OLE_LINK18"/>
          </w:p>
          <w:p>
            <w:pPr>
              <w:pStyle w:val="10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Controlled‐release</w:t>
            </w:r>
            <w:bookmarkEnd w:id="13"/>
            <w:bookmarkEnd w:id="14"/>
          </w:p>
        </w:tc>
        <w:tc>
          <w:tcPr>
            <w:tcW w:w="158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(Tsubosaka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</w:tcPr>
          <w:p>
            <w:pPr>
              <w:jc w:val="left"/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>EGCG-HA/Gelatin</w:t>
            </w: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>hybrid hydrogel</w:t>
            </w:r>
          </w:p>
          <w:p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784" w:type="dxa"/>
          </w:tcPr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szCs w:val="20"/>
              </w:rPr>
              <w:t>Epigallocatechin-3-gallate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>(EGCG);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>Hyaluronic acid (HA);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>gelatin</w:t>
            </w:r>
          </w:p>
        </w:tc>
        <w:tc>
          <w:tcPr>
            <w:tcW w:w="6016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Style w:val="12"/>
                <w:rFonts w:ascii="Times New Roman" w:hAnsi="Times New Roman" w:eastAsia="PingFang SC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Cs w:val="20"/>
              </w:rPr>
              <w:t>Control inflammation,</w:t>
            </w:r>
            <w:bookmarkStart w:id="15" w:name="OLE_LINK34"/>
            <w:bookmarkStart w:id="16" w:name="OLE_LINK33"/>
            <w:r>
              <w:rPr>
                <w:rFonts w:ascii="Times New Roman" w:hAnsi="Times New Roman"/>
                <w:szCs w:val="20"/>
              </w:rPr>
              <w:t xml:space="preserve"> scavenge </w:t>
            </w:r>
            <w:bookmarkEnd w:id="15"/>
            <w:bookmarkEnd w:id="16"/>
            <w:r>
              <w:rPr>
                <w:rFonts w:ascii="Times New Roman" w:hAnsi="Times New Roman"/>
                <w:szCs w:val="20"/>
              </w:rPr>
              <w:t>ROS, and enhance cartilage regeneration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(Jin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>peptide-cell-hydrogel</w:t>
            </w:r>
          </w:p>
        </w:tc>
        <w:tc>
          <w:tcPr>
            <w:tcW w:w="3784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szCs w:val="20"/>
              </w:rPr>
              <w:t>APETx2;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Cs w:val="20"/>
              </w:rPr>
              <w:t>GelMA microsphere</w:t>
            </w:r>
          </w:p>
        </w:tc>
        <w:tc>
          <w:tcPr>
            <w:tcW w:w="6016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Style w:val="13"/>
                <w:rFonts w:ascii="Times New Roman" w:hAnsi="Times New Roman" w:eastAsia="PingFang SC"/>
                <w:color w:val="333333"/>
                <w:szCs w:val="20"/>
              </w:rPr>
              <w:t xml:space="preserve">Inflammation inhibiting and ECM metabolic balance is regulated </w:t>
            </w:r>
          </w:p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8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(Bian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3441" w:type="dxa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  <w:t>PDA@Lipo@HAMA hydrogel</w:t>
            </w:r>
          </w:p>
        </w:tc>
        <w:tc>
          <w:tcPr>
            <w:tcW w:w="3784" w:type="dxa"/>
          </w:tcPr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>Poly-dopamine; liposomes;</w:t>
            </w:r>
          </w:p>
          <w:p>
            <w:pPr>
              <w:rPr>
                <w:rStyle w:val="9"/>
                <w:rFonts w:ascii="Times New Roman" w:hAnsi="Times New Roman" w:cs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szCs w:val="20"/>
              </w:rPr>
              <w:t>hyaluronic acid methacrylate;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Cs w:val="20"/>
              </w:rPr>
              <w:t>positively charged liposomes</w:t>
            </w:r>
          </w:p>
        </w:tc>
        <w:tc>
          <w:tcPr>
            <w:tcW w:w="6016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PingFang SC"/>
                <w:color w:val="333333"/>
                <w:szCs w:val="20"/>
                <w:shd w:val="clear" w:color="auto" w:fill="FFFFFF"/>
              </w:rPr>
              <w:t>Drug carried through the cartilage matrix and releases under the stimulation of R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 xml:space="preserve">OS. </w:t>
            </w:r>
            <w:r>
              <w:rPr>
                <w:rFonts w:ascii="Times New Roman" w:hAnsi="Times New Roman" w:eastAsia="PingFang SC"/>
                <w:color w:val="333333"/>
                <w:szCs w:val="20"/>
                <w:shd w:val="clear" w:color="auto" w:fill="FFFFFF"/>
              </w:rPr>
              <w:t>The</w:t>
            </w:r>
            <w:bookmarkStart w:id="17" w:name="OLE_LINK35"/>
            <w:bookmarkStart w:id="18" w:name="OLE_LINK36"/>
            <w:r>
              <w:rPr>
                <w:rFonts w:ascii="Times New Roman" w:hAnsi="Times New Roman" w:eastAsia="PingFang SC"/>
                <w:color w:val="333333"/>
                <w:szCs w:val="20"/>
                <w:shd w:val="clear" w:color="auto" w:fill="FFFFFF"/>
              </w:rPr>
              <w:t xml:space="preserve"> apoptosis </w:t>
            </w:r>
            <w:bookmarkEnd w:id="17"/>
            <w:bookmarkEnd w:id="18"/>
            <w:r>
              <w:rPr>
                <w:rFonts w:ascii="Times New Roman" w:hAnsi="Times New Roman" w:eastAsia="PingFang SC"/>
                <w:color w:val="333333"/>
                <w:szCs w:val="20"/>
                <w:shd w:val="clear" w:color="auto" w:fill="FFFFFF"/>
              </w:rPr>
              <w:t>rate of chondrocytes decreases significantly under oxidative stress</w:t>
            </w:r>
          </w:p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83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(Lin et al., 2021a)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caps/>
        </w:rPr>
      </w:pPr>
    </w:p>
    <w:p>
      <w:pPr>
        <w:rPr>
          <w:rFonts w:ascii="Times New Roman" w:hAnsi="Times New Roman"/>
          <w:caps/>
        </w:rPr>
      </w:pPr>
    </w:p>
    <w:p>
      <w:pPr>
        <w:rPr>
          <w:rFonts w:ascii="Times New Roman" w:hAnsi="Times New Roman"/>
          <w:caps/>
        </w:rPr>
      </w:pPr>
    </w:p>
    <w:p>
      <w:pPr>
        <w:rPr>
          <w:rFonts w:ascii="Times New Roman" w:hAnsi="Times New Roman"/>
          <w:caps/>
        </w:rPr>
      </w:pPr>
    </w:p>
    <w:p>
      <w:pPr>
        <w:rPr>
          <w:rFonts w:ascii="Times New Roman" w:hAnsi="Times New Roman"/>
          <w:caps/>
        </w:rPr>
      </w:pPr>
    </w:p>
    <w:tbl>
      <w:tblPr>
        <w:tblStyle w:val="14"/>
        <w:tblW w:w="1487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686"/>
        <w:gridCol w:w="6095"/>
        <w:gridCol w:w="1559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14879" w:type="dxa"/>
            <w:gridSpan w:val="4"/>
          </w:tcPr>
          <w:p>
            <w:pPr>
              <w:outlineLvl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36"/>
                <w:szCs w:val="36"/>
              </w:rPr>
              <w:t>Hydrogel in advanced osteoarthritis</w:t>
            </w:r>
          </w:p>
          <w:p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>
        <w:tc>
          <w:tcPr>
            <w:tcW w:w="14879" w:type="dxa"/>
            <w:gridSpan w:val="4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Cell Therapy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Name (Abbreviation)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Ingredients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Effect</w:t>
            </w:r>
          </w:p>
        </w:tc>
        <w:tc>
          <w:tcPr>
            <w:tcW w:w="1559" w:type="dxa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Reference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Supramolecular gelatin hydrogels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Gelatin；methacrylic anhydride；Acrylate β-cyclodextrin (Ac-β-CD)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Load kartogenin and protein TGF- β, hMBSCs；promote hyaline cartilage and subchondral bone regeneration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(Xu et al., 2019)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3D-bioprinted pore-forming</w:t>
            </w:r>
          </w:p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GelMA hydrogel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GelMA hydrogel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Improve compression ratio and injection capability, allow diffusion, migration, and biodegradation of loaded hMSC, enhance tissue formation in vivo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(Ying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Gel-EPL/PBA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Gelatin methacrylamide (GelMA)；ε-poly-L-lysine (EPL)；glucose ； phenylboronic acids (PBA)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Significant stress relaxation；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improved chondrocyte viability and cartilage differentiation of stem cells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(Wang et al., 2021a)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BMSC-laden injectable Col-HA hydrogel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Collagen type I-tyramine (Col-TA)；hyaluronic acid-tyramine (HA-TA)；Hyaluronic acid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Provide a great microenvironment for BMSC growth and cartilage diﬀerentiation both in vitro and in vivo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(Zhang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supramolecular HA hydrogels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β-cyclodextrin (β-CD)；adamantane (Ad); HA hydrogels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Encapsulate MSCs and improve chondrogenic diﬀerentiation and extracellular matrix deposition; Significant mechanical properties, such as shear thinning and self-repair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(Jeong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HA hydrogels modified with Foxy5 Peptide</w:t>
            </w:r>
          </w:p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Foxy5 peptide; hyaluronic acid hydrogel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Enhance chondrogenesis and reduce</w:t>
            </w:r>
            <w:r>
              <w:rPr>
                <w:rStyle w:val="11"/>
                <w:rFonts w:ascii="Times New Roman" w:hAnsi="Times New Roman" w:cs="Times New Roman"/>
                <w:szCs w:val="22"/>
              </w:rPr>
              <w:tab/>
            </w:r>
            <w:r>
              <w:rPr>
                <w:rStyle w:val="11"/>
                <w:rFonts w:ascii="Times New Roman" w:hAnsi="Times New Roman" w:cs="Times New Roman"/>
                <w:szCs w:val="22"/>
              </w:rPr>
              <w:t>hMSCs hypertrophy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(Deng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NC-CS/GP-21 hydrogel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Glycerophosphate (GP); chitosan (CS); Nanocellulose (NC)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Biocompatible, injectable; mechanically</w:t>
            </w:r>
            <w:r>
              <w:rPr>
                <w:rStyle w:val="11"/>
                <w:rFonts w:ascii="Times New Roman" w:hAnsi="Times New Roman" w:cs="Times New Roman"/>
                <w:szCs w:val="22"/>
              </w:rPr>
              <w:tab/>
            </w:r>
            <w:r>
              <w:rPr>
                <w:rStyle w:val="11"/>
                <w:rFonts w:ascii="Times New Roman" w:hAnsi="Times New Roman" w:cs="Times New Roman"/>
                <w:szCs w:val="22"/>
              </w:rPr>
              <w:t>stable;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and slowly degradable; the chondrogenesis ability of hDPSCs embedded in NC-CS/GP-21 hydrogel.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(Talaat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74" w:hRule="atLeast"/>
        </w:trPr>
        <w:tc>
          <w:tcPr>
            <w:tcW w:w="3539" w:type="dxa"/>
          </w:tcPr>
          <w:p>
            <w:pPr>
              <w:jc w:val="left"/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a combined triple interpenetrating network hydrogel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Dextran; chitosan; teleostean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Load MSC to treat intervertebral disc degeneration</w:t>
            </w:r>
            <w:r>
              <w:rPr>
                <w:rStyle w:val="11"/>
                <w:rFonts w:ascii="Times New Roman" w:hAnsi="Times New Roman" w:cs="Times New Roman"/>
                <w:szCs w:val="22"/>
              </w:rPr>
              <w:tab/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(Zhang et al., 2021a)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GG/PEGDA DN hydrogel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Gellan gum (GG); polyethylene glycol diacrylate (PEGDA)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Excellent mechanical and relaxation properties;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enhance chondrogenic diﬀerentiation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(Li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PEGS-OH hydrogels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PEGS-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Az; PEGS-DBCO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Faster stress release due to incomplete network slip;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promote the adhesion and differentiation of bone mesenchymal stem cells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(Wu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Gelatin-SH/PEGDA IPN hydrogels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(PEAD) polycation, heparin; insulin-like growth factor-1，thiolated gelatin (gelatin-SH)/poly(ethylene glycol) diacrylate (PEGDA) interpenetrating network (IPN) hydrogels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Bioactive IGF-1 is continuously released over three weeks; enhancing glycosaminoglycan deposition and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chondrogenesis-associated genes expression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(Cho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785" w:hRule="atLeast"/>
        </w:trPr>
        <w:tc>
          <w:tcPr>
            <w:tcW w:w="3539" w:type="dxa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3D-bioprinted multilayer scaffold</w:t>
            </w:r>
          </w:p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Methacrylated hyaluronic acid (MeHA); polycaprolactone; kartogenin; β-TCP 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 xml:space="preserve">Help BMSCs survive and proliferate, and produce large amounts of cartilage-specific extracellular matrix 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(Liu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927" w:hRule="atLeast"/>
        </w:trPr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CS hydrogel/3D-printed PCL hybrid scaffold</w:t>
            </w:r>
          </w:p>
          <w:p>
            <w:pPr>
              <w:rPr>
                <w:rStyle w:val="11"/>
                <w:rFonts w:ascii="Times New Roman" w:hAnsi="Times New Roman" w:cs="Times New Roman"/>
                <w:b w:val="0"/>
                <w:bCs w:val="0"/>
                <w:szCs w:val="22"/>
              </w:rPr>
            </w:pP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Chitosan (CS); poly(ε-caprolactone) (PCL); TFNA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Promote proliferation</w:t>
            </w:r>
            <w:r>
              <w:rPr>
                <w:rStyle w:val="11"/>
                <w:rFonts w:ascii="Times New Roman" w:hAnsi="Times New Roman" w:cs="Times New Roman"/>
                <w:szCs w:val="22"/>
              </w:rPr>
              <w:tab/>
            </w:r>
            <w:r>
              <w:rPr>
                <w:rStyle w:val="11"/>
                <w:rFonts w:ascii="Times New Roman" w:hAnsi="Times New Roman" w:cs="Times New Roman"/>
                <w:szCs w:val="22"/>
              </w:rPr>
              <w:t>and cartilage differentiation of SMSCs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(Li et al., 2021a)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640" w:hRule="atLeast"/>
        </w:trPr>
        <w:tc>
          <w:tcPr>
            <w:tcW w:w="3539" w:type="dxa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SAPH-coated PCL scaffolds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Polycaprolactone (PCL), phenylalanine; glutamic acid; lysine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Significantly induce simultaneous regeneration of cartilage and subchondral bone after 8- and 12-weeks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(Li et al., 2019)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jc w:val="left"/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Difunctional PEGS/MBG bilayer scaffold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Cs w:val="20"/>
              </w:rPr>
              <w:t>PEGylated poly(glycerol sebacate) (PEGS); mesoporous bioactive glass (MBG)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Reconstruct integrated articular hyaline cartilage and </w:t>
            </w:r>
          </w:p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Cs w:val="20"/>
              </w:rPr>
              <w:t>subchondral bone in 12 weeks, exhibiting extraordinary regenerative efficiency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(Lin et al., 2020a)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jc w:val="left"/>
              <w:rPr>
                <w:rStyle w:val="9"/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3D printed gradient hydrogel scaffold</w:t>
            </w:r>
          </w:p>
        </w:tc>
        <w:tc>
          <w:tcPr>
            <w:tcW w:w="3686" w:type="dxa"/>
          </w:tcPr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Nanohydroxyapatite; sodium alginate (SA) and acrylamide(AM); SA/AM hydrogel</w:t>
            </w:r>
          </w:p>
        </w:tc>
        <w:tc>
          <w:tcPr>
            <w:tcW w:w="6095" w:type="dxa"/>
          </w:tcPr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Facilitate simultaneous regeneration of cartilage-subchondral bone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(Zhang et al., 2021c)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Tri-layered stratified scaffold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Gelatin methacrylamide (GelMA) hydrogel; zone-specific growth factor; melt electrowritten triblock polymer of poly(ε-caprolactone) and</w:t>
            </w:r>
          </w:p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poly(ethylene glycol) (PCEC) networks with depth-dependent fiber organization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Induce the MSCs to differentiate both the chondrogenic and osteogenic lineages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(Qiao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966" w:hRule="atLeast"/>
        </w:trPr>
        <w:tc>
          <w:tcPr>
            <w:tcW w:w="3539" w:type="dxa"/>
          </w:tcPr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jc w:val="left"/>
              <w:outlineLvl w:val="0"/>
              <w:rPr>
                <w:rStyle w:val="9"/>
                <w:rFonts w:ascii="Times New Roman" w:hAnsi="Times New Roman" w:cs="Times New Roman" w:eastAsia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 w:eastAsia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GG/ALG-based Ca-enriched acellular bilayer hydrogel</w:t>
            </w:r>
          </w:p>
          <w:p>
            <w:pPr>
              <w:rPr>
                <w:rStyle w:val="9"/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Gellan gum; alginate; nHA</w:t>
            </w:r>
          </w:p>
        </w:tc>
        <w:tc>
          <w:tcPr>
            <w:tcW w:w="6095" w:type="dxa"/>
          </w:tcPr>
          <w:p>
            <w:pPr>
              <w:rPr>
                <w:rStyle w:val="9"/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Cs w:val="20"/>
              </w:rPr>
              <w:t xml:space="preserve">Imitate the mechanical properties and interface structure of osteochondral tissue; BMSC can be induced to differentiate into cartilage and bone cells 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(Xing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Heterogenous</w:t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bilayer hydrogel scaffold</w:t>
            </w:r>
          </w:p>
          <w:p>
            <w:pPr>
              <w:jc w:val="left"/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GelMA; acryloyl glucosamine (AGA); vinylphosphonic acid (VPA)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Promote chondrocytes to produce collagen type II and glycosaminoglycans and upregulate the expression of chondrogenesis-related genes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(Chen et al., 2021b)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14879" w:type="dxa"/>
            <w:gridSpan w:val="4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36"/>
                <w:szCs w:val="36"/>
              </w:rPr>
              <w:t>In-situ hydrogel repair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Name (Abbreviation)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Ingredients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Effect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Reference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15"/>
                <w:rFonts w:ascii="Times New Roman" w:hAnsi="Times New Roman"/>
                <w:b/>
                <w:bCs/>
                <w:color w:val="000000"/>
                <w:szCs w:val="20"/>
              </w:rPr>
              <w:t>AHAMA hydrogels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Hyaluronic acid hydrogel；aldehyde group；methacrylate (AHAMA)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Significantly improved durability and stability in humid environments and higher adhesion strength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(Chen et al., 2021a)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3D-Printed Photocurable</w:t>
            </w:r>
          </w:p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Natural Hydrogel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Gelatin ；hyaluronic acid；methacrylic anhydride；photoinitiator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Enhanced mechanical properties; prolonged degradation time.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(Xia et al., 2018)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15"/>
                <w:rFonts w:ascii="Times New Roman" w:hAnsi="Times New Roman"/>
                <w:b/>
                <w:bCs/>
                <w:color w:val="000000"/>
                <w:szCs w:val="20"/>
              </w:rPr>
              <w:t>dual network hydrogel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Nano-Fe3O4；flexible AAm binary polymer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High strength, high toughness, rapid self-recovery, and cell compatibility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(Gang, 2022)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15"/>
                <w:rFonts w:ascii="Times New Roman" w:hAnsi="Times New Roman"/>
                <w:b/>
                <w:bCs/>
                <w:color w:val="000000"/>
                <w:szCs w:val="20"/>
              </w:rPr>
              <w:t>double layer hydrogel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Hydrophilic polyanion PSPMA brush；polyzwitterion PSBMA brush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Low friction, high strength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(Rong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BC-PVA-PAMPS double network hydrogel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Bacterial cellulose (BC) nanofiber network; poly(vinyl alcohol) (PVA); poly(2-acrylamido-2-methyl-1-propanesulfonic acid sodium salt) (PAMPS)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Equivalent tensile fatigue strength of cartilage; excellent candidate for replacing damaged cartilage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(Yang et al., 2020a)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PVA/Col-II chondrohydrogels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Spolyvinyl alcohol; fCol-II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Interconnection, porosity structure, moderate elastic modulus, and good biocompatibility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(Lan et al., 2020)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(NIPAAm-co-AAm) DNs hydrogels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N-Isopropylacrylamide (NIPAAm)；2-acrylamido-2-methylpropanesulfonic acid (AMPS)；acrylamide (AAm)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Parallel to the strength, modulus and hydration of the natural articular cartilage；lower coefficient of friction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(Means et al., 2019)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3539" w:type="dxa"/>
            <w:shd w:val="clear" w:color="auto" w:fill="F1F1F1" w:themeFill="background1" w:themeFillShade="F2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PDA-CS-PAM hydrogel</w:t>
            </w:r>
          </w:p>
        </w:tc>
        <w:tc>
          <w:tcPr>
            <w:tcW w:w="3686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Polydopamine；chondroitin sulfate polyacrylamide；</w:t>
            </w:r>
          </w:p>
        </w:tc>
        <w:tc>
          <w:tcPr>
            <w:tcW w:w="6095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Tissue adhesion and ultra-mechanical properties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(Han et al., 2018)</w:t>
            </w:r>
          </w:p>
        </w:tc>
      </w:tr>
      <w:tr>
        <w:tc>
          <w:tcPr>
            <w:tcW w:w="3539" w:type="dxa"/>
          </w:tcPr>
          <w:p>
            <w:pPr>
              <w:jc w:val="left"/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hydrogels with different cell gradient densities</w:t>
            </w:r>
          </w:p>
        </w:tc>
        <w:tc>
          <w:tcPr>
            <w:tcW w:w="3686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Magnetically controlled methods；methyl acrylate hyaluronic acid-photoinitiator LAP</w:t>
            </w:r>
          </w:p>
        </w:tc>
        <w:tc>
          <w:tcPr>
            <w:tcW w:w="6095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Mimic the structural characteristics of articular cartilage with a natural cell gradient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(Zlotnick et al., 2020)</w:t>
            </w:r>
          </w:p>
        </w:tc>
      </w:tr>
    </w:tbl>
    <w:p>
      <w:pPr>
        <w:rPr>
          <w:rFonts w:ascii="Times New Roman" w:hAnsi="Times New Roman"/>
        </w:rPr>
      </w:pPr>
    </w:p>
    <w:tbl>
      <w:tblPr>
        <w:tblStyle w:val="14"/>
        <w:tblW w:w="15163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933"/>
        <w:gridCol w:w="4619"/>
        <w:gridCol w:w="3544"/>
        <w:gridCol w:w="113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15163" w:type="dxa"/>
            <w:gridSpan w:val="5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36"/>
                <w:szCs w:val="36"/>
              </w:rPr>
              <w:t>Cell recruitment hydrogel in end stage of osteoarthritis</w:t>
            </w:r>
          </w:p>
        </w:tc>
      </w:tr>
      <w:tr>
        <w:tc>
          <w:tcPr>
            <w:tcW w:w="293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Name (Abbreviation)</w:t>
            </w:r>
          </w:p>
        </w:tc>
        <w:tc>
          <w:tcPr>
            <w:tcW w:w="2933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Ingredients</w:t>
            </w:r>
          </w:p>
        </w:tc>
        <w:tc>
          <w:tcPr>
            <w:tcW w:w="461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Bioactive substances</w:t>
            </w:r>
          </w:p>
        </w:tc>
        <w:tc>
          <w:tcPr>
            <w:tcW w:w="3544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Reference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933" w:type="dxa"/>
          </w:tcPr>
          <w:p>
            <w:pPr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HAMA@HepMA blend MGs</w:t>
            </w:r>
          </w:p>
        </w:tc>
        <w:tc>
          <w:tcPr>
            <w:tcW w:w="2933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Methacrylated hyaluronic acid; heparin</w:t>
            </w:r>
          </w:p>
        </w:tc>
        <w:tc>
          <w:tcPr>
            <w:tcW w:w="4619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Platelet-derived growth factor-BB (PDGF-BB); transforming growth factor-beta3 (TGF-β3)</w:t>
            </w:r>
          </w:p>
        </w:tc>
        <w:tc>
          <w:tcPr>
            <w:tcW w:w="3544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Recruit endogenous stem cells ；Promote chondrogenic differentiation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Cs w:val="20"/>
                <w:vertAlign w:val="superscript"/>
              </w:rPr>
            </w:pPr>
            <w:r>
              <w:rPr>
                <w:rFonts w:ascii="Times New Roman" w:hAnsi="Times New Roman"/>
                <w:szCs w:val="20"/>
              </w:rPr>
              <w:t>(Lei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933" w:type="dxa"/>
          </w:tcPr>
          <w:p>
            <w:pPr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cellular cartilage tissue engineering system</w:t>
            </w:r>
          </w:p>
        </w:tc>
        <w:tc>
          <w:tcPr>
            <w:tcW w:w="2933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Chitosan/silk fibroin hydrogels</w:t>
            </w:r>
          </w:p>
        </w:tc>
        <w:tc>
          <w:tcPr>
            <w:tcW w:w="4619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Stromal cell-derived factor-1(SDF-1)；kartogenin (KGN)</w:t>
            </w:r>
          </w:p>
        </w:tc>
        <w:tc>
          <w:tcPr>
            <w:tcW w:w="3544" w:type="dxa"/>
          </w:tcPr>
          <w:p>
            <w:pPr>
              <w:jc w:val="left"/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Promote mesenchymal stem cell recruitment and cartilage differentiatio</w:t>
            </w:r>
            <w:bookmarkStart w:id="19" w:name="_GoBack"/>
            <w:bookmarkEnd w:id="19"/>
            <w:r>
              <w:rPr>
                <w:rStyle w:val="11"/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Cs w:val="20"/>
                <w:vertAlign w:val="superscript"/>
              </w:rPr>
            </w:pPr>
            <w:r>
              <w:rPr>
                <w:rFonts w:ascii="Times New Roman" w:hAnsi="Times New Roman"/>
                <w:szCs w:val="20"/>
              </w:rPr>
              <w:t>(Dong et al., 2021)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933" w:type="dxa"/>
            <w:shd w:val="clear" w:color="auto" w:fill="F1F1F1" w:themeFill="background1" w:themeFillShade="F2"/>
          </w:tcPr>
          <w:p>
            <w:pPr>
              <w:jc w:val="left"/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exosome-loaded high adhesion hydrogel</w:t>
            </w:r>
          </w:p>
        </w:tc>
        <w:tc>
          <w:tcPr>
            <w:tcW w:w="2933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Cross-linking network of sodium alginate-dopamine chondroitin sulfate and regenerated silk fibroin (AD/CS/RSF)</w:t>
            </w:r>
          </w:p>
        </w:tc>
        <w:tc>
          <w:tcPr>
            <w:tcW w:w="4619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Exosomes</w:t>
            </w:r>
          </w:p>
        </w:tc>
        <w:tc>
          <w:tcPr>
            <w:tcW w:w="3544" w:type="dxa"/>
            <w:shd w:val="clear" w:color="auto" w:fill="F1F1F1" w:themeFill="background1" w:themeFillShade="F2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Promote the migration and expansion of endogenous BMSCs, promote the proliferation and differentiation of BMSC</w:t>
            </w:r>
          </w:p>
        </w:tc>
        <w:tc>
          <w:tcPr>
            <w:tcW w:w="1134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/>
                <w:szCs w:val="20"/>
                <w:vertAlign w:val="superscript"/>
              </w:rPr>
            </w:pPr>
            <w:r>
              <w:rPr>
                <w:rFonts w:ascii="Times New Roman" w:hAnsi="Times New Roman"/>
                <w:szCs w:val="20"/>
              </w:rPr>
              <w:t>(Zhang et al., 2021b)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933" w:type="dxa"/>
          </w:tcPr>
          <w:p>
            <w:pP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Gel-nano-sEVs hydrogels</w:t>
            </w:r>
          </w:p>
        </w:tc>
        <w:tc>
          <w:tcPr>
            <w:tcW w:w="2933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Laponite nanoclay; Gelma hydrogel</w:t>
            </w:r>
          </w:p>
        </w:tc>
        <w:tc>
          <w:tcPr>
            <w:tcW w:w="4619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Human umbilical cord mesenchymal stem</w:t>
            </w:r>
          </w:p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cells derived small extracellular vesicles (HUC-MSCs-sEVs)</w:t>
            </w:r>
          </w:p>
        </w:tc>
        <w:tc>
          <w:tcPr>
            <w:tcW w:w="3544" w:type="dxa"/>
          </w:tcPr>
          <w:p>
            <w:pPr>
              <w:rPr>
                <w:rStyle w:val="11"/>
                <w:rFonts w:ascii="Times New Roman" w:hAnsi="Times New Roman" w:cs="Times New Roman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Cs w:val="22"/>
              </w:rPr>
              <w:t>Promote cartilage regeneration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(Hu et al., 2020)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yriad Pro">
    <w:altName w:val="苹方-简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002"/>
    <w:multiLevelType w:val="multilevel"/>
    <w:tmpl w:val="01054002"/>
    <w:lvl w:ilvl="0" w:tentative="0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833CD5"/>
    <w:multiLevelType w:val="multilevel"/>
    <w:tmpl w:val="01833C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C0601A"/>
    <w:multiLevelType w:val="multilevel"/>
    <w:tmpl w:val="1EC0601A"/>
    <w:lvl w:ilvl="0" w:tentative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57A7B13"/>
    <w:multiLevelType w:val="multilevel"/>
    <w:tmpl w:val="257A7B13"/>
    <w:lvl w:ilvl="0" w:tentative="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00" w:hanging="420"/>
      </w:pPr>
    </w:lvl>
    <w:lvl w:ilvl="2" w:tentative="0">
      <w:start w:val="1"/>
      <w:numFmt w:val="lowerRoman"/>
      <w:lvlText w:val="%3."/>
      <w:lvlJc w:val="right"/>
      <w:pPr>
        <w:ind w:left="1420" w:hanging="420"/>
      </w:pPr>
    </w:lvl>
    <w:lvl w:ilvl="3" w:tentative="0">
      <w:start w:val="1"/>
      <w:numFmt w:val="decimal"/>
      <w:lvlText w:val="%4."/>
      <w:lvlJc w:val="left"/>
      <w:pPr>
        <w:ind w:left="1840" w:hanging="420"/>
      </w:pPr>
    </w:lvl>
    <w:lvl w:ilvl="4" w:tentative="0">
      <w:start w:val="1"/>
      <w:numFmt w:val="lowerLetter"/>
      <w:lvlText w:val="%5)"/>
      <w:lvlJc w:val="left"/>
      <w:pPr>
        <w:ind w:left="2260" w:hanging="420"/>
      </w:pPr>
    </w:lvl>
    <w:lvl w:ilvl="5" w:tentative="0">
      <w:start w:val="1"/>
      <w:numFmt w:val="lowerRoman"/>
      <w:lvlText w:val="%6."/>
      <w:lvlJc w:val="right"/>
      <w:pPr>
        <w:ind w:left="2680" w:hanging="420"/>
      </w:pPr>
    </w:lvl>
    <w:lvl w:ilvl="6" w:tentative="0">
      <w:start w:val="1"/>
      <w:numFmt w:val="decimal"/>
      <w:lvlText w:val="%7."/>
      <w:lvlJc w:val="left"/>
      <w:pPr>
        <w:ind w:left="3100" w:hanging="420"/>
      </w:pPr>
    </w:lvl>
    <w:lvl w:ilvl="7" w:tentative="0">
      <w:start w:val="1"/>
      <w:numFmt w:val="lowerLetter"/>
      <w:lvlText w:val="%8)"/>
      <w:lvlJc w:val="left"/>
      <w:pPr>
        <w:ind w:left="3520" w:hanging="420"/>
      </w:pPr>
    </w:lvl>
    <w:lvl w:ilvl="8" w:tentative="0">
      <w:start w:val="1"/>
      <w:numFmt w:val="lowerRoman"/>
      <w:lvlText w:val="%9."/>
      <w:lvlJc w:val="right"/>
      <w:pPr>
        <w:ind w:left="3940" w:hanging="420"/>
      </w:pPr>
    </w:lvl>
  </w:abstractNum>
  <w:abstractNum w:abstractNumId="5">
    <w:nsid w:val="2D0E31C2"/>
    <w:multiLevelType w:val="multilevel"/>
    <w:tmpl w:val="2D0E31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D324A98"/>
    <w:multiLevelType w:val="multilevel"/>
    <w:tmpl w:val="4D324A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PingFang SC" w:cs="Times New Roman"/>
        <w:color w:val="333333"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C6643C"/>
    <w:multiLevelType w:val="multilevel"/>
    <w:tmpl w:val="58C664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5B3628"/>
    <w:multiLevelType w:val="multilevel"/>
    <w:tmpl w:val="735B36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3679C0"/>
    <w:multiLevelType w:val="multilevel"/>
    <w:tmpl w:val="753679C0"/>
    <w:lvl w:ilvl="0" w:tentative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7586623F"/>
    <w:multiLevelType w:val="multilevel"/>
    <w:tmpl w:val="7586623F"/>
    <w:lvl w:ilvl="0" w:tentative="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00" w:hanging="420"/>
      </w:pPr>
    </w:lvl>
    <w:lvl w:ilvl="2" w:tentative="0">
      <w:start w:val="1"/>
      <w:numFmt w:val="lowerRoman"/>
      <w:lvlText w:val="%3."/>
      <w:lvlJc w:val="right"/>
      <w:pPr>
        <w:ind w:left="1320" w:hanging="420"/>
      </w:pPr>
    </w:lvl>
    <w:lvl w:ilvl="3" w:tentative="0">
      <w:start w:val="1"/>
      <w:numFmt w:val="decimal"/>
      <w:lvlText w:val="%4."/>
      <w:lvlJc w:val="left"/>
      <w:pPr>
        <w:ind w:left="1740" w:hanging="420"/>
      </w:pPr>
    </w:lvl>
    <w:lvl w:ilvl="4" w:tentative="0">
      <w:start w:val="1"/>
      <w:numFmt w:val="lowerLetter"/>
      <w:lvlText w:val="%5)"/>
      <w:lvlJc w:val="left"/>
      <w:pPr>
        <w:ind w:left="2160" w:hanging="420"/>
      </w:pPr>
    </w:lvl>
    <w:lvl w:ilvl="5" w:tentative="0">
      <w:start w:val="1"/>
      <w:numFmt w:val="lowerRoman"/>
      <w:lvlText w:val="%6."/>
      <w:lvlJc w:val="right"/>
      <w:pPr>
        <w:ind w:left="2580" w:hanging="420"/>
      </w:pPr>
    </w:lvl>
    <w:lvl w:ilvl="6" w:tentative="0">
      <w:start w:val="1"/>
      <w:numFmt w:val="decimal"/>
      <w:lvlText w:val="%7."/>
      <w:lvlJc w:val="left"/>
      <w:pPr>
        <w:ind w:left="3000" w:hanging="420"/>
      </w:pPr>
    </w:lvl>
    <w:lvl w:ilvl="7" w:tentative="0">
      <w:start w:val="1"/>
      <w:numFmt w:val="lowerLetter"/>
      <w:lvlText w:val="%8)"/>
      <w:lvlJc w:val="left"/>
      <w:pPr>
        <w:ind w:left="3420" w:hanging="420"/>
      </w:pPr>
    </w:lvl>
    <w:lvl w:ilvl="8" w:tentative="0">
      <w:start w:val="1"/>
      <w:numFmt w:val="lowerRoman"/>
      <w:lvlText w:val="%9."/>
      <w:lvlJc w:val="right"/>
      <w:pPr>
        <w:ind w:left="3840" w:hanging="420"/>
      </w:pPr>
    </w:lvl>
  </w:abstractNum>
  <w:abstractNum w:abstractNumId="11">
    <w:nsid w:val="75CC6D63"/>
    <w:multiLevelType w:val="multilevel"/>
    <w:tmpl w:val="75CC6D63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900" w:hanging="420"/>
      </w:pPr>
    </w:lvl>
    <w:lvl w:ilvl="2" w:tentative="0">
      <w:start w:val="1"/>
      <w:numFmt w:val="lowerRoman"/>
      <w:lvlText w:val="%3."/>
      <w:lvlJc w:val="right"/>
      <w:pPr>
        <w:ind w:left="1320" w:hanging="420"/>
      </w:pPr>
    </w:lvl>
    <w:lvl w:ilvl="3" w:tentative="0">
      <w:start w:val="1"/>
      <w:numFmt w:val="decimal"/>
      <w:lvlText w:val="%4."/>
      <w:lvlJc w:val="left"/>
      <w:pPr>
        <w:ind w:left="1740" w:hanging="420"/>
      </w:pPr>
    </w:lvl>
    <w:lvl w:ilvl="4" w:tentative="0">
      <w:start w:val="1"/>
      <w:numFmt w:val="lowerLetter"/>
      <w:lvlText w:val="%5)"/>
      <w:lvlJc w:val="left"/>
      <w:pPr>
        <w:ind w:left="2160" w:hanging="420"/>
      </w:pPr>
    </w:lvl>
    <w:lvl w:ilvl="5" w:tentative="0">
      <w:start w:val="1"/>
      <w:numFmt w:val="lowerRoman"/>
      <w:lvlText w:val="%6."/>
      <w:lvlJc w:val="right"/>
      <w:pPr>
        <w:ind w:left="2580" w:hanging="420"/>
      </w:pPr>
    </w:lvl>
    <w:lvl w:ilvl="6" w:tentative="0">
      <w:start w:val="1"/>
      <w:numFmt w:val="decimal"/>
      <w:lvlText w:val="%7."/>
      <w:lvlJc w:val="left"/>
      <w:pPr>
        <w:ind w:left="3000" w:hanging="420"/>
      </w:pPr>
    </w:lvl>
    <w:lvl w:ilvl="7" w:tentative="0">
      <w:start w:val="1"/>
      <w:numFmt w:val="lowerLetter"/>
      <w:lvlText w:val="%8)"/>
      <w:lvlJc w:val="left"/>
      <w:pPr>
        <w:ind w:left="3420" w:hanging="420"/>
      </w:pPr>
    </w:lvl>
    <w:lvl w:ilvl="8" w:tentative="0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2"/>
    <w:lvlOverride w:ilvl="0">
      <w:lvl w:ilvl="0" w:tentative="1">
        <w:start w:val="1"/>
        <w:numFmt w:val="decimal"/>
        <w:pStyle w:val="2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4362"/>
    <w:rsid w:val="1E733026"/>
    <w:rsid w:val="6BEF4362"/>
    <w:rsid w:val="7F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1"/>
    <w:basedOn w:val="1"/>
    <w:qFormat/>
    <w:uiPriority w:val="3"/>
    <w:pPr>
      <w:numPr>
        <w:ilvl w:val="0"/>
        <w:numId w:val="2"/>
      </w:numPr>
      <w:spacing w:before="120" w:after="240"/>
      <w:ind w:left="1434" w:hanging="357"/>
      <w:contextualSpacing/>
    </w:pPr>
    <w:rPr>
      <w:rFonts w:ascii="Times New Roman" w:hAnsi="Times New Roman" w:eastAsia="Cambria" w:cs="Times New Roman"/>
      <w:lang w:eastAsia="en-US"/>
    </w:rPr>
  </w:style>
  <w:style w:type="paragraph" w:styleId="4">
    <w:name w:val="footer"/>
    <w:basedOn w:val="1"/>
    <w:qFormat/>
    <w:uiPriority w:val="0"/>
    <w:pPr>
      <w:tabs>
        <w:tab w:val="center" w:pos="4844"/>
        <w:tab w:val="right" w:pos="9689"/>
      </w:tabs>
      <w:spacing w:before="120"/>
    </w:pPr>
    <w:rPr>
      <w:rFonts w:ascii="Times New Roman" w:hAnsi="Times New Roman" w:eastAsiaTheme="minorEastAsia" w:cstheme="minorBidi"/>
      <w:szCs w:val="22"/>
      <w:lang w:eastAsia="en-US"/>
    </w:rPr>
  </w:style>
  <w:style w:type="paragraph" w:styleId="5">
    <w:name w:val="header"/>
    <w:basedOn w:val="1"/>
    <w:qFormat/>
    <w:uiPriority w:val="0"/>
    <w:pPr>
      <w:tabs>
        <w:tab w:val="center" w:pos="4844"/>
        <w:tab w:val="right" w:pos="9689"/>
      </w:tabs>
      <w:spacing w:before="120" w:after="240"/>
    </w:pPr>
    <w:rPr>
      <w:rFonts w:ascii="Times New Roman" w:hAnsi="Times New Roman" w:eastAsiaTheme="minorEastAsia" w:cstheme="minorBidi"/>
      <w:b/>
      <w:szCs w:val="22"/>
      <w:lang w:eastAsia="en-US"/>
    </w:rPr>
  </w:style>
  <w:style w:type="table" w:customStyle="1" w:styleId="8">
    <w:name w:val="Plain Table 11"/>
    <w:basedOn w:val="7"/>
    <w:qFormat/>
    <w:uiPriority w:val="41"/>
    <w:rPr>
      <w:rFonts w:asciiTheme="majorHAnsi" w:hAnsiTheme="majorHAnsi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15"/>
    <w:basedOn w:val="6"/>
    <w:qFormat/>
    <w:uiPriority w:val="0"/>
    <w:rPr>
      <w:rFonts w:hint="default" w:ascii="Calibri" w:hAnsi="Calibri" w:cs="Calibri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  <w:rPr>
      <w:rFonts w:ascii="Calibri" w:hAnsi="Calibri" w:cs="Times New Roman"/>
      <w:szCs w:val="21"/>
    </w:rPr>
  </w:style>
  <w:style w:type="character" w:customStyle="1" w:styleId="11">
    <w:name w:val="16"/>
    <w:basedOn w:val="6"/>
    <w:qFormat/>
    <w:uiPriority w:val="0"/>
    <w:rPr>
      <w:rFonts w:hint="default" w:ascii="Calibri" w:hAnsi="Calibri" w:cs="Calibri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fanyi-trans-content"/>
    <w:basedOn w:val="6"/>
    <w:qFormat/>
    <w:uiPriority w:val="0"/>
  </w:style>
  <w:style w:type="table" w:customStyle="1" w:styleId="14">
    <w:name w:val="无格式表格 1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5">
    <w:name w:val="Default Paragraph Font 3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2022-04-21T17:36:00Z</dcterms:created>
  <dc:creator>q</dc:creator>
  <cp:lastModifiedBy>q</cp:lastModifiedBy>
  <dcterms:modified xsi:type="dcterms:W3CDTF">2022-05-18T22:42:11Z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