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rPr>
      </w:pPr>
      <w:r>
        <w:t>Supplementary Material</w:t>
      </w:r>
    </w:p>
    <w:p>
      <w:pPr>
        <w:pStyle w:val="2"/>
      </w:pPr>
      <w:r>
        <w:t>Supplementary Data</w:t>
      </w:r>
    </w:p>
    <w:p>
      <w:pPr>
        <w:rPr>
          <w:color w:val="000000"/>
          <w:szCs w:val="21"/>
        </w:rPr>
      </w:pPr>
      <w:r>
        <w:rPr>
          <w:rFonts w:hint="eastAsia" w:eastAsia="宋体"/>
          <w:b/>
          <w:bCs/>
          <w:lang w:eastAsia="zh-CN"/>
        </w:rPr>
        <w:t>Figure S1</w:t>
      </w:r>
      <w:r>
        <w:rPr>
          <w:rFonts w:hint="eastAsia" w:eastAsia="宋体"/>
          <w:lang w:eastAsia="zh-CN"/>
        </w:rPr>
        <w:t xml:space="preserve"> </w:t>
      </w:r>
      <w:r>
        <w:rPr>
          <w:rFonts w:cs="Times New Roman"/>
          <w:b/>
          <w:szCs w:val="24"/>
        </w:rPr>
        <w:t>(A)</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color w:val="000000"/>
          <w:szCs w:val="21"/>
        </w:rPr>
        <w:t>β-lactams</w:t>
      </w:r>
      <w:r>
        <w:rPr>
          <w:color w:val="000000"/>
          <w:szCs w:val="21"/>
        </w:rPr>
        <w:t xml:space="preserve">. </w:t>
      </w:r>
      <w:r>
        <w:rPr>
          <w:rFonts w:cs="Times New Roman"/>
          <w:b/>
          <w:szCs w:val="24"/>
        </w:rPr>
        <w:t>(</w:t>
      </w:r>
      <w:r>
        <w:rPr>
          <w:rFonts w:hint="eastAsia" w:eastAsia="宋体" w:cs="Times New Roman"/>
          <w:b/>
          <w:szCs w:val="24"/>
          <w:lang w:eastAsia="zh-CN"/>
        </w:rPr>
        <w:t>B</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a</w:t>
      </w:r>
      <w:r>
        <w:rPr>
          <w:rFonts w:hint="eastAsia"/>
          <w:color w:val="000000"/>
          <w:szCs w:val="21"/>
        </w:rPr>
        <w:t>minoglycosides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C</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tetracyclines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D</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quinolones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E</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sulfonamides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F)</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phenicols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G</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 xml:space="preserve"> polymyxins and rifamycins </w:t>
      </w:r>
      <w:r>
        <w:rPr>
          <w:color w:val="000000"/>
          <w:szCs w:val="21"/>
        </w:rPr>
        <w:t>.</w:t>
      </w:r>
      <w:r>
        <w:rPr>
          <w:rFonts w:hint="eastAsia" w:eastAsia="宋体"/>
          <w:color w:val="000000"/>
          <w:szCs w:val="21"/>
          <w:lang w:eastAsia="zh-CN"/>
        </w:rPr>
        <w:t xml:space="preserve"> </w:t>
      </w:r>
      <w:r>
        <w:rPr>
          <w:color w:val="000000"/>
          <w:szCs w:val="21"/>
        </w:rPr>
        <w:t xml:space="preserve">The </w:t>
      </w:r>
      <w:r>
        <w:rPr>
          <w:rFonts w:hint="eastAsia"/>
          <w:color w:val="000000"/>
          <w:szCs w:val="21"/>
        </w:rPr>
        <w:t>magenta</w:t>
      </w:r>
      <w:r>
        <w:rPr>
          <w:color w:val="000000"/>
          <w:szCs w:val="21"/>
        </w:rPr>
        <w:t xml:space="preserve"> </w:t>
      </w:r>
      <w:r>
        <w:rPr>
          <w:rFonts w:hint="eastAsia"/>
          <w:color w:val="000000"/>
          <w:szCs w:val="21"/>
        </w:rPr>
        <w:t>filled square</w:t>
      </w:r>
      <w:r>
        <w:rPr>
          <w:color w:val="000000"/>
          <w:szCs w:val="21"/>
        </w:rPr>
        <w:t xml:space="preserve"> represent resistance to the antibiotic and </w:t>
      </w:r>
      <w:r>
        <w:rPr>
          <w:rFonts w:hint="eastAsia"/>
          <w:color w:val="000000"/>
          <w:szCs w:val="21"/>
        </w:rPr>
        <w:t>brown</w:t>
      </w:r>
      <w:r>
        <w:t xml:space="preserve"> </w:t>
      </w:r>
      <w:r>
        <w:rPr>
          <w:rFonts w:hint="eastAsia"/>
        </w:rPr>
        <w:t>filled</w:t>
      </w:r>
      <w:r>
        <w:rPr>
          <w:rFonts w:hint="eastAsia"/>
          <w:szCs w:val="24"/>
        </w:rPr>
        <w:t xml:space="preserve"> </w:t>
      </w:r>
      <w:r>
        <w:rPr>
          <w:rFonts w:hint="eastAsia"/>
          <w:color w:val="000000"/>
          <w:szCs w:val="24"/>
        </w:rPr>
        <w:t>circle</w:t>
      </w:r>
      <w:r>
        <w:rPr>
          <w:color w:val="000000"/>
          <w:szCs w:val="24"/>
        </w:rPr>
        <w:t xml:space="preserve"> represent the presence of resistance genes, respectively white </w:t>
      </w:r>
      <w:r>
        <w:rPr>
          <w:rFonts w:hint="eastAsia"/>
          <w:color w:val="000000"/>
          <w:szCs w:val="24"/>
        </w:rPr>
        <w:t>unfilled square and circle</w:t>
      </w:r>
      <w:r>
        <w:rPr>
          <w:color w:val="000000"/>
          <w:szCs w:val="24"/>
        </w:rPr>
        <w:t xml:space="preserve"> represents non-resistant and absence.</w:t>
      </w:r>
    </w:p>
    <w:p>
      <w:pPr>
        <w:rPr>
          <w:szCs w:val="24"/>
        </w:rPr>
      </w:pPr>
      <w:r>
        <w:rPr>
          <w:b/>
          <w:bCs/>
          <w:szCs w:val="24"/>
        </w:rPr>
        <w:t>Table S1</w:t>
      </w:r>
      <w:r>
        <w:rPr>
          <w:rFonts w:hint="eastAsia"/>
          <w:b/>
          <w:bCs/>
          <w:szCs w:val="24"/>
        </w:rPr>
        <w:t xml:space="preserve"> </w:t>
      </w:r>
      <w:r>
        <w:rPr>
          <w:szCs w:val="24"/>
        </w:rPr>
        <w:t>Primers of virulence genes in this study</w:t>
      </w:r>
    </w:p>
    <w:p>
      <w:pPr>
        <w:rPr>
          <w:szCs w:val="24"/>
        </w:rPr>
      </w:pPr>
      <w:r>
        <w:rPr>
          <w:b/>
          <w:bCs/>
          <w:szCs w:val="24"/>
        </w:rPr>
        <w:t>Table S</w:t>
      </w:r>
      <w:r>
        <w:rPr>
          <w:rFonts w:hint="eastAsia"/>
          <w:b/>
          <w:bCs/>
          <w:szCs w:val="24"/>
        </w:rPr>
        <w:t xml:space="preserve">2 </w:t>
      </w:r>
      <w:r>
        <w:rPr>
          <w:szCs w:val="24"/>
        </w:rPr>
        <w:t xml:space="preserve">Primers of </w:t>
      </w:r>
      <w:r>
        <w:rPr>
          <w:rFonts w:hint="eastAsia"/>
          <w:szCs w:val="24"/>
        </w:rPr>
        <w:t xml:space="preserve">AMR </w:t>
      </w:r>
      <w:r>
        <w:rPr>
          <w:szCs w:val="24"/>
        </w:rPr>
        <w:t>genes in this study</w:t>
      </w:r>
    </w:p>
    <w:p>
      <w:pPr>
        <w:jc w:val="both"/>
        <w:rPr>
          <w:szCs w:val="24"/>
        </w:rPr>
      </w:pPr>
      <w:r>
        <w:rPr>
          <w:b/>
          <w:bCs/>
          <w:szCs w:val="24"/>
        </w:rPr>
        <w:t>Table</w:t>
      </w:r>
      <w:r>
        <w:rPr>
          <w:rFonts w:hint="eastAsia"/>
          <w:b/>
          <w:bCs/>
          <w:szCs w:val="24"/>
        </w:rPr>
        <w:t xml:space="preserve"> S3</w:t>
      </w:r>
      <w:r>
        <w:rPr>
          <w:rFonts w:hint="eastAsia"/>
          <w:b/>
          <w:bCs/>
          <w:szCs w:val="24"/>
          <w:lang w:eastAsia="zh-CN"/>
        </w:rPr>
        <w:t xml:space="preserve"> </w:t>
      </w:r>
      <w:r>
        <w:rPr>
          <w:szCs w:val="24"/>
        </w:rPr>
        <w:t>The</w:t>
      </w:r>
      <w:r>
        <w:rPr>
          <w:rFonts w:hint="eastAsia"/>
          <w:szCs w:val="24"/>
        </w:rPr>
        <w:t xml:space="preserve"> prevalence of </w:t>
      </w:r>
      <w:r>
        <w:rPr>
          <w:rFonts w:hint="eastAsia" w:eastAsia="宋体" w:cs="Times New Roman"/>
          <w:i/>
          <w:iCs/>
          <w:color w:val="000000"/>
          <w:lang w:eastAsia="zh-CN"/>
        </w:rPr>
        <w:t xml:space="preserve">K. </w:t>
      </w:r>
      <w:r>
        <w:rPr>
          <w:rFonts w:cs="Times New Roman"/>
          <w:i/>
          <w:iCs/>
          <w:color w:val="000000"/>
        </w:rPr>
        <w:t>pneumoniae</w:t>
      </w:r>
      <w:r>
        <w:rPr>
          <w:rFonts w:hint="eastAsia"/>
          <w:szCs w:val="24"/>
        </w:rPr>
        <w:t xml:space="preserve"> in different sample types in five farms</w:t>
      </w:r>
    </w:p>
    <w:p>
      <w:pPr>
        <w:spacing w:line="360" w:lineRule="auto"/>
        <w:jc w:val="both"/>
        <w:rPr>
          <w:rFonts w:eastAsia="宋体" w:cs="Times New Roman"/>
          <w:szCs w:val="24"/>
          <w:lang w:eastAsia="zh-CN"/>
        </w:rPr>
      </w:pPr>
      <w:r>
        <w:rPr>
          <w:rFonts w:cs="Times New Roman"/>
          <w:b/>
          <w:bCs/>
          <w:color w:val="000000"/>
        </w:rPr>
        <w:t xml:space="preserve">Table </w:t>
      </w:r>
      <w:r>
        <w:rPr>
          <w:rFonts w:hint="eastAsia" w:eastAsia="宋体" w:cs="Times New Roman"/>
          <w:b/>
          <w:bCs/>
          <w:color w:val="000000"/>
          <w:lang w:eastAsia="zh-CN"/>
        </w:rPr>
        <w:t>S4</w:t>
      </w:r>
      <w:r>
        <w:rPr>
          <w:rFonts w:cs="Times New Roman"/>
          <w:color w:val="000000"/>
        </w:rPr>
        <w:t xml:space="preserve"> MIC distribution of 239</w:t>
      </w:r>
      <w:r>
        <w:rPr>
          <w:rFonts w:hint="eastAsia" w:eastAsia="宋体" w:cs="Times New Roman"/>
          <w:color w:val="000000"/>
          <w:lang w:eastAsia="zh-CN"/>
        </w:rPr>
        <w:t xml:space="preserve"> </w:t>
      </w:r>
      <w:r>
        <w:rPr>
          <w:rFonts w:hint="eastAsia" w:eastAsia="宋体" w:cs="Times New Roman"/>
          <w:i/>
          <w:iCs/>
          <w:color w:val="000000"/>
          <w:lang w:eastAsia="zh-CN"/>
        </w:rPr>
        <w:t xml:space="preserve">K. </w:t>
      </w:r>
      <w:r>
        <w:rPr>
          <w:rFonts w:cs="Times New Roman"/>
          <w:i/>
          <w:iCs/>
          <w:color w:val="000000"/>
        </w:rPr>
        <w:t>pneumoniae</w:t>
      </w:r>
      <w:r>
        <w:rPr>
          <w:rFonts w:cs="Times New Roman"/>
          <w:color w:val="000000"/>
        </w:rPr>
        <w:t xml:space="preserve"> to 1</w:t>
      </w:r>
      <w:r>
        <w:rPr>
          <w:rFonts w:hint="eastAsia" w:cs="Times New Roman"/>
          <w:color w:val="000000"/>
        </w:rPr>
        <w:t>7</w:t>
      </w:r>
      <w:r>
        <w:rPr>
          <w:rFonts w:cs="Times New Roman"/>
          <w:color w:val="000000"/>
        </w:rPr>
        <w:t xml:space="preserve"> </w:t>
      </w:r>
      <w:r>
        <w:rPr>
          <w:rFonts w:cs="Times New Roman"/>
        </w:rPr>
        <w:t>antimicrobials</w:t>
      </w:r>
    </w:p>
    <w:p>
      <w:pPr>
        <w:pStyle w:val="17"/>
        <w:spacing w:before="145" w:beforeAutospacing="0" w:after="145" w:afterAutospacing="0"/>
      </w:pPr>
      <w:r>
        <w:rPr>
          <w:rFonts w:hint="eastAsia" w:eastAsia="宋体"/>
          <w:b/>
          <w:bCs/>
          <w:color w:val="000000"/>
          <w:lang w:eastAsia="zh-CN"/>
        </w:rPr>
        <w:t xml:space="preserve">Table S5 </w:t>
      </w:r>
      <w:r>
        <w:rPr>
          <w:color w:val="000000"/>
        </w:rPr>
        <w:t>The frequency of the phenotypic multidrug-resistance and the antibiotic-resistance genes among the retrieved strains (</w:t>
      </w:r>
      <w:r>
        <w:rPr>
          <w:rStyle w:val="26"/>
          <w:i w:val="0"/>
          <w:iCs w:val="0"/>
          <w:color w:val="000000"/>
        </w:rPr>
        <w:t>n</w:t>
      </w:r>
      <w:r>
        <w:rPr>
          <w:color w:val="000000"/>
        </w:rPr>
        <w:t> = </w:t>
      </w:r>
      <w:r>
        <w:rPr>
          <w:rFonts w:hint="eastAsia" w:eastAsia="宋体"/>
          <w:color w:val="000000"/>
          <w:lang w:eastAsia="zh-CN"/>
        </w:rPr>
        <w:t>105</w:t>
      </w:r>
      <w:r>
        <w:rPr>
          <w:color w:val="000000"/>
        </w:rPr>
        <w:t>)</w:t>
      </w:r>
    </w:p>
    <w:p>
      <w:pPr>
        <w:rPr>
          <w:i/>
          <w:iCs/>
          <w:szCs w:val="24"/>
        </w:rPr>
      </w:pPr>
      <w:r>
        <w:rPr>
          <w:b/>
          <w:bCs/>
          <w:szCs w:val="24"/>
        </w:rPr>
        <w:t>Table</w:t>
      </w:r>
      <w:r>
        <w:rPr>
          <w:rFonts w:hint="eastAsia"/>
          <w:b/>
          <w:bCs/>
          <w:szCs w:val="24"/>
        </w:rPr>
        <w:t xml:space="preserve"> S</w:t>
      </w:r>
      <w:r>
        <w:rPr>
          <w:rFonts w:hint="eastAsia"/>
          <w:b/>
          <w:bCs/>
          <w:szCs w:val="24"/>
          <w:lang w:eastAsia="zh-CN"/>
        </w:rPr>
        <w:t>6</w:t>
      </w:r>
      <w:r>
        <w:rPr>
          <w:szCs w:val="24"/>
        </w:rPr>
        <w:t xml:space="preserve"> </w:t>
      </w:r>
      <w:r>
        <w:rPr>
          <w:rFonts w:hint="eastAsia"/>
          <w:szCs w:val="24"/>
        </w:rPr>
        <w:t xml:space="preserve">Silent mutations of </w:t>
      </w:r>
      <w:r>
        <w:rPr>
          <w:rFonts w:hint="eastAsia"/>
          <w:i/>
          <w:iCs/>
          <w:szCs w:val="24"/>
        </w:rPr>
        <w:t>gyrA</w:t>
      </w:r>
      <w:r>
        <w:rPr>
          <w:rFonts w:hint="eastAsia"/>
          <w:szCs w:val="24"/>
        </w:rPr>
        <w:t xml:space="preserve">, </w:t>
      </w:r>
      <w:r>
        <w:rPr>
          <w:rFonts w:hint="eastAsia"/>
          <w:i/>
          <w:iCs/>
          <w:szCs w:val="24"/>
        </w:rPr>
        <w:t>gyrB</w:t>
      </w:r>
      <w:r>
        <w:rPr>
          <w:rFonts w:hint="eastAsia"/>
          <w:szCs w:val="24"/>
        </w:rPr>
        <w:t xml:space="preserve">, </w:t>
      </w:r>
      <w:r>
        <w:rPr>
          <w:rFonts w:hint="eastAsia"/>
          <w:i/>
          <w:iCs/>
          <w:szCs w:val="24"/>
        </w:rPr>
        <w:t>parC</w:t>
      </w:r>
      <w:r>
        <w:rPr>
          <w:rFonts w:hint="eastAsia"/>
          <w:szCs w:val="24"/>
        </w:rPr>
        <w:t xml:space="preserve">, </w:t>
      </w:r>
      <w:r>
        <w:rPr>
          <w:rFonts w:hint="eastAsia"/>
          <w:i/>
          <w:iCs/>
          <w:szCs w:val="24"/>
        </w:rPr>
        <w:t>parE</w:t>
      </w:r>
      <w:r>
        <w:rPr>
          <w:rFonts w:hint="eastAsia"/>
          <w:szCs w:val="24"/>
        </w:rPr>
        <w:t xml:space="preserve"> in 30 ciprofloxacin-resistant, 3 ciprofloxacin-intermediate and 7 ciprofloxacin-sensitive </w:t>
      </w:r>
      <w:r>
        <w:rPr>
          <w:rFonts w:hint="eastAsia"/>
          <w:i/>
          <w:iCs/>
          <w:szCs w:val="24"/>
        </w:rPr>
        <w:t>K. pneumoniae</w:t>
      </w:r>
    </w:p>
    <w:p>
      <w:pPr>
        <w:rPr>
          <w:i/>
          <w:iCs/>
          <w:szCs w:val="24"/>
        </w:rPr>
      </w:pPr>
    </w:p>
    <w:p>
      <w:pPr>
        <w:rPr>
          <w:i/>
          <w:iCs/>
          <w:szCs w:val="24"/>
        </w:rPr>
      </w:pPr>
    </w:p>
    <w:p>
      <w:pPr>
        <w:rPr>
          <w:i/>
          <w:iCs/>
          <w:szCs w:val="24"/>
        </w:rPr>
      </w:pPr>
    </w:p>
    <w:p>
      <w:pPr>
        <w:rPr>
          <w:i/>
          <w:iCs/>
          <w:szCs w:val="24"/>
        </w:rPr>
      </w:pPr>
    </w:p>
    <w:p>
      <w:pPr>
        <w:rPr>
          <w:i/>
          <w:iCs/>
          <w:szCs w:val="24"/>
        </w:rPr>
      </w:pPr>
    </w:p>
    <w:p>
      <w:pPr>
        <w:rPr>
          <w:i/>
          <w:iCs/>
          <w:szCs w:val="24"/>
        </w:rPr>
      </w:pPr>
    </w:p>
    <w:p>
      <w:pPr>
        <w:rPr>
          <w:i/>
          <w:iCs/>
          <w:szCs w:val="24"/>
        </w:rPr>
      </w:pPr>
    </w:p>
    <w:p>
      <w:pPr>
        <w:rPr>
          <w:i/>
          <w:iCs/>
          <w:szCs w:val="24"/>
        </w:rPr>
      </w:pPr>
    </w:p>
    <w:p>
      <w:pPr>
        <w:rPr>
          <w:rFonts w:eastAsia="宋体"/>
          <w:i/>
          <w:iCs/>
          <w:szCs w:val="24"/>
          <w:lang w:eastAsia="zh-CN"/>
        </w:rPr>
        <w:sectPr>
          <w:type w:val="continuous"/>
          <w:pgSz w:w="11906" w:h="16838"/>
          <w:pgMar w:top="1440" w:right="1800" w:bottom="1440" w:left="1800" w:header="851" w:footer="992" w:gutter="0"/>
          <w:cols w:space="720" w:num="1"/>
          <w:docGrid w:type="lines" w:linePitch="312" w:charSpace="0"/>
        </w:sectPr>
      </w:pPr>
    </w:p>
    <w:p>
      <w:pPr>
        <w:spacing w:before="0" w:after="0"/>
        <w:rPr>
          <w:rFonts w:eastAsia="宋体"/>
          <w:i/>
          <w:iCs/>
          <w:szCs w:val="24"/>
          <w:lang w:eastAsia="zh-CN"/>
        </w:rPr>
      </w:pPr>
      <w:r>
        <w:rPr>
          <w:rFonts w:hint="eastAsia" w:eastAsia="宋体"/>
          <w:b/>
          <w:bCs/>
          <w:sz w:val="32"/>
          <w:szCs w:val="32"/>
          <w:lang w:eastAsia="zh-CN"/>
        </w:rPr>
        <w:t xml:space="preserve">A     </w:t>
      </w:r>
      <w:r>
        <w:rPr>
          <w:rFonts w:hint="eastAsia" w:eastAsia="宋体"/>
          <w:i/>
          <w:iCs/>
          <w:szCs w:val="24"/>
          <w:lang w:eastAsia="zh-CN"/>
        </w:rPr>
        <w:drawing>
          <wp:inline distT="0" distB="0" distL="114300" distR="114300">
            <wp:extent cx="5268595" cy="5268595"/>
            <wp:effectExtent l="0" t="0" r="4445" b="4445"/>
            <wp:docPr id="10" name="图片 10" descr="β内酰胺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β内酰胺类."/>
                    <pic:cNvPicPr>
                      <a:picLocks noChangeAspect="1"/>
                    </pic:cNvPicPr>
                  </pic:nvPicPr>
                  <pic:blipFill>
                    <a:blip r:embed="rId9"/>
                    <a:stretch>
                      <a:fillRect/>
                    </a:stretch>
                  </pic:blipFill>
                  <pic:spPr>
                    <a:xfrm>
                      <a:off x="0" y="0"/>
                      <a:ext cx="5268595" cy="5268595"/>
                    </a:xfrm>
                    <a:prstGeom prst="rect">
                      <a:avLst/>
                    </a:prstGeom>
                  </pic:spPr>
                </pic:pic>
              </a:graphicData>
            </a:graphic>
          </wp:inline>
        </w:drawing>
      </w: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i/>
          <w:iCs/>
          <w:szCs w:val="24"/>
          <w:lang w:eastAsia="zh-CN"/>
        </w:rPr>
      </w:pPr>
    </w:p>
    <w:p>
      <w:pPr>
        <w:spacing w:before="0" w:after="0"/>
        <w:rPr>
          <w:rFonts w:eastAsia="宋体"/>
          <w:b/>
          <w:bCs/>
          <w:sz w:val="32"/>
          <w:szCs w:val="32"/>
          <w:lang w:eastAsia="zh-CN"/>
        </w:rPr>
      </w:pPr>
      <w:r>
        <w:rPr>
          <w:rFonts w:hint="eastAsia" w:eastAsia="宋体"/>
          <w:b/>
          <w:bCs/>
          <w:sz w:val="32"/>
          <w:szCs w:val="32"/>
          <w:lang w:eastAsia="zh-CN"/>
        </w:rPr>
        <w:t>B</w:t>
      </w:r>
    </w:p>
    <w:p>
      <w:pPr>
        <w:spacing w:before="0" w:after="0"/>
        <w:rPr>
          <w:rFonts w:eastAsia="宋体"/>
          <w:i/>
          <w:iCs/>
          <w:szCs w:val="24"/>
          <w:lang w:eastAsia="zh-CN"/>
        </w:rPr>
      </w:pPr>
      <w:r>
        <w:rPr>
          <w:rFonts w:hint="eastAsia" w:eastAsia="宋体"/>
          <w:b/>
          <w:bCs/>
          <w:sz w:val="32"/>
          <w:szCs w:val="32"/>
          <w:lang w:eastAsia="zh-CN"/>
        </w:rPr>
        <w:drawing>
          <wp:inline distT="0" distB="0" distL="114300" distR="114300">
            <wp:extent cx="5270500" cy="5270500"/>
            <wp:effectExtent l="0" t="0" r="2540" b="2540"/>
            <wp:docPr id="11" name="图片 11" descr="氨基苷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氨基苷类"/>
                    <pic:cNvPicPr>
                      <a:picLocks noChangeAspect="1"/>
                    </pic:cNvPicPr>
                  </pic:nvPicPr>
                  <pic:blipFill>
                    <a:blip r:embed="rId10"/>
                    <a:stretch>
                      <a:fillRect/>
                    </a:stretch>
                  </pic:blipFill>
                  <pic:spPr>
                    <a:xfrm>
                      <a:off x="0" y="0"/>
                      <a:ext cx="5270500" cy="5270500"/>
                    </a:xfrm>
                    <a:prstGeom prst="rect">
                      <a:avLst/>
                    </a:prstGeom>
                  </pic:spPr>
                </pic:pic>
              </a:graphicData>
            </a:graphic>
          </wp:inline>
        </w:drawing>
      </w:r>
      <w:r>
        <w:rPr>
          <w:rFonts w:hint="eastAsia" w:eastAsia="宋体"/>
          <w:b/>
          <w:bCs/>
          <w:sz w:val="32"/>
          <w:szCs w:val="32"/>
          <w:lang w:eastAsia="zh-CN"/>
        </w:rPr>
        <w:t xml:space="preserve">     </w:t>
      </w: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i/>
          <w:iCs/>
          <w:szCs w:val="24"/>
          <w:lang w:eastAsia="zh-CN"/>
        </w:rPr>
      </w:pPr>
      <w:r>
        <w:rPr>
          <w:rFonts w:hint="eastAsia" w:eastAsia="宋体"/>
          <w:b/>
          <w:bCs/>
          <w:sz w:val="32"/>
          <w:szCs w:val="32"/>
          <w:lang w:eastAsia="zh-CN"/>
        </w:rPr>
        <w:t xml:space="preserve">C                                                                        </w:t>
      </w:r>
      <w:r>
        <w:rPr>
          <w:rFonts w:hint="eastAsia" w:eastAsia="宋体"/>
          <w:i/>
          <w:iCs/>
          <w:szCs w:val="24"/>
          <w:lang w:eastAsia="zh-CN"/>
        </w:rPr>
        <w:drawing>
          <wp:inline distT="0" distB="0" distL="114300" distR="114300">
            <wp:extent cx="5269230" cy="5269865"/>
            <wp:effectExtent l="0" t="0" r="3810" b="3175"/>
            <wp:docPr id="12" name="图片 12" descr="四环素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四环素类"/>
                    <pic:cNvPicPr>
                      <a:picLocks noChangeAspect="1"/>
                    </pic:cNvPicPr>
                  </pic:nvPicPr>
                  <pic:blipFill>
                    <a:blip r:embed="rId11"/>
                    <a:stretch>
                      <a:fillRect/>
                    </a:stretch>
                  </pic:blipFill>
                  <pic:spPr>
                    <a:xfrm>
                      <a:off x="0" y="0"/>
                      <a:ext cx="5269230" cy="5269865"/>
                    </a:xfrm>
                    <a:prstGeom prst="rect">
                      <a:avLst/>
                    </a:prstGeom>
                  </pic:spPr>
                </pic:pic>
              </a:graphicData>
            </a:graphic>
          </wp:inline>
        </w:drawing>
      </w:r>
      <w:r>
        <w:rPr>
          <w:rFonts w:hint="eastAsia" w:eastAsia="宋体"/>
          <w:i/>
          <w:iCs/>
          <w:szCs w:val="24"/>
          <w:lang w:eastAsia="zh-CN"/>
        </w:rPr>
        <w:t xml:space="preserve">   </w:t>
      </w: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r>
        <w:rPr>
          <w:rFonts w:hint="eastAsia" w:eastAsia="宋体"/>
          <w:b/>
          <w:bCs/>
          <w:sz w:val="32"/>
          <w:szCs w:val="32"/>
          <w:lang w:eastAsia="zh-CN"/>
        </w:rPr>
        <w:t xml:space="preserve">D   </w:t>
      </w:r>
    </w:p>
    <w:p>
      <w:pPr>
        <w:spacing w:before="0" w:after="0"/>
        <w:rPr>
          <w:rFonts w:eastAsia="宋体"/>
          <w:b/>
          <w:bCs/>
          <w:sz w:val="32"/>
          <w:szCs w:val="32"/>
          <w:lang w:eastAsia="zh-CN"/>
        </w:rPr>
      </w:pPr>
      <w:r>
        <w:rPr>
          <w:rFonts w:hint="eastAsia" w:eastAsia="宋体"/>
          <w:b/>
          <w:bCs/>
          <w:sz w:val="32"/>
          <w:szCs w:val="32"/>
          <w:lang w:eastAsia="zh-CN"/>
        </w:rPr>
        <w:drawing>
          <wp:inline distT="0" distB="0" distL="114300" distR="114300">
            <wp:extent cx="5270500" cy="5271770"/>
            <wp:effectExtent l="0" t="0" r="2540" b="1270"/>
            <wp:docPr id="14" name="图片 14" descr="喹诺酮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喹诺酮类"/>
                    <pic:cNvPicPr>
                      <a:picLocks noChangeAspect="1"/>
                    </pic:cNvPicPr>
                  </pic:nvPicPr>
                  <pic:blipFill>
                    <a:blip r:embed="rId12"/>
                    <a:stretch>
                      <a:fillRect/>
                    </a:stretch>
                  </pic:blipFill>
                  <pic:spPr>
                    <a:xfrm>
                      <a:off x="0" y="0"/>
                      <a:ext cx="5270500" cy="5271770"/>
                    </a:xfrm>
                    <a:prstGeom prst="rect">
                      <a:avLst/>
                    </a:prstGeom>
                  </pic:spPr>
                </pic:pic>
              </a:graphicData>
            </a:graphic>
          </wp:inline>
        </w:drawing>
      </w: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r>
        <w:rPr>
          <w:rFonts w:hint="eastAsia" w:eastAsia="宋体"/>
          <w:b/>
          <w:bCs/>
          <w:sz w:val="32"/>
          <w:szCs w:val="32"/>
          <w:lang w:eastAsia="zh-CN"/>
        </w:rPr>
        <w:t>E</w:t>
      </w:r>
    </w:p>
    <w:p>
      <w:pPr>
        <w:spacing w:before="0" w:after="0"/>
        <w:rPr>
          <w:rFonts w:eastAsia="宋体"/>
          <w:b/>
          <w:bCs/>
          <w:sz w:val="32"/>
          <w:szCs w:val="32"/>
          <w:lang w:eastAsia="zh-CN"/>
        </w:rPr>
      </w:pPr>
      <w:r>
        <w:rPr>
          <w:rFonts w:hint="eastAsia" w:eastAsia="宋体"/>
          <w:b/>
          <w:bCs/>
          <w:sz w:val="32"/>
          <w:szCs w:val="32"/>
          <w:lang w:eastAsia="zh-CN"/>
        </w:rPr>
        <w:drawing>
          <wp:inline distT="0" distB="0" distL="114300" distR="114300">
            <wp:extent cx="5273040" cy="5273040"/>
            <wp:effectExtent l="0" t="0" r="0" b="0"/>
            <wp:docPr id="13" name="图片 13" descr="磺胺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磺胺类"/>
                    <pic:cNvPicPr>
                      <a:picLocks noChangeAspect="1"/>
                    </pic:cNvPicPr>
                  </pic:nvPicPr>
                  <pic:blipFill>
                    <a:blip r:embed="rId13"/>
                    <a:stretch>
                      <a:fillRect/>
                    </a:stretch>
                  </pic:blipFill>
                  <pic:spPr>
                    <a:xfrm>
                      <a:off x="0" y="0"/>
                      <a:ext cx="5273040" cy="5273040"/>
                    </a:xfrm>
                    <a:prstGeom prst="rect">
                      <a:avLst/>
                    </a:prstGeom>
                  </pic:spPr>
                </pic:pic>
              </a:graphicData>
            </a:graphic>
          </wp:inline>
        </w:drawing>
      </w:r>
      <w:r>
        <w:rPr>
          <w:rFonts w:hint="eastAsia" w:eastAsia="宋体"/>
          <w:b/>
          <w:bCs/>
          <w:sz w:val="32"/>
          <w:szCs w:val="32"/>
          <w:lang w:eastAsia="zh-CN"/>
        </w:rPr>
        <w:t xml:space="preserve"> </w:t>
      </w: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p>
    <w:p>
      <w:pPr>
        <w:spacing w:before="0" w:after="0"/>
        <w:rPr>
          <w:rFonts w:eastAsia="宋体"/>
          <w:b/>
          <w:bCs/>
          <w:sz w:val="32"/>
          <w:szCs w:val="32"/>
          <w:lang w:eastAsia="zh-CN"/>
        </w:rPr>
      </w:pPr>
      <w:r>
        <w:rPr>
          <w:rFonts w:hint="eastAsia" w:eastAsia="宋体"/>
          <w:b/>
          <w:bCs/>
          <w:sz w:val="32"/>
          <w:szCs w:val="32"/>
          <w:lang w:eastAsia="zh-CN"/>
        </w:rPr>
        <w:t>F</w:t>
      </w:r>
    </w:p>
    <w:p>
      <w:pPr>
        <w:spacing w:before="0" w:after="0"/>
        <w:rPr>
          <w:rFonts w:eastAsia="宋体"/>
          <w:b/>
          <w:bCs/>
          <w:sz w:val="32"/>
          <w:szCs w:val="32"/>
          <w:lang w:eastAsia="zh-CN"/>
        </w:rPr>
      </w:pPr>
      <w:r>
        <w:rPr>
          <w:rFonts w:hint="eastAsia" w:eastAsia="宋体"/>
          <w:b/>
          <w:bCs/>
          <w:sz w:val="32"/>
          <w:szCs w:val="32"/>
          <w:lang w:eastAsia="zh-CN"/>
        </w:rPr>
        <w:drawing>
          <wp:inline distT="0" distB="0" distL="114300" distR="114300">
            <wp:extent cx="5271135" cy="5271135"/>
            <wp:effectExtent l="0" t="0" r="1905" b="1905"/>
            <wp:docPr id="15" name="图片 15" descr="酰胺醇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酰胺醇类"/>
                    <pic:cNvPicPr>
                      <a:picLocks noChangeAspect="1"/>
                    </pic:cNvPicPr>
                  </pic:nvPicPr>
                  <pic:blipFill>
                    <a:blip r:embed="rId14"/>
                    <a:stretch>
                      <a:fillRect/>
                    </a:stretch>
                  </pic:blipFill>
                  <pic:spPr>
                    <a:xfrm>
                      <a:off x="0" y="0"/>
                      <a:ext cx="5271135" cy="5271135"/>
                    </a:xfrm>
                    <a:prstGeom prst="rect">
                      <a:avLst/>
                    </a:prstGeom>
                  </pic:spPr>
                </pic:pic>
              </a:graphicData>
            </a:graphic>
          </wp:inline>
        </w:drawing>
      </w:r>
      <w:r>
        <w:rPr>
          <w:rFonts w:hint="eastAsia" w:eastAsia="宋体"/>
          <w:b/>
          <w:bCs/>
          <w:sz w:val="32"/>
          <w:szCs w:val="32"/>
          <w:lang w:eastAsia="zh-CN"/>
        </w:rPr>
        <w:t xml:space="preserve">                                                                             </w:t>
      </w:r>
    </w:p>
    <w:p>
      <w:pPr>
        <w:rPr>
          <w:rFonts w:eastAsia="宋体"/>
          <w:i/>
          <w:iCs/>
          <w:szCs w:val="24"/>
          <w:lang w:eastAsia="zh-CN"/>
        </w:rPr>
      </w:pPr>
      <w:r>
        <w:rPr>
          <w:rFonts w:hint="eastAsia" w:eastAsia="宋体"/>
          <w:i/>
          <w:iCs/>
          <w:szCs w:val="24"/>
          <w:lang w:eastAsia="zh-CN"/>
        </w:rPr>
        <w:t xml:space="preserve">       </w:t>
      </w:r>
    </w:p>
    <w:p>
      <w:pPr>
        <w:rPr>
          <w:rFonts w:eastAsia="宋体"/>
          <w:b/>
          <w:bCs/>
          <w:sz w:val="32"/>
          <w:szCs w:val="32"/>
          <w:lang w:eastAsia="zh-CN"/>
        </w:rPr>
      </w:pPr>
    </w:p>
    <w:p>
      <w:pPr>
        <w:rPr>
          <w:rFonts w:eastAsia="宋体"/>
          <w:b/>
          <w:bCs/>
          <w:sz w:val="32"/>
          <w:szCs w:val="32"/>
          <w:lang w:eastAsia="zh-CN"/>
        </w:rPr>
      </w:pPr>
    </w:p>
    <w:p>
      <w:pPr>
        <w:rPr>
          <w:rFonts w:eastAsia="宋体"/>
          <w:b/>
          <w:bCs/>
          <w:sz w:val="32"/>
          <w:szCs w:val="32"/>
          <w:lang w:eastAsia="zh-CN"/>
        </w:rPr>
      </w:pPr>
    </w:p>
    <w:p>
      <w:pPr>
        <w:rPr>
          <w:rFonts w:eastAsia="宋体"/>
          <w:b/>
          <w:bCs/>
          <w:sz w:val="32"/>
          <w:szCs w:val="32"/>
          <w:lang w:eastAsia="zh-CN"/>
        </w:rPr>
      </w:pPr>
    </w:p>
    <w:p>
      <w:pPr>
        <w:rPr>
          <w:rFonts w:eastAsia="宋体"/>
          <w:b/>
          <w:bCs/>
          <w:sz w:val="32"/>
          <w:szCs w:val="32"/>
          <w:lang w:eastAsia="zh-CN"/>
        </w:rPr>
      </w:pPr>
    </w:p>
    <w:p>
      <w:pPr>
        <w:rPr>
          <w:rFonts w:eastAsia="宋体"/>
          <w:b/>
          <w:bCs/>
          <w:sz w:val="32"/>
          <w:szCs w:val="32"/>
          <w:lang w:eastAsia="zh-CN"/>
        </w:rPr>
      </w:pPr>
      <w:r>
        <w:rPr>
          <w:rFonts w:hint="eastAsia" w:eastAsia="宋体"/>
          <w:b/>
          <w:bCs/>
          <w:sz w:val="32"/>
          <w:szCs w:val="32"/>
          <w:lang w:eastAsia="zh-CN"/>
        </w:rPr>
        <w:t>G</w:t>
      </w:r>
    </w:p>
    <w:p>
      <w:pPr>
        <w:rPr>
          <w:rFonts w:eastAsia="宋体"/>
          <w:b/>
          <w:bCs/>
          <w:sz w:val="32"/>
          <w:szCs w:val="32"/>
          <w:lang w:eastAsia="zh-CN"/>
        </w:rPr>
      </w:pPr>
      <w:r>
        <w:rPr>
          <w:rFonts w:hint="eastAsia" w:eastAsia="宋体"/>
          <w:b/>
          <w:bCs/>
          <w:sz w:val="32"/>
          <w:szCs w:val="32"/>
          <w:lang w:eastAsia="zh-CN"/>
        </w:rPr>
        <w:drawing>
          <wp:inline distT="0" distB="0" distL="114300" distR="114300">
            <wp:extent cx="5220970" cy="5220970"/>
            <wp:effectExtent l="0" t="0" r="6350" b="6350"/>
            <wp:docPr id="16" name="图片 16" descr="多黏和利福希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多黏和利福希明"/>
                    <pic:cNvPicPr>
                      <a:picLocks noChangeAspect="1"/>
                    </pic:cNvPicPr>
                  </pic:nvPicPr>
                  <pic:blipFill>
                    <a:blip r:embed="rId15"/>
                    <a:stretch>
                      <a:fillRect/>
                    </a:stretch>
                  </pic:blipFill>
                  <pic:spPr>
                    <a:xfrm>
                      <a:off x="0" y="0"/>
                      <a:ext cx="5220970" cy="5220970"/>
                    </a:xfrm>
                    <a:prstGeom prst="rect">
                      <a:avLst/>
                    </a:prstGeom>
                  </pic:spPr>
                </pic:pic>
              </a:graphicData>
            </a:graphic>
          </wp:inline>
        </w:drawing>
      </w:r>
    </w:p>
    <w:p>
      <w:pPr>
        <w:rPr>
          <w:color w:val="000000"/>
          <w:szCs w:val="21"/>
        </w:rPr>
      </w:pPr>
      <w:r>
        <w:rPr>
          <w:rFonts w:hint="eastAsia" w:eastAsia="宋体"/>
          <w:b/>
          <w:bCs/>
          <w:sz w:val="32"/>
          <w:szCs w:val="32"/>
          <w:lang w:eastAsia="zh-CN"/>
        </w:rPr>
        <w:t xml:space="preserve">   </w:t>
      </w:r>
      <w:r>
        <w:rPr>
          <w:rFonts w:hint="eastAsia" w:eastAsia="宋体"/>
          <w:b/>
          <w:bCs/>
          <w:lang w:eastAsia="zh-CN"/>
        </w:rPr>
        <w:t>Figure S1</w:t>
      </w:r>
      <w:r>
        <w:rPr>
          <w:rFonts w:hint="eastAsia" w:eastAsia="宋体"/>
          <w:lang w:eastAsia="zh-CN"/>
        </w:rPr>
        <w:t xml:space="preserve"> </w:t>
      </w:r>
      <w:r>
        <w:rPr>
          <w:rFonts w:cs="Times New Roman"/>
          <w:b/>
          <w:szCs w:val="24"/>
        </w:rPr>
        <w:t>(A)</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color w:val="000000"/>
          <w:szCs w:val="21"/>
        </w:rPr>
        <w:t>β-lactams</w:t>
      </w:r>
      <w:r>
        <w:rPr>
          <w:color w:val="000000"/>
          <w:szCs w:val="21"/>
        </w:rPr>
        <w:t xml:space="preserve">. </w:t>
      </w:r>
      <w:r>
        <w:rPr>
          <w:rFonts w:cs="Times New Roman"/>
          <w:b/>
          <w:szCs w:val="24"/>
        </w:rPr>
        <w:t>(</w:t>
      </w:r>
      <w:r>
        <w:rPr>
          <w:rFonts w:hint="eastAsia" w:eastAsia="宋体" w:cs="Times New Roman"/>
          <w:b/>
          <w:szCs w:val="24"/>
          <w:lang w:eastAsia="zh-CN"/>
        </w:rPr>
        <w:t>B</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a</w:t>
      </w:r>
      <w:r>
        <w:rPr>
          <w:rFonts w:hint="eastAsia"/>
          <w:color w:val="000000"/>
          <w:szCs w:val="21"/>
        </w:rPr>
        <w:t>minoglycosides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C</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tetracyclines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D</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quinolones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E</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sulfonamides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F)</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phenicols</w:t>
      </w:r>
      <w:r>
        <w:rPr>
          <w:color w:val="000000"/>
          <w:szCs w:val="21"/>
        </w:rPr>
        <w:t>.</w:t>
      </w:r>
      <w:r>
        <w:rPr>
          <w:rFonts w:hint="eastAsia" w:eastAsia="宋体"/>
          <w:color w:val="000000"/>
          <w:szCs w:val="21"/>
          <w:lang w:eastAsia="zh-CN"/>
        </w:rPr>
        <w:t xml:space="preserve"> </w:t>
      </w:r>
      <w:r>
        <w:rPr>
          <w:rFonts w:cs="Times New Roman"/>
          <w:b/>
          <w:szCs w:val="24"/>
        </w:rPr>
        <w:t>(</w:t>
      </w:r>
      <w:r>
        <w:rPr>
          <w:rFonts w:hint="eastAsia" w:eastAsia="宋体" w:cs="Times New Roman"/>
          <w:b/>
          <w:szCs w:val="24"/>
          <w:lang w:eastAsia="zh-CN"/>
        </w:rPr>
        <w:t>G</w:t>
      </w:r>
      <w:r>
        <w:rPr>
          <w:rFonts w:cs="Times New Roman"/>
          <w:b/>
          <w:szCs w:val="24"/>
        </w:rPr>
        <w:t>)</w:t>
      </w:r>
      <w:r>
        <w:rPr>
          <w:color w:val="000000"/>
          <w:szCs w:val="21"/>
        </w:rPr>
        <w:t xml:space="preserve">The resistance phenotypes and resistance genes of 239 </w:t>
      </w:r>
      <w:r>
        <w:rPr>
          <w:i/>
          <w:iCs/>
          <w:color w:val="000000"/>
          <w:szCs w:val="21"/>
        </w:rPr>
        <w:t>K. pneumoniae</w:t>
      </w:r>
      <w:r>
        <w:rPr>
          <w:color w:val="000000"/>
          <w:szCs w:val="21"/>
        </w:rPr>
        <w:t xml:space="preserve"> of </w:t>
      </w:r>
      <w:r>
        <w:rPr>
          <w:rFonts w:hint="eastAsia" w:eastAsia="宋体"/>
          <w:color w:val="000000"/>
          <w:szCs w:val="21"/>
          <w:lang w:eastAsia="zh-CN"/>
        </w:rPr>
        <w:t xml:space="preserve"> polymyxins and rifamycins </w:t>
      </w:r>
      <w:r>
        <w:rPr>
          <w:color w:val="000000"/>
          <w:szCs w:val="21"/>
        </w:rPr>
        <w:t>.</w:t>
      </w:r>
      <w:r>
        <w:rPr>
          <w:rFonts w:hint="eastAsia" w:eastAsia="宋体"/>
          <w:color w:val="000000"/>
          <w:szCs w:val="21"/>
          <w:lang w:eastAsia="zh-CN"/>
        </w:rPr>
        <w:t xml:space="preserve"> </w:t>
      </w:r>
      <w:r>
        <w:rPr>
          <w:color w:val="000000"/>
          <w:szCs w:val="21"/>
        </w:rPr>
        <w:t xml:space="preserve">The </w:t>
      </w:r>
      <w:r>
        <w:rPr>
          <w:rFonts w:hint="eastAsia"/>
          <w:color w:val="000000"/>
          <w:szCs w:val="21"/>
        </w:rPr>
        <w:t>magenta</w:t>
      </w:r>
      <w:r>
        <w:rPr>
          <w:color w:val="000000"/>
          <w:szCs w:val="21"/>
        </w:rPr>
        <w:t xml:space="preserve"> </w:t>
      </w:r>
      <w:r>
        <w:rPr>
          <w:rFonts w:hint="eastAsia"/>
          <w:color w:val="000000"/>
          <w:szCs w:val="21"/>
        </w:rPr>
        <w:t>filled square</w:t>
      </w:r>
      <w:r>
        <w:rPr>
          <w:color w:val="000000"/>
          <w:szCs w:val="21"/>
        </w:rPr>
        <w:t xml:space="preserve"> represent resistance to the antibiotic and </w:t>
      </w:r>
      <w:r>
        <w:rPr>
          <w:rFonts w:hint="eastAsia"/>
          <w:color w:val="000000"/>
          <w:szCs w:val="21"/>
        </w:rPr>
        <w:t>brown</w:t>
      </w:r>
      <w:r>
        <w:t xml:space="preserve"> </w:t>
      </w:r>
      <w:r>
        <w:rPr>
          <w:rFonts w:hint="eastAsia"/>
        </w:rPr>
        <w:t>filled</w:t>
      </w:r>
      <w:r>
        <w:rPr>
          <w:rFonts w:hint="eastAsia"/>
          <w:szCs w:val="24"/>
        </w:rPr>
        <w:t xml:space="preserve"> </w:t>
      </w:r>
      <w:r>
        <w:rPr>
          <w:rFonts w:hint="eastAsia"/>
          <w:color w:val="000000"/>
          <w:szCs w:val="24"/>
        </w:rPr>
        <w:t>circle</w:t>
      </w:r>
      <w:r>
        <w:rPr>
          <w:color w:val="000000"/>
          <w:szCs w:val="24"/>
        </w:rPr>
        <w:t xml:space="preserve"> represent the presence of resistance genes, respectively white </w:t>
      </w:r>
      <w:r>
        <w:rPr>
          <w:rFonts w:hint="eastAsia"/>
          <w:color w:val="000000"/>
          <w:szCs w:val="24"/>
        </w:rPr>
        <w:t>unfilled square and circle</w:t>
      </w:r>
      <w:r>
        <w:rPr>
          <w:color w:val="000000"/>
          <w:szCs w:val="24"/>
        </w:rPr>
        <w:t xml:space="preserve"> represents non-resistant and absence.</w:t>
      </w:r>
    </w:p>
    <w:p>
      <w:pPr>
        <w:rPr>
          <w:i/>
          <w:iCs/>
          <w:szCs w:val="24"/>
        </w:rPr>
      </w:pPr>
    </w:p>
    <w:p>
      <w:pPr>
        <w:rPr>
          <w:i/>
          <w:iCs/>
          <w:szCs w:val="24"/>
        </w:rPr>
        <w:sectPr>
          <w:type w:val="continuous"/>
          <w:pgSz w:w="11906" w:h="16838"/>
          <w:pgMar w:top="1440" w:right="1800" w:bottom="1440" w:left="1800" w:header="851" w:footer="992" w:gutter="0"/>
          <w:cols w:space="720" w:num="1"/>
          <w:docGrid w:type="lines" w:linePitch="312" w:charSpace="0"/>
        </w:sectPr>
      </w:pPr>
    </w:p>
    <w:p>
      <w:pPr>
        <w:spacing w:before="0"/>
        <w:rPr>
          <w:szCs w:val="24"/>
        </w:rPr>
      </w:pPr>
      <w:r>
        <w:rPr>
          <w:rFonts w:hint="eastAsia"/>
          <w:b/>
          <w:bCs/>
          <w:szCs w:val="24"/>
          <w:lang w:eastAsia="zh-CN"/>
        </w:rPr>
        <w:t>T</w:t>
      </w:r>
      <w:r>
        <w:rPr>
          <w:b/>
          <w:bCs/>
          <w:szCs w:val="24"/>
        </w:rPr>
        <w:t>able S1</w:t>
      </w:r>
      <w:r>
        <w:rPr>
          <w:rFonts w:hint="eastAsia"/>
          <w:b/>
          <w:bCs/>
          <w:szCs w:val="24"/>
        </w:rPr>
        <w:t xml:space="preserve"> </w:t>
      </w:r>
      <w:r>
        <w:rPr>
          <w:szCs w:val="24"/>
        </w:rPr>
        <w:t>Primers of virulence genes in this study</w:t>
      </w:r>
    </w:p>
    <w:tbl>
      <w:tblPr>
        <w:tblStyle w:val="20"/>
        <w:tblW w:w="4924" w:type="pct"/>
        <w:jc w:val="center"/>
        <w:tblBorders>
          <w:top w:val="single" w:color="000000"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51" w:type="dxa"/>
          <w:bottom w:w="0" w:type="dxa"/>
          <w:right w:w="51" w:type="dxa"/>
        </w:tblCellMar>
      </w:tblPr>
      <w:tblGrid>
        <w:gridCol w:w="1475"/>
        <w:gridCol w:w="777"/>
        <w:gridCol w:w="209"/>
        <w:gridCol w:w="3572"/>
        <w:gridCol w:w="631"/>
        <w:gridCol w:w="653"/>
        <w:gridCol w:w="964"/>
      </w:tblGrid>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rFonts w:hint="eastAsia"/>
                <w:sz w:val="20"/>
                <w:szCs w:val="20"/>
              </w:rPr>
              <w:t>Gene type</w:t>
            </w:r>
          </w:p>
        </w:tc>
        <w:tc>
          <w:tcPr>
            <w:tcW w:w="595" w:type="pct"/>
            <w:gridSpan w:val="2"/>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sz w:val="20"/>
                <w:szCs w:val="20"/>
              </w:rPr>
              <w:t>Primes</w:t>
            </w:r>
            <w:r>
              <w:rPr>
                <w:rFonts w:hint="eastAsia"/>
                <w:sz w:val="20"/>
                <w:szCs w:val="20"/>
                <w:vertAlign w:val="superscript"/>
              </w:rPr>
              <w:t>a</w:t>
            </w:r>
          </w:p>
        </w:tc>
        <w:tc>
          <w:tcPr>
            <w:tcW w:w="2156" w:type="pct"/>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rFonts w:hint="eastAsia"/>
                <w:sz w:val="20"/>
                <w:szCs w:val="20"/>
              </w:rPr>
              <w:t>Sequence (</w:t>
            </w:r>
            <w:r>
              <w:rPr>
                <w:sz w:val="20"/>
                <w:szCs w:val="20"/>
              </w:rPr>
              <w:t>5’-3’</w:t>
            </w:r>
            <w:r>
              <w:rPr>
                <w:rFonts w:hint="eastAsia" w:ascii="宋体" w:hAnsi="宋体"/>
                <w:sz w:val="20"/>
                <w:szCs w:val="20"/>
              </w:rPr>
              <w:t>)</w:t>
            </w:r>
          </w:p>
        </w:tc>
        <w:tc>
          <w:tcPr>
            <w:tcW w:w="381" w:type="pct"/>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rFonts w:hint="eastAsia"/>
                <w:sz w:val="20"/>
                <w:szCs w:val="20"/>
              </w:rPr>
              <w:t>AL</w:t>
            </w:r>
            <w:r>
              <w:rPr>
                <w:rFonts w:hint="eastAsia"/>
                <w:sz w:val="20"/>
                <w:szCs w:val="20"/>
                <w:vertAlign w:val="superscript"/>
              </w:rPr>
              <w:t xml:space="preserve">b </w:t>
            </w:r>
            <w:r>
              <w:rPr>
                <w:rFonts w:hint="eastAsia"/>
                <w:sz w:val="20"/>
                <w:szCs w:val="20"/>
              </w:rPr>
              <w:t>(</w:t>
            </w:r>
            <w:r>
              <w:rPr>
                <w:sz w:val="20"/>
                <w:szCs w:val="20"/>
              </w:rPr>
              <w:t>bp</w:t>
            </w:r>
            <w:r>
              <w:rPr>
                <w:rFonts w:hint="eastAsia" w:ascii="宋体" w:hAnsi="宋体"/>
                <w:sz w:val="20"/>
                <w:szCs w:val="20"/>
              </w:rPr>
              <w:t>)</w:t>
            </w:r>
          </w:p>
        </w:tc>
        <w:tc>
          <w:tcPr>
            <w:tcW w:w="394" w:type="pct"/>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rFonts w:hint="eastAsia"/>
                <w:sz w:val="20"/>
                <w:szCs w:val="20"/>
              </w:rPr>
              <w:t>AT</w:t>
            </w:r>
            <w:r>
              <w:rPr>
                <w:rFonts w:hint="eastAsia"/>
                <w:sz w:val="20"/>
                <w:szCs w:val="20"/>
                <w:vertAlign w:val="superscript"/>
              </w:rPr>
              <w:t xml:space="preserve">c </w:t>
            </w:r>
            <w:r>
              <w:rPr>
                <w:rFonts w:hint="eastAsia"/>
                <w:sz w:val="20"/>
                <w:szCs w:val="20"/>
              </w:rPr>
              <w:t>(</w:t>
            </w:r>
            <w:r>
              <w:rPr>
                <w:sz w:val="20"/>
                <w:szCs w:val="20"/>
              </w:rPr>
              <w:t>℃</w:t>
            </w:r>
            <w:r>
              <w:rPr>
                <w:rFonts w:hint="eastAsia" w:ascii="宋体" w:hAnsi="宋体"/>
                <w:sz w:val="20"/>
                <w:szCs w:val="20"/>
              </w:rPr>
              <w:t>)</w:t>
            </w:r>
          </w:p>
        </w:tc>
        <w:tc>
          <w:tcPr>
            <w:tcW w:w="582" w:type="pct"/>
            <w:tcBorders>
              <w:top w:val="single" w:color="000000" w:sz="4" w:space="0"/>
              <w:left w:val="nil"/>
              <w:bottom w:val="single" w:color="000000" w:sz="4" w:space="0"/>
              <w:right w:val="nil"/>
            </w:tcBorders>
            <w:vAlign w:val="center"/>
          </w:tcPr>
          <w:p>
            <w:pPr>
              <w:spacing w:before="0" w:after="0" w:line="240" w:lineRule="atLeast"/>
              <w:jc w:val="center"/>
              <w:rPr>
                <w:sz w:val="20"/>
                <w:szCs w:val="20"/>
              </w:rPr>
            </w:pPr>
            <w:r>
              <w:rPr>
                <w:bCs/>
                <w:sz w:val="20"/>
                <w:szCs w:val="20"/>
              </w:rPr>
              <w:t>Reference</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T</w:t>
            </w:r>
            <w:r>
              <w:rPr>
                <w:sz w:val="20"/>
                <w:szCs w:val="20"/>
              </w:rPr>
              <w:t>ransporter</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peg344</w:t>
            </w:r>
          </w:p>
        </w:tc>
        <w:tc>
          <w:tcPr>
            <w:tcW w:w="125" w:type="pct"/>
            <w:tcBorders>
              <w:top w:val="nil"/>
              <w:left w:val="nil"/>
              <w:bottom w:val="nil"/>
              <w:right w:val="nil"/>
            </w:tcBorders>
          </w:tcPr>
          <w:p>
            <w:pPr>
              <w:spacing w:before="0" w:after="0" w:line="240" w:lineRule="atLeast"/>
              <w:jc w:val="center"/>
              <w:rPr>
                <w:iCs/>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AAAGGACAGAAAGCCAGTG</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411</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53</w:t>
            </w:r>
          </w:p>
        </w:tc>
        <w:tc>
          <w:tcPr>
            <w:tcW w:w="582" w:type="pct"/>
            <w:tcBorders>
              <w:top w:val="nil"/>
              <w:left w:val="nil"/>
              <w:bottom w:val="nil"/>
              <w:right w:val="nil"/>
            </w:tcBorders>
          </w:tcPr>
          <w:p>
            <w:pPr>
              <w:spacing w:before="0" w:after="0" w:line="240" w:lineRule="atLeast"/>
              <w:jc w:val="center"/>
              <w:rPr>
                <w:sz w:val="20"/>
                <w:szCs w:val="20"/>
              </w:rPr>
            </w:pPr>
            <w:r>
              <w:rPr>
                <w:sz w:val="20"/>
                <w:szCs w:val="20"/>
              </w:rPr>
              <w:fldChar w:fldCharType="begin" w:fldLock="1"/>
            </w:r>
            <w:r>
              <w:rPr>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sz w:val="20"/>
                <w:szCs w:val="20"/>
              </w:rPr>
              <w:fldChar w:fldCharType="separate"/>
            </w:r>
            <w:r>
              <w:rPr>
                <w:sz w:val="20"/>
                <w:szCs w:val="20"/>
              </w:rPr>
              <w:t>(Harada and Doia, 2018)</w:t>
            </w:r>
            <w:r>
              <w:rPr>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Cs/>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CAATGACGAGGGGGATAATC</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F</w:t>
            </w:r>
            <w:r>
              <w:rPr>
                <w:sz w:val="20"/>
                <w:szCs w:val="20"/>
              </w:rPr>
              <w:t>imbriae synthesis-</w:t>
            </w:r>
            <w:r>
              <w:rPr>
                <w:rFonts w:hint="eastAsia"/>
                <w:sz w:val="20"/>
                <w:szCs w:val="20"/>
              </w:rPr>
              <w:t xml:space="preserve"> </w:t>
            </w:r>
            <w:r>
              <w:rPr>
                <w:sz w:val="20"/>
                <w:szCs w:val="20"/>
              </w:rPr>
              <w:t>related</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fimH</w:t>
            </w: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TGCTGCTGGGCTGGTCGATG</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688</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60</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{"citationItems":[{"id":"ITEM-1","itemData":{"author":[{"dropping-particle":"","family":"Xu SB, Yang SY, Weng SS, Chen C, Zhang WH","given":"Jin JL","non-dropping-particle":"","parse-names":false,"suffix":""}],"container-title":"Journal of Microbes and Infection","id":"ITEM-1","issue":"06","issued":{"date-parts":[["2019"]]},"page":"338-344","title":"Distribution of serotypes and virulence genes in hypervirulent Klebsiella pneumoniae and exploration of molecular markers","type":"article-journal","volume":"14"},"uris":["http://www.mendeley.com/documents/?uuid=09a6879c-b86e-4f4b-8eeb-afd999ffb311"]}],"mendeley":{"formattedCitation":"(Xu SB, Yang SY, Weng SS, Chen C, Zhang WH, 2019)","plainTextFormattedCitation":"(Xu SB, Yang SY, Weng SS, Chen C, Zhang WH, 2019)","previouslyFormattedCitation":"(Xu SB, Yang SY, Weng SS, Chen C, Zhang WH, 2019)"},"properties":{"noteIndex":0},"schema":"https://github.com/citation-style-language/schema/raw/master/csl-citation.json"}</w:instrText>
            </w:r>
            <w:r>
              <w:rPr>
                <w:bCs/>
                <w:sz w:val="20"/>
                <w:szCs w:val="20"/>
              </w:rPr>
              <w:fldChar w:fldCharType="separate"/>
            </w:r>
            <w:r>
              <w:rPr>
                <w:bCs/>
                <w:sz w:val="20"/>
                <w:szCs w:val="20"/>
              </w:rPr>
              <w:t>(Xu SB, Yang SY, Weng SS, Chen C, Zhang WH, 2019)</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GGGAGGGTGACGGTGACATC</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Cs/>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mrkD</w:t>
            </w: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AAGCTATCGCTGTACTTCCGGCA</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340</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60</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{"citationItems":[{"id":"ITEM-1","itemData":{"DOI":"10.1002/jcla.22838","ISSN":"10982825","PMID":"30737883","abstract":"Background: The emerging pks-positive (pks+) strains have aroused great public concern recently. Colibactin, encoded by pks gene cluster, has been reported to be involved in DNA damage and increased virulence. Little is known about its prevalence among Klebsiella pneumoniae-induced bloodstream infections (BSIs). Therefore, the aim of this study was to investigate the prevalence of pks gene cluster, and molecular and clinical characteristics of K pneumoniae-induced BSIs. Methods: A total of 190 non-duplicate K pneumoniae bloodstream isolates were collected at a university hospital in China from March 2016 to March 2018. Molecular characteristics including capsular types, virulence, and pks genes were detected by polymerase chain reaction (PCR). Clinical characteristics and antimicrobial susceptibility were also investigated. Results: Overall, 21.6% (41/190) of K pneumoniae bloodstream isolates were hypervirulent K pneumoniae(hvKP). The prevalence of pks gene cluster was 26.8% (51/190). The positive rates of K1, K57, and genes associated with hypervirulence, that is, rmpA, wcaG, mrkD, allS, ybtS, kfu,and iucA, were significantly higher in the pks+isolates than the pks-negative (pks−) isolates (P &lt; 0.05), while the pks+ isolates were significantly less resistant to 11 antimicrobial agents than the pks− isolates. Multivariate analysis showed diabetes mellitus, and K1 and K20 capsular types as independent risk factors for pks+ K pneumoniaebloodstream infections. Conclusions: The pks+ K pneumoniae was prevalent in individuals with bloodstream infections in mainland China. The high rates of hypervirulent determinants among pks+ K pneumoniaerevealed the potential pathogenicity of this emerging gene cluster. Diabetes mellitus, and K1 and K20 capsular types were identified as independent risk factors associated with pks+ K pneumoniaebloodstream infections. This study highlights the significance of clinical awareness and epidemic surveillance of pks+strains.","author":[{"dropping-particle":"","family":"Lan","given":"You","non-dropping-particle":"","parse-names":false,"suffix":""},{"dropping-particle":"","family":"Zhou","given":"Mao","non-dropping-particle":"","parse-names":false,"suffix":""},{"dropping-particle":"","family":"Jian","given":"Zijuan","non-dropping-particle":"","parse-names":false,"suffix":""},{"dropping-particle":"","family":"Yan","given":"Qun","non-dropping-particle":"","parse-names":false,"suffix":""},{"dropping-particle":"","family":"Wang","given":"Siyi","non-dropping-particle":"","parse-names":false,"suffix":""},{"dropping-particle":"","family":"Liu","given":"Wenen","non-dropping-particle":"","parse-names":false,"suffix":""}],"container-title":"Journal of Clinical Laboratory Analysis","id":"ITEM-1","issue":"4","issued":{"date-parts":[["2019"]]},"page":"1-7","title":"Prevalence of pks gene cluster and characteristics of Klebsiella pneumoniae-induced bloodstream infections","type":"article-journal","volume":"33"},"uris":["http://www.mendeley.com/documents/?uuid=c7bdc81e-6c95-4d1a-841f-0aa9df93d910"]}],"mendeley":{"formattedCitation":"(Lan et al., 2019)","plainTextFormattedCitation":"(Lan et al., 2019)","previouslyFormattedCitation":"(Lan et al., 2019)"},"properties":{"noteIndex":0},"schema":"https://github.com/citation-style-language/schema/raw/master/csl-citation.json"}</w:instrText>
            </w:r>
            <w:r>
              <w:rPr>
                <w:b/>
                <w:sz w:val="20"/>
                <w:szCs w:val="20"/>
              </w:rPr>
              <w:fldChar w:fldCharType="separate"/>
            </w:r>
            <w:r>
              <w:rPr>
                <w:sz w:val="20"/>
                <w:szCs w:val="20"/>
              </w:rPr>
              <w:t>(Lan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sz w:val="20"/>
                <w:szCs w:val="20"/>
              </w:rPr>
            </w:pP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GGCGTTGGCGCTCAGATAGG</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L</w:t>
            </w:r>
            <w:r>
              <w:rPr>
                <w:sz w:val="20"/>
                <w:szCs w:val="20"/>
              </w:rPr>
              <w:t>ipopolysaccharide-related</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uge</w:t>
            </w: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TCTTCACGCCTTCCTTCACT</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534</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53</w:t>
            </w:r>
          </w:p>
        </w:tc>
        <w:tc>
          <w:tcPr>
            <w:tcW w:w="582" w:type="pct"/>
            <w:tcBorders>
              <w:top w:val="nil"/>
              <w:left w:val="nil"/>
              <w:bottom w:val="nil"/>
              <w:right w:val="nil"/>
            </w:tcBorders>
            <w:vAlign w:val="center"/>
          </w:tcPr>
          <w:p>
            <w:pPr>
              <w:autoSpaceDE w:val="0"/>
              <w:autoSpaceDN w:val="0"/>
              <w:adjustRightInd w:val="0"/>
              <w:spacing w:before="0" w:after="0" w:line="240" w:lineRule="atLeast"/>
              <w:jc w:val="center"/>
              <w:rPr>
                <w:rFonts w:ascii="宋体" w:hAnsi="宋体"/>
                <w:sz w:val="20"/>
                <w:szCs w:val="20"/>
              </w:rPr>
            </w:pPr>
            <w:r>
              <w:rPr>
                <w:bCs/>
                <w:sz w:val="20"/>
                <w:szCs w:val="20"/>
              </w:rPr>
              <w:fldChar w:fldCharType="begin" w:fldLock="1"/>
            </w:r>
            <w:r>
              <w:rPr>
                <w:bCs/>
                <w:sz w:val="20"/>
                <w:szCs w:val="20"/>
              </w:rPr>
              <w:instrText xml:space="preserve">ADDIN CSL_CITATION {"citationItems":[{"id":"ITEM-1","itemData":{"DOI":"10.1179/2047773214Y.0000000141","ISSN":"20477732","PMID":"24915048","abstract":"Studies on the prevalence and virulence genes of Klebsiella mastitis pathogens in a buffalo population are undocumented. Also, the association of rmpA kfu, uge, magA, Aerobactin, K1 and K2 virulent factors with K. pneumoniae buffalo, and cow mastitis is unreported. The virulence of K. pneumoniae was evaluated through both phenotypic and molecular assays. In vivo virulence was assessed by the Vero cell cytotoxicity, suckling mouse assay and mice lethality test. Antimicrobial susceptibility was tested by disk diffusion method. The 45 K. pneumoniae isolates from buffalo (n510/232) and cow (n535/293) milk were isolated (45/525; 8.6%) and screened via PCR for seven virulence genes encoding uridine diphosphate galactose 4 epimerase encoding gene responsible for capsule and smooth lipopolysaccharide synthesis (uge), siderophores (kfu and aerobactin), protectines or invasins (rmpA and magA), and the capsule and hypermucoviscosity (K1 and K2). The most common virulence genes were rmpA, kfu, uge, and magA (77.8% each). Aerobactin and K1 genes were found at medium rates of 66.7% each and K2 (55.6%). The Vero cell cytotoxicity and LD (50) in mice were found in 100% of isolates. A multidrug resistance pattern was observed for 40% of the antimicrobials. The distribution of virulence profiles indicate a role of rmpA, kfu, uge, magA, Aerobactin, and K1 and K2 in pathogenicity of K. pneumoniae in udder infections and invasiveness, and constitutes a threat for vulnerable animals, even more if they are in combination with antibiotic resistance. © W. S. Maney &amp; Son Ltd 2014.","author":[{"dropping-particle":"","family":"Osman","given":"Kamelia M.","non-dropping-particle":"","parse-names":false,"suffix":""},{"dropping-particle":"","family":"Hassan","given":"Hany M.","non-dropping-particle":"","parse-names":false,"suffix":""},{"dropping-particle":"","family":"Orabi","given":"Ahmed","non-dropping-particle":"","parse-names":false,"suffix":""},{"dropping-particle":"","family":"Abdelhafez","given":"Ahmed S.T.","non-dropping-particle":"","parse-names":false,"suffix":""}],"container-title":"Pathogens and Global Health","id":"ITEM-1","issue":"4","issued":{"date-parts":[["2014"]]},"page":"191-199","title":"Phenotypic, antimicrobial susceptibility profile and virulence factors of Klebsiella pneumoniae isolated from buffalo and cow mastitic milk","type":"article-journal","volume":"108"},"uris":["http://www.mendeley.com/documents/?uuid=3e723eac-6a63-44c6-a3d0-c66491b16d29"]}],"mendeley":{"formattedCitation":"(Osman et al., 2014)","plainTextFormattedCitation":"(Osman et al., 2014)","previouslyFormattedCitation":"(Osman et al., 2014)"},"properties":{"noteIndex":0},"schema":"https://github.com/citation-style-language/schema/raw/master/csl-citation.json"}</w:instrText>
            </w:r>
            <w:r>
              <w:rPr>
                <w:bCs/>
                <w:sz w:val="20"/>
                <w:szCs w:val="20"/>
              </w:rPr>
              <w:fldChar w:fldCharType="separate"/>
            </w:r>
            <w:r>
              <w:rPr>
                <w:bCs/>
                <w:sz w:val="20"/>
                <w:szCs w:val="20"/>
              </w:rPr>
              <w:t>(Osman et al., 2014)</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Cs/>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GATCATCCGGTCTCCCTGTA</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Cs/>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wabG</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ACCATCGGCCATTTGATAGA</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683</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53</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{"citationItems":[{"id":"ITEM-1","itemData":{"author":[{"dropping-particle":"","family":"Xu SB, Yang SY, Weng SS, Chen C, Zhang WH","given":"Jin JL","non-dropping-particle":"","parse-names":false,"suffix":""}],"container-title":"Journal of Microbes and Infection","id":"ITEM-1","issue":"06","issued":{"date-parts":[["2019"]]},"page":"338-344","title":"Distribution of serotypes and virulence genes in hypervirulent Klebsiella pneumoniae and exploration of molecular markers","type":"article-journal","volume":"14"},"uris":["http://www.mendeley.com/documents/?uuid=09a6879c-b86e-4f4b-8eeb-afd999ffb311"]}],"mendeley":{"formattedCitation":"(Xu SB, Yang SY, Weng SS, Chen C, Zhang WH, 2019)","plainTextFormattedCitation":"(Xu SB, Yang SY, Weng SS, Chen C, Zhang WH, 2019)","previouslyFormattedCitation":"(Xu SB, Yang SY, Weng SS, Chen C, Zhang WH, 2019)"},"properties":{"noteIndex":0},"schema":"https://github.com/citation-style-language/schema/raw/master/csl-citation.json"}</w:instrText>
            </w:r>
            <w:r>
              <w:rPr>
                <w:b/>
                <w:sz w:val="20"/>
                <w:szCs w:val="20"/>
              </w:rPr>
              <w:fldChar w:fldCharType="separate"/>
            </w:r>
            <w:r>
              <w:rPr>
                <w:sz w:val="20"/>
                <w:szCs w:val="20"/>
              </w:rPr>
              <w:t>(Xu SB, Yang SY, Weng SS, Chen C, Zhang WH,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CGGACTGGCAGATCCATATC</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C</w:t>
            </w:r>
            <w:r>
              <w:rPr>
                <w:sz w:val="20"/>
                <w:szCs w:val="20"/>
              </w:rPr>
              <w:t>apsular polysaccharide synthesis and synthesis regulation related</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wcaG</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GGTTGGGTCAGCAATCGTA</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169</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58</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{"citationItems":[{"id":"ITEM-1","itemData":{"DOI":"10.1093/labmed/lmw030","ISSN":"19437730","PMID":"27498999","abstract":"Objective: To investigate the presence of rmpA and wcaG virulence genes and Class 1, 2, and 3 integrons, and to evaluate a relationship between antibiotic resistance and virulence in Klebsiella pneumoniae. Methods: We collected a total of 200 K. pneumoniae isolates from hospitals in Tehran, Iran. Antibiotic susceptibility was determined using the disk diffusion method. The extended-spectrum b-lactamase (ESBL) producers were detected using the combination disk method. We detected the rmpA and wcaG genes and class 1, 2, and 3 integrons via polymerase chain reaction (PCR). The v2 test was used for statistical evaluation. Results: Of 200 isolates, 115 (57.5%) were ESBL producers; 74.0% carried the class 1 integron, and 1.0% carried the class 2 integron. The gene rmpA was detected in 7% of isolates and the gene wcaG in 23.5% of isolates. Integron-positive isolates showed a higher prevalence of wcaG compared with to integron-negative isolates (P &lt;.05). Conclusion: Our results showed a correlation between presence of virulence gene and antibiotic resistance in K. pneumoniae.","author":[{"dropping-particle":"","family":"Derakhshan","given":"Safoura","non-dropping-particle":"","parse-names":false,"suffix":""},{"dropping-particle":"","family":"Peerayeh","given":"Shahin Najar","non-dropping-particle":"","parse-names":false,"suffix":""},{"dropping-particle":"","family":"Bakhshi","given":"Bita","non-dropping-particle":"","parse-names":false,"suffix":""}],"container-title":"Lab Medicine","id":"ITEM-1","issue":"4","issued":{"date-parts":[["2016"]]},"page":"306-311","title":"Association between presence of virulence genes and antibiotic resistance in clinical klebsiella pneumoniae isolates","type":"article-journal","volume":"47"},"uris":["http://www.mendeley.com/documents/?uuid=d42b6c58-7958-469c-8399-7084b1c0b085"]}],"mendeley":{"formattedCitation":"(Derakhshan et al., 2016)","plainTextFormattedCitation":"(Derakhshan et al., 2016)","previouslyFormattedCitation":"(Derakhshan et al., 2016)"},"properties":{"noteIndex":0},"schema":"https://github.com/citation-style-language/schema/raw/master/csl-citation.json"}</w:instrText>
            </w:r>
            <w:r>
              <w:rPr>
                <w:bCs/>
                <w:sz w:val="20"/>
                <w:szCs w:val="20"/>
              </w:rPr>
              <w:fldChar w:fldCharType="separate"/>
            </w:r>
            <w:r>
              <w:rPr>
                <w:bCs/>
                <w:sz w:val="20"/>
                <w:szCs w:val="20"/>
              </w:rPr>
              <w:t>(Derakhshan et al., 2016)</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ACTATTCCGCCAACTTTTGC</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rFonts w:eastAsia="TimesNewRomanPS-ItalicMT"/>
                <w:i/>
                <w:sz w:val="20"/>
                <w:szCs w:val="20"/>
                <w:vertAlign w:val="subscript"/>
              </w:rPr>
              <w:t>c</w:t>
            </w:r>
            <w:r>
              <w:rPr>
                <w:rFonts w:eastAsia="TimesNewRomanPS-ItalicMT"/>
                <w:i/>
                <w:sz w:val="20"/>
                <w:szCs w:val="20"/>
              </w:rPr>
              <w:t>rmpA</w:t>
            </w:r>
          </w:p>
        </w:tc>
        <w:tc>
          <w:tcPr>
            <w:tcW w:w="125" w:type="pct"/>
            <w:tcBorders>
              <w:top w:val="nil"/>
              <w:left w:val="nil"/>
              <w:bottom w:val="nil"/>
              <w:right w:val="nil"/>
            </w:tcBorders>
            <w:vAlign w:val="center"/>
          </w:tcPr>
          <w:p>
            <w:pPr>
              <w:spacing w:before="0" w:after="0" w:line="240" w:lineRule="atLeast"/>
              <w:jc w:val="center"/>
              <w:rPr>
                <w:rFonts w:eastAsia="TimesNewRomanPS-ItalicMT"/>
                <w:i/>
                <w:sz w:val="20"/>
                <w:szCs w:val="20"/>
                <w:vertAlign w:val="subscript"/>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rFonts w:eastAsia="TimesNewRomanPSMT"/>
                <w:sz w:val="20"/>
                <w:szCs w:val="20"/>
              </w:rPr>
            </w:pPr>
            <w:r>
              <w:rPr>
                <w:rFonts w:eastAsia="TimesNewRomanPSMT"/>
                <w:sz w:val="20"/>
                <w:szCs w:val="20"/>
              </w:rPr>
              <w:t>GTAATAGAGATATAAATATCATATTGA</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588</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50</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
                <w:sz w:val="20"/>
                <w:szCs w:val="20"/>
              </w:rPr>
              <w:fldChar w:fldCharType="separate"/>
            </w:r>
            <w:r>
              <w:rPr>
                <w:sz w:val="20"/>
                <w:szCs w:val="20"/>
              </w:rPr>
              <w:t>(Harada and Doia,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rFonts w:eastAsia="TimesNewRomanPSMT"/>
                <w:sz w:val="20"/>
                <w:szCs w:val="20"/>
              </w:rPr>
            </w:pPr>
            <w:r>
              <w:rPr>
                <w:rFonts w:eastAsia="TimesNewRomanPSMT"/>
                <w:sz w:val="20"/>
                <w:szCs w:val="20"/>
              </w:rPr>
              <w:t>CATCTTTCATCAACCATTTC</w:t>
            </w:r>
          </w:p>
        </w:tc>
        <w:tc>
          <w:tcPr>
            <w:tcW w:w="381" w:type="pct"/>
            <w:tcBorders>
              <w:top w:val="nil"/>
              <w:left w:val="nil"/>
              <w:bottom w:val="nil"/>
              <w:right w:val="nil"/>
            </w:tcBorders>
            <w:vAlign w:val="center"/>
          </w:tcPr>
          <w:p>
            <w:pPr>
              <w:spacing w:before="0" w:after="0" w:line="240" w:lineRule="atLeast"/>
              <w:jc w:val="center"/>
              <w:rPr>
                <w:sz w:val="20"/>
                <w:szCs w:val="20"/>
              </w:rPr>
            </w:pPr>
          </w:p>
        </w:tc>
        <w:tc>
          <w:tcPr>
            <w:tcW w:w="394" w:type="pct"/>
            <w:tcBorders>
              <w:top w:val="nil"/>
              <w:left w:val="nil"/>
              <w:bottom w:val="nil"/>
              <w:right w:val="nil"/>
            </w:tcBorders>
            <w:vAlign w:val="center"/>
          </w:tcPr>
          <w:p>
            <w:pPr>
              <w:spacing w:before="0" w:after="0" w:line="240" w:lineRule="atLeast"/>
              <w:jc w:val="center"/>
              <w:rPr>
                <w:sz w:val="20"/>
                <w:szCs w:val="20"/>
              </w:rPr>
            </w:pPr>
          </w:p>
        </w:tc>
        <w:tc>
          <w:tcPr>
            <w:tcW w:w="58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rFonts w:eastAsia="TimesNewRomanPS-ItalicMT"/>
                <w:i/>
                <w:sz w:val="20"/>
                <w:szCs w:val="20"/>
                <w:vertAlign w:val="subscript"/>
              </w:rPr>
              <w:t>p</w:t>
            </w:r>
            <w:r>
              <w:rPr>
                <w:rFonts w:eastAsia="TimesNewRomanPS-ItalicMT"/>
                <w:i/>
                <w:sz w:val="20"/>
                <w:szCs w:val="20"/>
              </w:rPr>
              <w:t>rmpA</w:t>
            </w:r>
          </w:p>
        </w:tc>
        <w:tc>
          <w:tcPr>
            <w:tcW w:w="125" w:type="pct"/>
            <w:tcBorders>
              <w:top w:val="nil"/>
              <w:left w:val="nil"/>
              <w:bottom w:val="nil"/>
              <w:right w:val="nil"/>
            </w:tcBorders>
            <w:vAlign w:val="center"/>
          </w:tcPr>
          <w:p>
            <w:pPr>
              <w:spacing w:before="0" w:after="0" w:line="240" w:lineRule="atLeast"/>
              <w:jc w:val="center"/>
              <w:rPr>
                <w:rFonts w:eastAsia="TimesNewRomanPS-ItalicMT"/>
                <w:i/>
                <w:sz w:val="20"/>
                <w:szCs w:val="20"/>
                <w:vertAlign w:val="subscript"/>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GAGTAGTTAATAAATCAATAGCAAT</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332</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50</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Cs/>
                <w:sz w:val="20"/>
                <w:szCs w:val="20"/>
              </w:rPr>
              <w:fldChar w:fldCharType="separate"/>
            </w:r>
            <w:r>
              <w:rPr>
                <w:bCs/>
                <w:sz w:val="20"/>
                <w:szCs w:val="20"/>
              </w:rPr>
              <w:t>(Harada and Doia, 2018)</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CAGTAGGCATTGCAGCA</w:t>
            </w:r>
          </w:p>
        </w:tc>
        <w:tc>
          <w:tcPr>
            <w:tcW w:w="381" w:type="pct"/>
            <w:tcBorders>
              <w:top w:val="nil"/>
              <w:left w:val="nil"/>
              <w:bottom w:val="nil"/>
              <w:right w:val="nil"/>
            </w:tcBorders>
          </w:tcPr>
          <w:p>
            <w:pPr>
              <w:spacing w:before="0" w:after="0" w:line="240" w:lineRule="atLeast"/>
              <w:jc w:val="center"/>
              <w:rPr>
                <w:b/>
                <w:sz w:val="20"/>
                <w:szCs w:val="20"/>
              </w:rPr>
            </w:pPr>
          </w:p>
        </w:tc>
        <w:tc>
          <w:tcPr>
            <w:tcW w:w="394" w:type="pct"/>
            <w:tcBorders>
              <w:top w:val="nil"/>
              <w:left w:val="nil"/>
              <w:bottom w:val="nil"/>
              <w:right w:val="nil"/>
            </w:tcBorders>
          </w:tcPr>
          <w:p>
            <w:pPr>
              <w:spacing w:before="0" w:after="0" w:line="240" w:lineRule="atLeast"/>
              <w:jc w:val="center"/>
              <w:rPr>
                <w:b/>
                <w:sz w:val="20"/>
                <w:szCs w:val="20"/>
              </w:rPr>
            </w:pPr>
          </w:p>
        </w:tc>
        <w:tc>
          <w:tcPr>
            <w:tcW w:w="582" w:type="pct"/>
            <w:tcBorders>
              <w:top w:val="nil"/>
              <w:left w:val="nil"/>
              <w:bottom w:val="nil"/>
              <w:right w:val="nil"/>
            </w:tcBorders>
          </w:tcPr>
          <w:p>
            <w:pPr>
              <w:spacing w:before="0" w:after="0" w:line="240" w:lineRule="atLeast"/>
              <w:jc w:val="center"/>
              <w:rPr>
                <w:bCs/>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rFonts w:eastAsia="TimesNewRomanPS-ItalicMT"/>
                <w:i/>
                <w:sz w:val="20"/>
                <w:szCs w:val="20"/>
                <w:vertAlign w:val="subscript"/>
              </w:rPr>
              <w:t>p</w:t>
            </w:r>
            <w:r>
              <w:rPr>
                <w:rFonts w:eastAsia="TimesNewRomanPS-ItalicMT"/>
                <w:i/>
                <w:sz w:val="20"/>
                <w:szCs w:val="20"/>
              </w:rPr>
              <w:t>rmpA2</w:t>
            </w:r>
          </w:p>
        </w:tc>
        <w:tc>
          <w:tcPr>
            <w:tcW w:w="125" w:type="pct"/>
            <w:tcBorders>
              <w:top w:val="nil"/>
              <w:left w:val="nil"/>
              <w:bottom w:val="nil"/>
              <w:right w:val="nil"/>
            </w:tcBorders>
            <w:vAlign w:val="center"/>
          </w:tcPr>
          <w:p>
            <w:pPr>
              <w:spacing w:before="0" w:after="0" w:line="240" w:lineRule="atLeast"/>
              <w:jc w:val="center"/>
              <w:rPr>
                <w:rFonts w:eastAsia="TimesNewRomanPS-ItalicMT"/>
                <w:i/>
                <w:sz w:val="20"/>
                <w:szCs w:val="20"/>
                <w:vertAlign w:val="subscript"/>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GTGCAATAAGGATGTTACATTA</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430</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50</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Cs/>
                <w:sz w:val="20"/>
                <w:szCs w:val="20"/>
              </w:rPr>
              <w:fldChar w:fldCharType="separate"/>
            </w:r>
            <w:r>
              <w:rPr>
                <w:bCs/>
                <w:sz w:val="20"/>
                <w:szCs w:val="20"/>
              </w:rPr>
              <w:t>(Harada and Doia, 2018)</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GGATGCCCTCCTCCTG</w:t>
            </w:r>
          </w:p>
        </w:tc>
        <w:tc>
          <w:tcPr>
            <w:tcW w:w="381" w:type="pct"/>
            <w:tcBorders>
              <w:top w:val="nil"/>
              <w:left w:val="nil"/>
              <w:bottom w:val="nil"/>
              <w:right w:val="nil"/>
            </w:tcBorders>
            <w:vAlign w:val="center"/>
          </w:tcPr>
          <w:p>
            <w:pPr>
              <w:spacing w:before="0" w:after="0" w:line="240" w:lineRule="atLeast"/>
              <w:jc w:val="center"/>
              <w:rPr>
                <w:b/>
                <w:sz w:val="20"/>
                <w:szCs w:val="20"/>
              </w:rPr>
            </w:pPr>
          </w:p>
        </w:tc>
        <w:tc>
          <w:tcPr>
            <w:tcW w:w="394" w:type="pct"/>
            <w:tcBorders>
              <w:top w:val="nil"/>
              <w:left w:val="nil"/>
              <w:bottom w:val="nil"/>
              <w:right w:val="nil"/>
            </w:tcBorders>
            <w:vAlign w:val="center"/>
          </w:tcPr>
          <w:p>
            <w:pPr>
              <w:spacing w:before="0" w:after="0" w:line="240" w:lineRule="atLeast"/>
              <w:jc w:val="center"/>
              <w:rPr>
                <w:b/>
                <w:sz w:val="20"/>
                <w:szCs w:val="20"/>
              </w:rPr>
            </w:pPr>
          </w:p>
        </w:tc>
        <w:tc>
          <w:tcPr>
            <w:tcW w:w="582" w:type="pct"/>
            <w:tcBorders>
              <w:top w:val="nil"/>
              <w:left w:val="nil"/>
              <w:bottom w:val="nil"/>
              <w:right w:val="nil"/>
            </w:tcBorders>
            <w:vAlign w:val="center"/>
          </w:tcPr>
          <w:p>
            <w:pPr>
              <w:spacing w:before="0" w:after="0" w:line="240" w:lineRule="atLeast"/>
              <w:jc w:val="center"/>
              <w:rPr>
                <w:bCs/>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magA</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textAlignment w:val="center"/>
              <w:rPr>
                <w:sz w:val="20"/>
                <w:szCs w:val="20"/>
              </w:rPr>
            </w:pPr>
            <w:r>
              <w:rPr>
                <w:sz w:val="20"/>
                <w:szCs w:val="20"/>
              </w:rPr>
              <w:t>GGTGCTCTTTACATCATTGC</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1280</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55</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{"citationItems":[{"id":"ITEM-1","itemData":{"DOI":"10.1179/2047773214Y.0000000141","ISSN":"20477732","PMID":"24915048","abstract":"Studies on the prevalence and virulence genes of Klebsiella mastitis pathogens in a buffalo population are undocumented. Also, the association of rmpA kfu, uge, magA, Aerobactin, K1 and K2 virulent factors with K. pneumoniae buffalo, and cow mastitis is unreported. The virulence of K. pneumoniae was evaluated through both phenotypic and molecular assays. In vivo virulence was assessed by the Vero cell cytotoxicity, suckling mouse assay and mice lethality test. Antimicrobial susceptibility was tested by disk diffusion method. The 45 K. pneumoniae isolates from buffalo (n510/232) and cow (n535/293) milk were isolated (45/525; 8.6%) and screened via PCR for seven virulence genes encoding uridine diphosphate galactose 4 epimerase encoding gene responsible for capsule and smooth lipopolysaccharide synthesis (uge), siderophores (kfu and aerobactin), protectines or invasins (rmpA and magA), and the capsule and hypermucoviscosity (K1 and K2). The most common virulence genes were rmpA, kfu, uge, and magA (77.8% each). Aerobactin and K1 genes were found at medium rates of 66.7% each and K2 (55.6%). The Vero cell cytotoxicity and LD (50) in mice were found in 100% of isolates. A multidrug resistance pattern was observed for 40% of the antimicrobials. The distribution of virulence profiles indicate a role of rmpA, kfu, uge, magA, Aerobactin, and K1 and K2 in pathogenicity of K. pneumoniae in udder infections and invasiveness, and constitutes a threat for vulnerable animals, even more if they are in combination with antibiotic resistance. © W. S. Maney &amp; Son Ltd 2014.","author":[{"dropping-particle":"","family":"Osman","given":"Kamelia M.","non-dropping-particle":"","parse-names":false,"suffix":""},{"dropping-particle":"","family":"Hassan","given":"Hany M.","non-dropping-particle":"","parse-names":false,"suffix":""},{"dropping-particle":"","family":"Orabi","given":"Ahmed","non-dropping-particle":"","parse-names":false,"suffix":""},{"dropping-particle":"","family":"Abdelhafez","given":"Ahmed S.T.","non-dropping-particle":"","parse-names":false,"suffix":""}],"container-title":"Pathogens and Global Health","id":"ITEM-1","issue":"4","issued":{"date-parts":[["2014"]]},"page":"191-199","title":"Phenotypic, antimicrobial susceptibility profile and virulence factors of Klebsiella pneumoniae isolated from buffalo and cow mastitic milk","type":"article-journal","volume":"108"},"uris":["http://www.mendeley.com/documents/?uuid=3e723eac-6a63-44c6-a3d0-c66491b16d29"]}],"mendeley":{"formattedCitation":"(Osman et al., 2014)","plainTextFormattedCitation":"(Osman et al., 2014)","previouslyFormattedCitation":"(Osman et al., 2014)"},"properties":{"noteIndex":0},"schema":"https://github.com/citation-style-language/schema/raw/master/csl-citation.json"}</w:instrText>
            </w:r>
            <w:r>
              <w:rPr>
                <w:b/>
                <w:sz w:val="20"/>
                <w:szCs w:val="20"/>
              </w:rPr>
              <w:fldChar w:fldCharType="separate"/>
            </w:r>
            <w:r>
              <w:rPr>
                <w:sz w:val="20"/>
                <w:szCs w:val="20"/>
              </w:rPr>
              <w:t>(Osman et al., 2014)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GCAATGGCCATTTGCGTTAG</w:t>
            </w:r>
          </w:p>
        </w:tc>
        <w:tc>
          <w:tcPr>
            <w:tcW w:w="381" w:type="pct"/>
            <w:tcBorders>
              <w:top w:val="nil"/>
              <w:left w:val="nil"/>
              <w:bottom w:val="nil"/>
              <w:right w:val="nil"/>
            </w:tcBorders>
            <w:vAlign w:val="center"/>
          </w:tcPr>
          <w:p>
            <w:pPr>
              <w:spacing w:before="0" w:after="0" w:line="240" w:lineRule="atLeast"/>
              <w:jc w:val="center"/>
              <w:rPr>
                <w:b/>
                <w:sz w:val="20"/>
                <w:szCs w:val="20"/>
              </w:rPr>
            </w:pPr>
          </w:p>
        </w:tc>
        <w:tc>
          <w:tcPr>
            <w:tcW w:w="394" w:type="pct"/>
            <w:tcBorders>
              <w:top w:val="nil"/>
              <w:left w:val="nil"/>
              <w:bottom w:val="nil"/>
              <w:right w:val="nil"/>
            </w:tcBorders>
            <w:vAlign w:val="center"/>
          </w:tcPr>
          <w:p>
            <w:pPr>
              <w:spacing w:before="0" w:after="0" w:line="240" w:lineRule="atLeast"/>
              <w:jc w:val="center"/>
              <w:rPr>
                <w:b/>
                <w:sz w:val="20"/>
                <w:szCs w:val="20"/>
              </w:rPr>
            </w:pPr>
          </w:p>
        </w:tc>
        <w:tc>
          <w:tcPr>
            <w:tcW w:w="58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sz w:val="20"/>
                <w:szCs w:val="20"/>
              </w:rPr>
              <w:t>Iron uptake system</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iroB</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ATCTCATCATCTACCCTCCGCTC</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235</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59</w:t>
            </w:r>
          </w:p>
        </w:tc>
        <w:tc>
          <w:tcPr>
            <w:tcW w:w="582" w:type="pct"/>
            <w:tcBorders>
              <w:top w:val="nil"/>
              <w:left w:val="nil"/>
              <w:bottom w:val="nil"/>
              <w:right w:val="nil"/>
            </w:tcBorders>
            <w:vAlign w:val="center"/>
          </w:tcPr>
          <w:p>
            <w:pPr>
              <w:spacing w:before="0" w:after="0" w:line="240" w:lineRule="atLeast"/>
              <w:jc w:val="center"/>
              <w:rPr>
                <w:sz w:val="20"/>
                <w:szCs w:val="20"/>
              </w:rPr>
            </w:pPr>
            <w:r>
              <w:rPr>
                <w:sz w:val="20"/>
                <w:szCs w:val="20"/>
              </w:rPr>
              <w:fldChar w:fldCharType="begin" w:fldLock="1"/>
            </w:r>
            <w:r>
              <w:rPr>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sz w:val="20"/>
                <w:szCs w:val="20"/>
              </w:rPr>
              <w:fldChar w:fldCharType="separate"/>
            </w:r>
            <w:r>
              <w:rPr>
                <w:sz w:val="20"/>
                <w:szCs w:val="20"/>
              </w:rPr>
              <w:t>(Harada and Doia, 2018)</w:t>
            </w:r>
            <w:r>
              <w:rPr>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GGTTCGCCGTCGTTTTCAA</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textAlignment w:val="center"/>
              <w:rPr>
                <w:i/>
                <w:iCs/>
                <w:sz w:val="20"/>
                <w:szCs w:val="20"/>
              </w:rPr>
            </w:pPr>
          </w:p>
        </w:tc>
        <w:tc>
          <w:tcPr>
            <w:tcW w:w="469" w:type="pct"/>
            <w:tcBorders>
              <w:top w:val="nil"/>
              <w:left w:val="nil"/>
              <w:bottom w:val="nil"/>
              <w:right w:val="nil"/>
            </w:tcBorders>
          </w:tcPr>
          <w:p>
            <w:pPr>
              <w:spacing w:before="0" w:after="0" w:line="240" w:lineRule="atLeast"/>
              <w:jc w:val="center"/>
              <w:textAlignment w:val="center"/>
              <w:rPr>
                <w:sz w:val="20"/>
                <w:szCs w:val="20"/>
              </w:rPr>
            </w:pPr>
            <w:r>
              <w:rPr>
                <w:i/>
                <w:iCs/>
                <w:sz w:val="20"/>
                <w:szCs w:val="20"/>
              </w:rPr>
              <w:t>iroN</w:t>
            </w:r>
          </w:p>
        </w:tc>
        <w:tc>
          <w:tcPr>
            <w:tcW w:w="125" w:type="pct"/>
            <w:tcBorders>
              <w:top w:val="nil"/>
              <w:left w:val="nil"/>
              <w:bottom w:val="nil"/>
              <w:right w:val="nil"/>
            </w:tcBorders>
            <w:vAlign w:val="center"/>
          </w:tcPr>
          <w:p>
            <w:pPr>
              <w:spacing w:before="0" w:after="0" w:line="240" w:lineRule="atLeast"/>
              <w:jc w:val="center"/>
              <w:rPr>
                <w:i/>
                <w:iCs/>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hint="eastAsia"/>
                <w:sz w:val="20"/>
                <w:szCs w:val="20"/>
              </w:rPr>
              <w:t>GGAGCTCGGCGATATGTTCA</w:t>
            </w:r>
          </w:p>
        </w:tc>
        <w:tc>
          <w:tcPr>
            <w:tcW w:w="381"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369</w:t>
            </w:r>
          </w:p>
        </w:tc>
        <w:tc>
          <w:tcPr>
            <w:tcW w:w="394"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63</w:t>
            </w:r>
          </w:p>
        </w:tc>
        <w:tc>
          <w:tcPr>
            <w:tcW w:w="582" w:type="pct"/>
            <w:tcBorders>
              <w:top w:val="nil"/>
              <w:left w:val="nil"/>
              <w:right w:val="nil"/>
            </w:tcBorders>
            <w:vAlign w:val="center"/>
          </w:tcPr>
          <w:p>
            <w:pPr>
              <w:spacing w:before="0" w:after="0" w:line="240" w:lineRule="atLeast"/>
              <w:jc w:val="center"/>
              <w:rPr>
                <w:sz w:val="20"/>
                <w:szCs w:val="20"/>
              </w:rPr>
            </w:pPr>
            <w:r>
              <w:rPr>
                <w:rFonts w:hint="eastAsia"/>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hint="eastAsia"/>
                <w:sz w:val="20"/>
                <w:szCs w:val="20"/>
              </w:rPr>
              <w:t>AGCAGATTTCCTTCCAGCCC</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left w:val="nil"/>
              <w:bottom w:val="nil"/>
              <w:right w:val="nil"/>
            </w:tcBorders>
          </w:tcPr>
          <w:p>
            <w:pPr>
              <w:spacing w:before="0" w:after="0" w:line="240" w:lineRule="atLeast"/>
              <w:jc w:val="center"/>
              <w:rPr>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rFonts w:eastAsia="TimesNewRomanPS-ItalicMT"/>
                <w:i/>
                <w:sz w:val="20"/>
                <w:szCs w:val="20"/>
                <w:vertAlign w:val="subscript"/>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aerobactin</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GCATAGGCGGATACGAACAT</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556</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55</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{"citationItems":[{"id":"ITEM-1","itemData":{"DOI":"10.1179/2047773214Y.0000000141","ISSN":"20477732","PMID":"24915048","abstract":"Studies on the prevalence and virulence genes of Klebsiella mastitis pathogens in a buffalo population are undocumented. Also, the association of rmpA kfu, uge, magA, Aerobactin, K1 and K2 virulent factors with K. pneumoniae buffalo, and cow mastitis is unreported. The virulence of K. pneumoniae was evaluated through both phenotypic and molecular assays. In vivo virulence was assessed by the Vero cell cytotoxicity, suckling mouse assay and mice lethality test. Antimicrobial susceptibility was tested by disk diffusion method. The 45 K. pneumoniae isolates from buffalo (n510/232) and cow (n535/293) milk were isolated (45/525; 8.6%) and screened via PCR for seven virulence genes encoding uridine diphosphate galactose 4 epimerase encoding gene responsible for capsule and smooth lipopolysaccharide synthesis (uge), siderophores (kfu and aerobactin), protectines or invasins (rmpA and magA), and the capsule and hypermucoviscosity (K1 and K2). The most common virulence genes were rmpA, kfu, uge, and magA (77.8% each). Aerobactin and K1 genes were found at medium rates of 66.7% each and K2 (55.6%). The Vero cell cytotoxicity and LD (50) in mice were found in 100% of isolates. A multidrug resistance pattern was observed for 40% of the antimicrobials. The distribution of virulence profiles indicate a role of rmpA, kfu, uge, magA, Aerobactin, and K1 and K2 in pathogenicity of K. pneumoniae in udder infections and invasiveness, and constitutes a threat for vulnerable animals, even more if they are in combination with antibiotic resistance. © W. S. Maney &amp; Son Ltd 2014.","author":[{"dropping-particle":"","family":"Osman","given":"Kamelia M.","non-dropping-particle":"","parse-names":false,"suffix":""},{"dropping-particle":"","family":"Hassan","given":"Hany M.","non-dropping-particle":"","parse-names":false,"suffix":""},{"dropping-particle":"","family":"Orabi","given":"Ahmed","non-dropping-particle":"","parse-names":false,"suffix":""},{"dropping-particle":"","family":"Abdelhafez","given":"Ahmed S.T.","non-dropping-particle":"","parse-names":false,"suffix":""}],"container-title":"Pathogens and Global Health","id":"ITEM-1","issue":"4","issued":{"date-parts":[["2014"]]},"page":"191-199","title":"Phenotypic, antimicrobial susceptibility profile and virulence factors of Klebsiella pneumoniae isolated from buffalo and cow mastitic milk","type":"article-journal","volume":"108"},"uris":["http://www.mendeley.com/documents/?uuid=3e723eac-6a63-44c6-a3d0-c66491b16d29"]}],"mendeley":{"formattedCitation":"(Osman et al., 2014)","plainTextFormattedCitation":"(Osman et al., 2014)","previouslyFormattedCitation":"(Osman et al., 2014)"},"properties":{"noteIndex":0},"schema":"https://github.com/citation-style-language/schema/raw/master/csl-citation.json"}</w:instrText>
            </w:r>
            <w:r>
              <w:rPr>
                <w:b/>
                <w:sz w:val="20"/>
                <w:szCs w:val="20"/>
              </w:rPr>
              <w:fldChar w:fldCharType="separate"/>
            </w:r>
            <w:r>
              <w:rPr>
                <w:sz w:val="20"/>
                <w:szCs w:val="20"/>
              </w:rPr>
              <w:t>(Osman et al., 2014)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CACAGGGCAATTGCTTACCT</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rFonts w:eastAsia="TimesNewRomanPS-ItalicMT"/>
                <w:i/>
                <w:sz w:val="20"/>
                <w:szCs w:val="20"/>
                <w:vertAlign w:val="subscript"/>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iutA</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hint="eastAsia"/>
                <w:sz w:val="20"/>
                <w:szCs w:val="20"/>
              </w:rPr>
              <w:t>CCTTCTATCCGTTCCCGACG</w:t>
            </w:r>
          </w:p>
        </w:tc>
        <w:tc>
          <w:tcPr>
            <w:tcW w:w="381"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352</w:t>
            </w:r>
          </w:p>
        </w:tc>
        <w:tc>
          <w:tcPr>
            <w:tcW w:w="394"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63</w:t>
            </w:r>
          </w:p>
        </w:tc>
        <w:tc>
          <w:tcPr>
            <w:tcW w:w="582" w:type="pct"/>
            <w:tcBorders>
              <w:top w:val="nil"/>
              <w:left w:val="nil"/>
              <w:right w:val="nil"/>
            </w:tcBorders>
            <w:vAlign w:val="center"/>
          </w:tcPr>
          <w:p>
            <w:pPr>
              <w:spacing w:before="0" w:after="0" w:line="240" w:lineRule="atLeast"/>
              <w:jc w:val="center"/>
              <w:rPr>
                <w:b/>
                <w:sz w:val="20"/>
                <w:szCs w:val="20"/>
              </w:rPr>
            </w:pPr>
            <w:r>
              <w:rPr>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hint="eastAsia"/>
                <w:sz w:val="20"/>
                <w:szCs w:val="20"/>
              </w:rPr>
              <w:t>CGGTTTTCGGTCCACTGGTA</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rFonts w:eastAsia="TimesNewRomanPS-ItalicMT"/>
                <w:i/>
                <w:sz w:val="20"/>
                <w:szCs w:val="20"/>
                <w:vertAlign w:val="subscript"/>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irp2</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GCTACAATGGGACAGCAACGAC</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230</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59</w:t>
            </w:r>
          </w:p>
        </w:tc>
        <w:tc>
          <w:tcPr>
            <w:tcW w:w="582" w:type="pct"/>
            <w:tcBorders>
              <w:top w:val="nil"/>
              <w:left w:val="nil"/>
              <w:bottom w:val="nil"/>
              <w:right w:val="nil"/>
            </w:tcBorders>
            <w:vAlign w:val="center"/>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
                <w:sz w:val="20"/>
                <w:szCs w:val="20"/>
              </w:rPr>
              <w:fldChar w:fldCharType="separate"/>
            </w:r>
            <w:r>
              <w:rPr>
                <w:sz w:val="20"/>
                <w:szCs w:val="20"/>
              </w:rPr>
              <w:t>(Harada and Doia,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rFonts w:eastAsia="TimesNewRomanPSMT"/>
                <w:sz w:val="20"/>
                <w:szCs w:val="20"/>
              </w:rPr>
              <w:t>GCAGAGCGATACGGAAAATGC</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iucA</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shd w:val="clear" w:color="auto" w:fill="FFFFFF"/>
              </w:rPr>
            </w:pPr>
            <w:r>
              <w:rPr>
                <w:rFonts w:eastAsia="TimesNewRomanPSMT"/>
                <w:sz w:val="20"/>
                <w:szCs w:val="20"/>
              </w:rPr>
              <w:t>GCTTATTTCTCCCCAACCC</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583</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59</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
                <w:sz w:val="20"/>
                <w:szCs w:val="20"/>
              </w:rPr>
              <w:fldChar w:fldCharType="separate"/>
            </w:r>
            <w:r>
              <w:rPr>
                <w:sz w:val="20"/>
                <w:szCs w:val="20"/>
              </w:rPr>
              <w:t>(Harada and Doia,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shd w:val="clear" w:color="auto" w:fill="FFFFFF"/>
              </w:rPr>
            </w:pPr>
            <w:r>
              <w:rPr>
                <w:rFonts w:eastAsia="TimesNewRomanPSMT"/>
                <w:sz w:val="20"/>
                <w:szCs w:val="20"/>
              </w:rPr>
              <w:t>TCAGCCCTTTAGCGACAAG</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ybtA</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ATGACGGAGTCACCGCAAAC</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960</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55</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{"citationItems":[{"id":"ITEM-1","itemData":{"author":[{"dropping-particle":"","family":"Xu SB, Yang SY, Weng SS, Chen C, Zhang WH","given":"Jin JL","non-dropping-particle":"","parse-names":false,"suffix":""}],"container-title":"Journal of Microbes and Infection","id":"ITEM-1","issue":"06","issued":{"date-parts":[["2019"]]},"page":"338-344","title":"Distribution of serotypes and virulence genes in hypervirulent Klebsiella pneumoniae and exploration of molecular markers","type":"article-journal","volume":"14"},"uris":["http://www.mendeley.com/documents/?uuid=09a6879c-b86e-4f4b-8eeb-afd999ffb311"]}],"mendeley":{"formattedCitation":"(Xu SB, Yang SY, Weng SS, Chen C, Zhang WH, 2019)","plainTextFormattedCitation":"(Xu SB, Yang SY, Weng SS, Chen C, Zhang WH, 2019)","previouslyFormattedCitation":"(Xu SB, Yang SY, Weng SS, Chen C, Zhang WH, 2019)"},"properties":{"noteIndex":0},"schema":"https://github.com/citation-style-language/schema/raw/master/csl-citation.json"}</w:instrText>
            </w:r>
            <w:r>
              <w:rPr>
                <w:b/>
                <w:sz w:val="20"/>
                <w:szCs w:val="20"/>
              </w:rPr>
              <w:fldChar w:fldCharType="separate"/>
            </w:r>
            <w:r>
              <w:rPr>
                <w:sz w:val="20"/>
                <w:szCs w:val="20"/>
              </w:rPr>
              <w:t>(Xu SB, Yang SY, Weng SS, Chen C, Zhang WH,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TTACATCACGCGTTTAAAGG</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kfu</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GAAGTGACGCTGTTTCTGGC</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797</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55</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{"citationItems":[{"id":"ITEM-1","itemData":{"DOI":"10.1179/2047773214Y.0000000141","ISSN":"20477732","PMID":"24915048","abstract":"Studies on the prevalence and virulence genes of Klebsiella mastitis pathogens in a buffalo population are undocumented. Also, the association of rmpA kfu, uge, magA, Aerobactin, K1 and K2 virulent factors with K. pneumoniae buffalo, and cow mastitis is unreported. The virulence of K. pneumoniae was evaluated through both phenotypic and molecular assays. In vivo virulence was assessed by the Vero cell cytotoxicity, suckling mouse assay and mice lethality test. Antimicrobial susceptibility was tested by disk diffusion method. The 45 K. pneumoniae isolates from buffalo (n510/232) and cow (n535/293) milk were isolated (45/525; 8.6%) and screened via PCR for seven virulence genes encoding uridine diphosphate galactose 4 epimerase encoding gene responsible for capsule and smooth lipopolysaccharide synthesis (uge), siderophores (kfu and aerobactin), protectines or invasins (rmpA and magA), and the capsule and hypermucoviscosity (K1 and K2). The most common virulence genes were rmpA, kfu, uge, and magA (77.8% each). Aerobactin and K1 genes were found at medium rates of 66.7% each and K2 (55.6%). The Vero cell cytotoxicity and LD (50) in mice were found in 100% of isolates. A multidrug resistance pattern was observed for 40% of the antimicrobials. The distribution of virulence profiles indicate a role of rmpA, kfu, uge, magA, Aerobactin, and K1 and K2 in pathogenicity of K. pneumoniae in udder infections and invasiveness, and constitutes a threat for vulnerable animals, even more if they are in combination with antibiotic resistance. © W. S. Maney &amp; Son Ltd 2014.","author":[{"dropping-particle":"","family":"Osman","given":"Kamelia M.","non-dropping-particle":"","parse-names":false,"suffix":""},{"dropping-particle":"","family":"Hassan","given":"Hany M.","non-dropping-particle":"","parse-names":false,"suffix":""},{"dropping-particle":"","family":"Orabi","given":"Ahmed","non-dropping-particle":"","parse-names":false,"suffix":""},{"dropping-particle":"","family":"Abdelhafez","given":"Ahmed S.T.","non-dropping-particle":"","parse-names":false,"suffix":""}],"container-title":"Pathogens and Global Health","id":"ITEM-1","issue":"4","issued":{"date-parts":[["2014"]]},"page":"191-199","title":"Phenotypic, antimicrobial susceptibility profile and virulence factors of Klebsiella pneumoniae isolated from buffalo and cow mastitic milk","type":"article-journal","volume":"108"},"uris":["http://www.mendeley.com/documents/?uuid=3e723eac-6a63-44c6-a3d0-c66491b16d29"]}],"mendeley":{"formattedCitation":"(Osman et al., 2014)","plainTextFormattedCitation":"(Osman et al., 2014)","previouslyFormattedCitation":"(Osman et al., 2014)"},"properties":{"noteIndex":0},"schema":"https://github.com/citation-style-language/schema/raw/master/csl-citation.json"}</w:instrText>
            </w:r>
            <w:r>
              <w:rPr>
                <w:b/>
                <w:sz w:val="20"/>
                <w:szCs w:val="20"/>
              </w:rPr>
              <w:fldChar w:fldCharType="separate"/>
            </w:r>
            <w:r>
              <w:rPr>
                <w:sz w:val="20"/>
                <w:szCs w:val="20"/>
              </w:rPr>
              <w:t>(Osman et al., 2014)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TTTCGTGTGGCCAGTGACTC</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entB</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ATTTCCTCAACTTCTGGGGC</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371</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60</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
                <w:sz w:val="20"/>
                <w:szCs w:val="20"/>
              </w:rPr>
              <w:instrText xml:space="preserve">≥</w:instrText>
            </w:r>
            <w:r>
              <w:rPr>
                <w:b/>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
                <w:sz w:val="20"/>
                <w:szCs w:val="20"/>
              </w:rPr>
              <w:fldChar w:fldCharType="separate"/>
            </w:r>
            <w:r>
              <w:rPr>
                <w:sz w:val="20"/>
                <w:szCs w:val="20"/>
              </w:rPr>
              <w:t>(Candan and Aksöz,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AGCATCGGTGGCGGTGGTCA</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U</w:t>
            </w:r>
            <w:r>
              <w:rPr>
                <w:sz w:val="20"/>
                <w:szCs w:val="20"/>
              </w:rPr>
              <w:t>rease-related</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allS</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CCGAAACATTACGCACCTTT</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508</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49</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{"citationItems":[{"id":"ITEM-1","itemData":{"author":[{"dropping-particle":"","family":"Xu SB, Yang SY, Weng SS, Chen C, Zhang WH","given":"Jin JL","non-dropping-particle":"","parse-names":false,"suffix":""}],"container-title":"Journal of Microbes and Infection","id":"ITEM-1","issue":"06","issued":{"date-parts":[["2019"]]},"page":"338-344","title":"Distribution of serotypes and virulence genes in hypervirulent Klebsiella pneumoniae and exploration of molecular markers","type":"article-journal","volume":"14"},"uris":["http://www.mendeley.com/documents/?uuid=09a6879c-b86e-4f4b-8eeb-afd999ffb311"]}],"mendeley":{"formattedCitation":"(Xu SB, Yang SY, Weng SS, Chen C, Zhang WH, 2019)","plainTextFormattedCitation":"(Xu SB, Yang SY, Weng SS, Chen C, Zhang WH, 2019)","previouslyFormattedCitation":"(Xu SB, Yang SY, Weng SS, Chen C, Zhang WH, 2019)"},"properties":{"noteIndex":0},"schema":"https://github.com/citation-style-language/schema/raw/master/csl-citation.json"}</w:instrText>
            </w:r>
            <w:r>
              <w:rPr>
                <w:b/>
                <w:sz w:val="20"/>
                <w:szCs w:val="20"/>
              </w:rPr>
              <w:fldChar w:fldCharType="separate"/>
            </w:r>
            <w:r>
              <w:rPr>
                <w:sz w:val="20"/>
                <w:szCs w:val="20"/>
              </w:rPr>
              <w:t>(Xu SB, Yang SY, Weng SS, Chen C, Zhang WH,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ATCACGAAGAGCCAGGTCAC</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ureA</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GCTGACTTAAGAGAACGTTATG</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337</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55</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{"citationItems":[{"id":"ITEM-1","itemData":{"author":[{"dropping-particle":"","family":"He","given":"JY","non-dropping-particle":"","parse-names":false,"suffix":""}],"container-title":"ChongQing Medical University","id":"ITEM-1","issued":{"date-parts":[["2012"]]},"title":"Study on serotypes and distribution characteristic of virulence genes of Klebsiella Pneumoniae","type":"article-journal"},"uris":["http://www.mendeley.com/documents/?uuid=9e135887-b815-42b9-be3d-836d246aca45"]}],"mendeley":{"formattedCitation":"(He, 2012)","plainTextFormattedCitation":"(He, 2012)","previouslyFormattedCitation":"(JY, 2012)"},"properties":{"noteIndex":0},"schema":"https://github.com/citation-style-language/schema/raw/master/csl-citation.json"}</w:instrText>
            </w:r>
            <w:r>
              <w:rPr>
                <w:bCs/>
                <w:sz w:val="20"/>
                <w:szCs w:val="20"/>
              </w:rPr>
              <w:fldChar w:fldCharType="separate"/>
            </w:r>
            <w:r>
              <w:rPr>
                <w:bCs/>
                <w:sz w:val="20"/>
                <w:szCs w:val="20"/>
              </w:rPr>
              <w:t>(He, 2012)</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GATCATGGCGCTACCT(C/T)A</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Cs/>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T</w:t>
            </w:r>
            <w:r>
              <w:rPr>
                <w:sz w:val="20"/>
                <w:szCs w:val="20"/>
              </w:rPr>
              <w:t>ellurite resistance gene</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terB</w:t>
            </w: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rFonts w:eastAsia="TimesNewRomanPSMT"/>
                <w:sz w:val="20"/>
                <w:szCs w:val="20"/>
              </w:rPr>
            </w:pPr>
            <w:r>
              <w:rPr>
                <w:rFonts w:eastAsia="TimesNewRomanPSMT"/>
                <w:sz w:val="20"/>
                <w:szCs w:val="20"/>
              </w:rPr>
              <w:t>TATCGCTGTTGCCAGTGAC</w:t>
            </w:r>
          </w:p>
        </w:tc>
        <w:tc>
          <w:tcPr>
            <w:tcW w:w="381" w:type="pct"/>
            <w:tcBorders>
              <w:top w:val="nil"/>
              <w:left w:val="nil"/>
              <w:bottom w:val="nil"/>
              <w:right w:val="nil"/>
            </w:tcBorders>
          </w:tcPr>
          <w:p>
            <w:pPr>
              <w:spacing w:before="0" w:after="0" w:line="240" w:lineRule="atLeast"/>
              <w:jc w:val="center"/>
              <w:rPr>
                <w:sz w:val="20"/>
                <w:szCs w:val="20"/>
              </w:rPr>
            </w:pPr>
            <w:r>
              <w:rPr>
                <w:sz w:val="20"/>
                <w:szCs w:val="20"/>
              </w:rPr>
              <w:t>235</w:t>
            </w:r>
          </w:p>
        </w:tc>
        <w:tc>
          <w:tcPr>
            <w:tcW w:w="394" w:type="pct"/>
            <w:tcBorders>
              <w:top w:val="nil"/>
              <w:left w:val="nil"/>
              <w:bottom w:val="nil"/>
              <w:right w:val="nil"/>
            </w:tcBorders>
          </w:tcPr>
          <w:p>
            <w:pPr>
              <w:spacing w:before="0" w:after="0" w:line="240" w:lineRule="atLeast"/>
              <w:jc w:val="center"/>
              <w:rPr>
                <w:sz w:val="20"/>
                <w:szCs w:val="20"/>
              </w:rPr>
            </w:pPr>
            <w:r>
              <w:rPr>
                <w:sz w:val="20"/>
                <w:szCs w:val="20"/>
              </w:rPr>
              <w:t>53</w:t>
            </w:r>
          </w:p>
        </w:tc>
        <w:tc>
          <w:tcPr>
            <w:tcW w:w="582" w:type="pct"/>
            <w:tcBorders>
              <w:top w:val="nil"/>
              <w:left w:val="nil"/>
              <w:bottom w:val="nil"/>
              <w:right w:val="nil"/>
            </w:tcBorders>
          </w:tcPr>
          <w:p>
            <w:pPr>
              <w:spacing w:before="0" w:after="0" w:line="240" w:lineRule="atLeast"/>
              <w:jc w:val="center"/>
              <w:rPr>
                <w:sz w:val="20"/>
                <w:szCs w:val="20"/>
              </w:rPr>
            </w:pPr>
            <w:r>
              <w:rPr>
                <w:b/>
                <w:sz w:val="20"/>
                <w:szCs w:val="20"/>
              </w:rPr>
              <w:fldChar w:fldCharType="begin" w:fldLock="1"/>
            </w:r>
            <w:r>
              <w:rPr>
                <w:b/>
                <w:sz w:val="20"/>
                <w:szCs w:val="20"/>
              </w:rPr>
              <w:instrText xml:space="preserve">ADDIN CSL_CITATION {"citationItems":[{"id":"ITEM-1","itemData":{"DOI":"10.1128/JCM.00959-18","ISSN":"1098660X","PMID":"29950337","abstract":"Hypervirulent Klebsiella pneumoniae strains have higher potential to cause more severe and disseminated infections than classic K. pneumoniae strains. While initially reported from East Asian countries, cases have now been identified worldwide, sometimes in conjunction with extensive drug resistance. In this issue of the Journal of Clinical Microbiology, T. A. Russo et al. (J Clin Microbiol 56:e00776-18, 2018, https://doi.org/10.1128/JCM.00776-18) validated the diagnostic accuracy of biomarkers that differentiate hypervirulent K. pneumoniae strains from classic strains. This represents a major step forward in building a consensus definition and designing international studies aimed at elucidating the global epidemiology, clinical features, and outcome of this important pathogen.","author":[{"dropping-particle":"","family":"Harada","given":"Sohei","non-dropping-particle":"","parse-names":false,"suffix":""},{"dropping-particle":"","family":"Doia","given":"Yohei","non-dropping-particle":"","parse-names":false,"suffix":""}],"container-title":"Journal of Clinical Microbiology","id":"ITEM-1","issue":"9","issued":{"date-parts":[["2018"]]},"page":"e00959-18","title":"Hypervirulent Klebsiella pneumoniae: A call for consensus definition and international collaboration","type":"article-journal","volume":"56"},"uris":["http://www.mendeley.com/documents/?uuid=f13e0b45-fa1c-4370-be5d-681148b9f725"]}],"mendeley":{"formattedCitation":"(Harada and Doia, 2018)","plainTextFormattedCitation":"(Harada and Doia, 2018)","previouslyFormattedCitation":"(Harada and Doia, 2018)"},"properties":{"noteIndex":0},"schema":"https://github.com/citation-style-language/schema/raw/master/csl-citation.json"}</w:instrText>
            </w:r>
            <w:r>
              <w:rPr>
                <w:b/>
                <w:sz w:val="20"/>
                <w:szCs w:val="20"/>
              </w:rPr>
              <w:fldChar w:fldCharType="separate"/>
            </w:r>
            <w:r>
              <w:rPr>
                <w:sz w:val="20"/>
                <w:szCs w:val="20"/>
              </w:rPr>
              <w:t>(Harada and Doia,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nil"/>
              <w:right w:val="nil"/>
            </w:tcBorders>
          </w:tcPr>
          <w:p>
            <w:pPr>
              <w:spacing w:before="0" w:after="0" w:line="240" w:lineRule="atLeast"/>
              <w:jc w:val="center"/>
              <w:rPr>
                <w:i/>
                <w:sz w:val="20"/>
                <w:szCs w:val="20"/>
              </w:rPr>
            </w:pPr>
          </w:p>
        </w:tc>
        <w:tc>
          <w:tcPr>
            <w:tcW w:w="469" w:type="pct"/>
            <w:tcBorders>
              <w:top w:val="nil"/>
              <w:left w:val="nil"/>
              <w:bottom w:val="nil"/>
              <w:right w:val="nil"/>
            </w:tcBorders>
          </w:tcPr>
          <w:p>
            <w:pPr>
              <w:spacing w:before="0" w:after="0" w:line="240" w:lineRule="atLeast"/>
              <w:jc w:val="center"/>
              <w:rPr>
                <w:i/>
                <w:sz w:val="20"/>
                <w:szCs w:val="20"/>
              </w:rPr>
            </w:pPr>
          </w:p>
        </w:tc>
        <w:tc>
          <w:tcPr>
            <w:tcW w:w="125" w:type="pct"/>
            <w:tcBorders>
              <w:top w:val="nil"/>
              <w:left w:val="nil"/>
              <w:bottom w:val="nil"/>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nil"/>
              <w:right w:val="nil"/>
            </w:tcBorders>
            <w:vAlign w:val="center"/>
          </w:tcPr>
          <w:p>
            <w:pPr>
              <w:spacing w:before="0" w:after="0" w:line="240" w:lineRule="atLeast"/>
              <w:jc w:val="both"/>
              <w:rPr>
                <w:rFonts w:eastAsia="TimesNewRomanPSMT"/>
                <w:sz w:val="20"/>
                <w:szCs w:val="20"/>
              </w:rPr>
            </w:pPr>
            <w:r>
              <w:rPr>
                <w:rFonts w:eastAsia="TimesNewRomanPSMT"/>
                <w:sz w:val="20"/>
                <w:szCs w:val="20"/>
              </w:rPr>
              <w:t>AATACCGACACGAAGAGCC</w:t>
            </w:r>
          </w:p>
        </w:tc>
        <w:tc>
          <w:tcPr>
            <w:tcW w:w="381" w:type="pct"/>
            <w:tcBorders>
              <w:top w:val="nil"/>
              <w:left w:val="nil"/>
              <w:bottom w:val="nil"/>
              <w:right w:val="nil"/>
            </w:tcBorders>
          </w:tcPr>
          <w:p>
            <w:pPr>
              <w:spacing w:before="0" w:after="0" w:line="240" w:lineRule="atLeast"/>
              <w:jc w:val="center"/>
              <w:rPr>
                <w:sz w:val="20"/>
                <w:szCs w:val="20"/>
              </w:rPr>
            </w:pPr>
          </w:p>
        </w:tc>
        <w:tc>
          <w:tcPr>
            <w:tcW w:w="394" w:type="pct"/>
            <w:tcBorders>
              <w:top w:val="nil"/>
              <w:left w:val="nil"/>
              <w:bottom w:val="nil"/>
              <w:right w:val="nil"/>
            </w:tcBorders>
          </w:tcPr>
          <w:p>
            <w:pPr>
              <w:spacing w:before="0" w:after="0" w:line="240" w:lineRule="atLeast"/>
              <w:jc w:val="center"/>
              <w:rPr>
                <w:sz w:val="20"/>
                <w:szCs w:val="20"/>
              </w:rPr>
            </w:pPr>
          </w:p>
        </w:tc>
        <w:tc>
          <w:tcPr>
            <w:tcW w:w="58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restart"/>
            <w:tcBorders>
              <w:top w:val="nil"/>
              <w:left w:val="nil"/>
              <w:right w:val="nil"/>
            </w:tcBorders>
          </w:tcPr>
          <w:p>
            <w:pPr>
              <w:spacing w:before="0" w:after="0" w:line="240" w:lineRule="atLeast"/>
              <w:jc w:val="center"/>
              <w:rPr>
                <w:i/>
                <w:sz w:val="20"/>
                <w:szCs w:val="20"/>
              </w:rPr>
            </w:pPr>
            <w:r>
              <w:rPr>
                <w:rFonts w:hint="eastAsia"/>
                <w:sz w:val="20"/>
                <w:szCs w:val="20"/>
              </w:rPr>
              <w:t>H</w:t>
            </w:r>
            <w:r>
              <w:rPr>
                <w:sz w:val="20"/>
                <w:szCs w:val="20"/>
              </w:rPr>
              <w:t>emolysin</w:t>
            </w:r>
          </w:p>
        </w:tc>
        <w:tc>
          <w:tcPr>
            <w:tcW w:w="469" w:type="pct"/>
            <w:tcBorders>
              <w:top w:val="nil"/>
              <w:left w:val="nil"/>
              <w:bottom w:val="nil"/>
              <w:right w:val="nil"/>
            </w:tcBorders>
          </w:tcPr>
          <w:p>
            <w:pPr>
              <w:spacing w:before="0" w:after="0" w:line="240" w:lineRule="atLeast"/>
              <w:jc w:val="center"/>
              <w:rPr>
                <w:i/>
                <w:sz w:val="20"/>
                <w:szCs w:val="20"/>
              </w:rPr>
            </w:pPr>
            <w:r>
              <w:rPr>
                <w:i/>
                <w:sz w:val="20"/>
                <w:szCs w:val="20"/>
              </w:rPr>
              <w:t>hly</w:t>
            </w:r>
          </w:p>
        </w:tc>
        <w:tc>
          <w:tcPr>
            <w:tcW w:w="125"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2156" w:type="pct"/>
            <w:tcBorders>
              <w:top w:val="nil"/>
              <w:left w:val="nil"/>
              <w:bottom w:val="nil"/>
              <w:right w:val="nil"/>
            </w:tcBorders>
            <w:vAlign w:val="center"/>
          </w:tcPr>
          <w:p>
            <w:pPr>
              <w:spacing w:before="0" w:after="0" w:line="240" w:lineRule="atLeast"/>
              <w:jc w:val="both"/>
              <w:rPr>
                <w:sz w:val="20"/>
                <w:szCs w:val="20"/>
              </w:rPr>
            </w:pPr>
            <w:r>
              <w:rPr>
                <w:sz w:val="20"/>
                <w:szCs w:val="20"/>
              </w:rPr>
              <w:t>AACAAGGATAAGCACTGTTCTGGCT</w:t>
            </w:r>
          </w:p>
        </w:tc>
        <w:tc>
          <w:tcPr>
            <w:tcW w:w="381" w:type="pct"/>
            <w:tcBorders>
              <w:top w:val="nil"/>
              <w:left w:val="nil"/>
              <w:bottom w:val="nil"/>
              <w:right w:val="nil"/>
            </w:tcBorders>
            <w:vAlign w:val="center"/>
          </w:tcPr>
          <w:p>
            <w:pPr>
              <w:spacing w:before="0" w:after="0" w:line="240" w:lineRule="atLeast"/>
              <w:jc w:val="center"/>
              <w:rPr>
                <w:sz w:val="20"/>
                <w:szCs w:val="20"/>
              </w:rPr>
            </w:pPr>
            <w:r>
              <w:rPr>
                <w:sz w:val="20"/>
                <w:szCs w:val="20"/>
              </w:rPr>
              <w:t>1177</w:t>
            </w:r>
          </w:p>
        </w:tc>
        <w:tc>
          <w:tcPr>
            <w:tcW w:w="394" w:type="pct"/>
            <w:tcBorders>
              <w:top w:val="nil"/>
              <w:left w:val="nil"/>
              <w:bottom w:val="nil"/>
              <w:right w:val="nil"/>
            </w:tcBorders>
            <w:vAlign w:val="center"/>
          </w:tcPr>
          <w:p>
            <w:pPr>
              <w:spacing w:before="0" w:after="0" w:line="240" w:lineRule="atLeast"/>
              <w:jc w:val="center"/>
              <w:rPr>
                <w:sz w:val="20"/>
                <w:szCs w:val="20"/>
              </w:rPr>
            </w:pPr>
            <w:r>
              <w:rPr>
                <w:sz w:val="20"/>
                <w:szCs w:val="20"/>
              </w:rPr>
              <w:t>58</w:t>
            </w:r>
          </w:p>
        </w:tc>
        <w:tc>
          <w:tcPr>
            <w:tcW w:w="582" w:type="pct"/>
            <w:tcBorders>
              <w:top w:val="nil"/>
              <w:left w:val="nil"/>
              <w:bottom w:val="nil"/>
              <w:right w:val="nil"/>
            </w:tcBorders>
            <w:vAlign w:val="center"/>
          </w:tcPr>
          <w:p>
            <w:pPr>
              <w:spacing w:before="0" w:after="0" w:line="240" w:lineRule="atLeast"/>
              <w:jc w:val="center"/>
              <w:rPr>
                <w:sz w:val="20"/>
                <w:szCs w:val="20"/>
              </w:rPr>
            </w:pPr>
            <w:r>
              <w:rPr>
                <w:bCs/>
                <w:sz w:val="20"/>
                <w:szCs w:val="20"/>
              </w:rPr>
              <w:fldChar w:fldCharType="begin" w:fldLock="1"/>
            </w:r>
            <w:r>
              <w:rPr>
                <w:bCs/>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Cs/>
                <w:sz w:val="20"/>
                <w:szCs w:val="20"/>
              </w:rPr>
              <w:instrText xml:space="preserve">≥</w:instrText>
            </w:r>
            <w:r>
              <w:rPr>
                <w:bCs/>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Cs/>
                <w:sz w:val="20"/>
                <w:szCs w:val="20"/>
              </w:rPr>
              <w:fldChar w:fldCharType="separate"/>
            </w:r>
            <w:r>
              <w:rPr>
                <w:bCs/>
                <w:sz w:val="20"/>
                <w:szCs w:val="20"/>
              </w:rPr>
              <w:t>(Candan and Aksöz, 2015)</w:t>
            </w:r>
            <w:r>
              <w:rPr>
                <w:bCs/>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23" w:hRule="atLeast"/>
          <w:jc w:val="center"/>
        </w:trPr>
        <w:tc>
          <w:tcPr>
            <w:tcW w:w="889" w:type="pct"/>
            <w:vMerge w:val="continue"/>
            <w:tcBorders>
              <w:left w:val="nil"/>
              <w:bottom w:val="single" w:color="auto" w:sz="4" w:space="0"/>
              <w:right w:val="nil"/>
            </w:tcBorders>
          </w:tcPr>
          <w:p>
            <w:pPr>
              <w:spacing w:before="0" w:after="0" w:line="240" w:lineRule="atLeast"/>
              <w:jc w:val="center"/>
              <w:rPr>
                <w:i/>
                <w:sz w:val="20"/>
                <w:szCs w:val="20"/>
              </w:rPr>
            </w:pPr>
          </w:p>
        </w:tc>
        <w:tc>
          <w:tcPr>
            <w:tcW w:w="469" w:type="pct"/>
            <w:tcBorders>
              <w:top w:val="nil"/>
              <w:left w:val="nil"/>
              <w:bottom w:val="single" w:color="auto" w:sz="4" w:space="0"/>
              <w:right w:val="nil"/>
            </w:tcBorders>
          </w:tcPr>
          <w:p>
            <w:pPr>
              <w:spacing w:before="0" w:after="0" w:line="240" w:lineRule="atLeast"/>
              <w:jc w:val="center"/>
              <w:rPr>
                <w:i/>
                <w:sz w:val="20"/>
                <w:szCs w:val="20"/>
              </w:rPr>
            </w:pPr>
          </w:p>
        </w:tc>
        <w:tc>
          <w:tcPr>
            <w:tcW w:w="125" w:type="pct"/>
            <w:tcBorders>
              <w:top w:val="nil"/>
              <w:left w:val="nil"/>
              <w:bottom w:val="single" w:color="auto" w:sz="4" w:space="0"/>
              <w:right w:val="nil"/>
            </w:tcBorders>
          </w:tcPr>
          <w:p>
            <w:pPr>
              <w:spacing w:before="0" w:after="0" w:line="240" w:lineRule="atLeast"/>
              <w:jc w:val="center"/>
              <w:rPr>
                <w:i/>
                <w:sz w:val="20"/>
                <w:szCs w:val="20"/>
              </w:rPr>
            </w:pPr>
            <w:r>
              <w:rPr>
                <w:rFonts w:hint="eastAsia"/>
                <w:iCs/>
                <w:sz w:val="20"/>
                <w:szCs w:val="20"/>
              </w:rPr>
              <w:t>R</w:t>
            </w:r>
          </w:p>
        </w:tc>
        <w:tc>
          <w:tcPr>
            <w:tcW w:w="2156" w:type="pct"/>
            <w:tcBorders>
              <w:top w:val="nil"/>
              <w:left w:val="nil"/>
              <w:bottom w:val="single" w:color="auto" w:sz="4" w:space="0"/>
              <w:right w:val="nil"/>
            </w:tcBorders>
            <w:vAlign w:val="center"/>
          </w:tcPr>
          <w:p>
            <w:pPr>
              <w:spacing w:before="0" w:after="0" w:line="240" w:lineRule="atLeast"/>
              <w:jc w:val="both"/>
              <w:rPr>
                <w:sz w:val="20"/>
                <w:szCs w:val="20"/>
              </w:rPr>
            </w:pPr>
            <w:r>
              <w:rPr>
                <w:sz w:val="20"/>
                <w:szCs w:val="20"/>
              </w:rPr>
              <w:t>ACCATATAAGCGGTCATTCCCGTCA</w:t>
            </w:r>
          </w:p>
        </w:tc>
        <w:tc>
          <w:tcPr>
            <w:tcW w:w="381" w:type="pct"/>
            <w:tcBorders>
              <w:top w:val="nil"/>
              <w:left w:val="nil"/>
              <w:bottom w:val="single" w:color="auto" w:sz="4" w:space="0"/>
              <w:right w:val="nil"/>
            </w:tcBorders>
          </w:tcPr>
          <w:p>
            <w:pPr>
              <w:spacing w:before="0" w:after="0" w:line="240" w:lineRule="atLeast"/>
              <w:jc w:val="center"/>
              <w:rPr>
                <w:sz w:val="20"/>
                <w:szCs w:val="20"/>
              </w:rPr>
            </w:pPr>
          </w:p>
        </w:tc>
        <w:tc>
          <w:tcPr>
            <w:tcW w:w="394" w:type="pct"/>
            <w:tcBorders>
              <w:top w:val="nil"/>
              <w:left w:val="nil"/>
              <w:bottom w:val="single" w:color="auto" w:sz="4" w:space="0"/>
              <w:right w:val="nil"/>
            </w:tcBorders>
          </w:tcPr>
          <w:p>
            <w:pPr>
              <w:spacing w:before="0" w:after="0" w:line="240" w:lineRule="atLeast"/>
              <w:jc w:val="center"/>
              <w:rPr>
                <w:sz w:val="20"/>
                <w:szCs w:val="20"/>
              </w:rPr>
            </w:pPr>
          </w:p>
        </w:tc>
        <w:tc>
          <w:tcPr>
            <w:tcW w:w="582" w:type="pct"/>
            <w:tcBorders>
              <w:top w:val="nil"/>
              <w:left w:val="nil"/>
              <w:bottom w:val="single" w:color="auto" w:sz="4" w:space="0"/>
              <w:right w:val="nil"/>
            </w:tcBorders>
          </w:tcPr>
          <w:p>
            <w:pPr>
              <w:spacing w:before="0" w:after="0" w:line="240" w:lineRule="atLeast"/>
              <w:jc w:val="center"/>
              <w:rPr>
                <w:b/>
                <w:sz w:val="20"/>
                <w:szCs w:val="20"/>
              </w:rPr>
            </w:pPr>
          </w:p>
        </w:tc>
      </w:tr>
    </w:tbl>
    <w:p>
      <w:pPr>
        <w:pStyle w:val="53"/>
        <w:rPr>
          <w:sz w:val="24"/>
          <w:szCs w:val="24"/>
          <w:lang w:val="en-US"/>
        </w:rPr>
      </w:pPr>
      <w:r>
        <w:rPr>
          <w:rFonts w:hint="eastAsia" w:eastAsia="宋体"/>
          <w:sz w:val="24"/>
          <w:szCs w:val="24"/>
          <w:vertAlign w:val="superscript"/>
          <w:lang w:val="en-US" w:eastAsia="zh-CN"/>
        </w:rPr>
        <w:t>a</w:t>
      </w:r>
      <w:r>
        <w:rPr>
          <w:sz w:val="24"/>
          <w:szCs w:val="24"/>
          <w:lang w:val="en-US"/>
        </w:rPr>
        <w:t xml:space="preserve"> Forward, F; Reverse, R.</w:t>
      </w:r>
    </w:p>
    <w:p>
      <w:pPr>
        <w:pStyle w:val="53"/>
        <w:rPr>
          <w:sz w:val="24"/>
          <w:szCs w:val="24"/>
          <w:lang w:val="en-US"/>
        </w:rPr>
      </w:pPr>
      <w:r>
        <w:rPr>
          <w:rFonts w:hint="eastAsia" w:eastAsia="宋体"/>
          <w:sz w:val="24"/>
          <w:szCs w:val="24"/>
          <w:vertAlign w:val="superscript"/>
          <w:lang w:val="en-US" w:eastAsia="zh-CN"/>
        </w:rPr>
        <w:t xml:space="preserve">b </w:t>
      </w:r>
      <w:r>
        <w:rPr>
          <w:sz w:val="24"/>
          <w:szCs w:val="24"/>
          <w:lang w:val="en-US"/>
        </w:rPr>
        <w:t xml:space="preserve">Amplicon length, AL. </w:t>
      </w:r>
    </w:p>
    <w:p>
      <w:pPr>
        <w:pStyle w:val="53"/>
        <w:rPr>
          <w:sz w:val="24"/>
          <w:szCs w:val="24"/>
          <w:lang w:val="en-US"/>
        </w:rPr>
      </w:pPr>
      <w:r>
        <w:rPr>
          <w:rFonts w:hint="eastAsia" w:eastAsia="宋体"/>
          <w:sz w:val="24"/>
          <w:szCs w:val="24"/>
          <w:vertAlign w:val="superscript"/>
          <w:lang w:val="en-US" w:eastAsia="zh-CN"/>
        </w:rPr>
        <w:t>c</w:t>
      </w:r>
      <w:r>
        <w:rPr>
          <w:sz w:val="24"/>
          <w:szCs w:val="24"/>
          <w:lang w:val="en-US"/>
        </w:rPr>
        <w:t xml:space="preserve"> Annealing temperature, AT.</w:t>
      </w:r>
    </w:p>
    <w:p/>
    <w:p/>
    <w:p/>
    <w:p>
      <w:pPr>
        <w:rPr>
          <w:szCs w:val="24"/>
        </w:rPr>
      </w:pPr>
      <w:r>
        <w:rPr>
          <w:b/>
          <w:bCs/>
          <w:szCs w:val="24"/>
        </w:rPr>
        <w:t>Table S</w:t>
      </w:r>
      <w:r>
        <w:rPr>
          <w:rFonts w:hint="eastAsia"/>
          <w:b/>
          <w:bCs/>
          <w:szCs w:val="24"/>
        </w:rPr>
        <w:t xml:space="preserve">2 </w:t>
      </w:r>
      <w:r>
        <w:rPr>
          <w:szCs w:val="24"/>
        </w:rPr>
        <w:t xml:space="preserve">Primers of </w:t>
      </w:r>
      <w:r>
        <w:rPr>
          <w:rFonts w:hint="eastAsia"/>
          <w:szCs w:val="24"/>
        </w:rPr>
        <w:t xml:space="preserve">AMR </w:t>
      </w:r>
      <w:r>
        <w:rPr>
          <w:szCs w:val="24"/>
        </w:rPr>
        <w:t>genes in this study</w:t>
      </w:r>
    </w:p>
    <w:tbl>
      <w:tblPr>
        <w:tblStyle w:val="20"/>
        <w:tblW w:w="5020" w:type="pct"/>
        <w:jc w:val="center"/>
        <w:tblBorders>
          <w:top w:val="single" w:color="000000"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8"/>
        <w:gridCol w:w="1327"/>
        <w:gridCol w:w="320"/>
        <w:gridCol w:w="3272"/>
        <w:gridCol w:w="741"/>
        <w:gridCol w:w="739"/>
        <w:gridCol w:w="910"/>
      </w:tblGrid>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rFonts w:hint="eastAsia"/>
                <w:sz w:val="20"/>
                <w:szCs w:val="20"/>
              </w:rPr>
              <w:t>Gene type</w:t>
            </w:r>
          </w:p>
        </w:tc>
        <w:tc>
          <w:tcPr>
            <w:tcW w:w="962" w:type="pct"/>
            <w:gridSpan w:val="2"/>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rFonts w:hint="eastAsia"/>
                <w:sz w:val="20"/>
                <w:szCs w:val="20"/>
              </w:rPr>
              <w:t>Primes</w:t>
            </w:r>
            <w:r>
              <w:rPr>
                <w:rFonts w:hint="eastAsia"/>
                <w:sz w:val="20"/>
                <w:szCs w:val="20"/>
                <w:vertAlign w:val="superscript"/>
              </w:rPr>
              <w:t>a</w:t>
            </w:r>
          </w:p>
        </w:tc>
        <w:tc>
          <w:tcPr>
            <w:tcW w:w="1912" w:type="pct"/>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rFonts w:hint="eastAsia"/>
                <w:sz w:val="20"/>
                <w:szCs w:val="20"/>
              </w:rPr>
              <w:t>Sequence (</w:t>
            </w:r>
            <w:r>
              <w:rPr>
                <w:sz w:val="20"/>
                <w:szCs w:val="20"/>
              </w:rPr>
              <w:t>5’-3’</w:t>
            </w:r>
            <w:r>
              <w:rPr>
                <w:rFonts w:hint="eastAsia" w:ascii="宋体" w:hAnsi="宋体"/>
                <w:sz w:val="20"/>
                <w:szCs w:val="20"/>
              </w:rPr>
              <w:t>)</w:t>
            </w:r>
          </w:p>
        </w:tc>
        <w:tc>
          <w:tcPr>
            <w:tcW w:w="433" w:type="pct"/>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sz w:val="20"/>
                <w:szCs w:val="20"/>
              </w:rPr>
              <w:t>A</w:t>
            </w:r>
            <w:r>
              <w:rPr>
                <w:rFonts w:hint="eastAsia"/>
                <w:sz w:val="20"/>
                <w:szCs w:val="20"/>
              </w:rPr>
              <w:t>L</w:t>
            </w:r>
            <w:r>
              <w:rPr>
                <w:rFonts w:hint="eastAsia"/>
                <w:sz w:val="20"/>
                <w:szCs w:val="20"/>
                <w:vertAlign w:val="superscript"/>
              </w:rPr>
              <w:t xml:space="preserve">b </w:t>
            </w:r>
            <w:r>
              <w:rPr>
                <w:rFonts w:hint="eastAsia"/>
                <w:sz w:val="20"/>
                <w:szCs w:val="20"/>
              </w:rPr>
              <w:t>(</w:t>
            </w:r>
            <w:r>
              <w:rPr>
                <w:sz w:val="20"/>
                <w:szCs w:val="20"/>
              </w:rPr>
              <w:t>bp</w:t>
            </w:r>
            <w:r>
              <w:rPr>
                <w:rFonts w:hint="eastAsia" w:ascii="宋体" w:hAnsi="宋体"/>
                <w:sz w:val="20"/>
                <w:szCs w:val="20"/>
              </w:rPr>
              <w:t>)</w:t>
            </w:r>
          </w:p>
        </w:tc>
        <w:tc>
          <w:tcPr>
            <w:tcW w:w="432" w:type="pct"/>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rFonts w:hint="eastAsia"/>
                <w:sz w:val="20"/>
                <w:szCs w:val="20"/>
              </w:rPr>
              <w:t>AT</w:t>
            </w:r>
            <w:r>
              <w:rPr>
                <w:rFonts w:hint="eastAsia"/>
                <w:sz w:val="20"/>
                <w:szCs w:val="20"/>
                <w:vertAlign w:val="superscript"/>
              </w:rPr>
              <w:t xml:space="preserve">c </w:t>
            </w:r>
            <w:r>
              <w:rPr>
                <w:rFonts w:hint="eastAsia"/>
                <w:sz w:val="20"/>
                <w:szCs w:val="20"/>
              </w:rPr>
              <w:t>(</w:t>
            </w:r>
            <w:r>
              <w:rPr>
                <w:sz w:val="20"/>
                <w:szCs w:val="20"/>
              </w:rPr>
              <w:t>℃</w:t>
            </w:r>
            <w:r>
              <w:rPr>
                <w:rFonts w:hint="eastAsia" w:ascii="宋体" w:hAnsi="宋体"/>
                <w:sz w:val="20"/>
                <w:szCs w:val="20"/>
              </w:rPr>
              <w:t>)</w:t>
            </w:r>
          </w:p>
        </w:tc>
        <w:tc>
          <w:tcPr>
            <w:tcW w:w="532" w:type="pct"/>
            <w:tcBorders>
              <w:top w:val="single" w:color="auto" w:sz="4" w:space="0"/>
              <w:left w:val="nil"/>
              <w:bottom w:val="single" w:color="auto" w:sz="4" w:space="0"/>
              <w:right w:val="nil"/>
            </w:tcBorders>
            <w:vAlign w:val="center"/>
          </w:tcPr>
          <w:p>
            <w:pPr>
              <w:spacing w:before="0" w:after="0" w:line="240" w:lineRule="atLeast"/>
              <w:jc w:val="center"/>
              <w:rPr>
                <w:sz w:val="20"/>
                <w:szCs w:val="20"/>
              </w:rPr>
            </w:pPr>
            <w:r>
              <w:rPr>
                <w:rFonts w:hint="eastAsia"/>
                <w:sz w:val="20"/>
                <w:szCs w:val="20"/>
              </w:rPr>
              <w:t>Refence</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48" w:type="dxa"/>
            <w:vMerge w:val="restart"/>
            <w:tcBorders>
              <w:left w:val="nil"/>
              <w:right w:val="nil"/>
            </w:tcBorders>
          </w:tcPr>
          <w:p>
            <w:pPr>
              <w:spacing w:before="0" w:after="0" w:line="240" w:lineRule="atLeast"/>
              <w:jc w:val="center"/>
              <w:rPr>
                <w:rFonts w:eastAsia="宋体"/>
                <w:sz w:val="20"/>
                <w:szCs w:val="20"/>
                <w:lang w:eastAsia="zh-CN"/>
              </w:rPr>
            </w:pPr>
            <w:r>
              <w:rPr>
                <w:rFonts w:hint="eastAsia"/>
                <w:iCs/>
                <w:sz w:val="20"/>
                <w:szCs w:val="20"/>
                <w:lang w:eastAsia="zh-CN"/>
              </w:rPr>
              <w:t>ESBLs</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bla</w:t>
            </w:r>
            <w:r>
              <w:rPr>
                <w:iCs/>
                <w:sz w:val="20"/>
                <w:szCs w:val="20"/>
                <w:vertAlign w:val="subscript"/>
              </w:rPr>
              <w:t>CTX-M-</w:t>
            </w:r>
            <w:r>
              <w:rPr>
                <w:rFonts w:hint="eastAsia"/>
                <w:iCs/>
                <w:sz w:val="20"/>
                <w:szCs w:val="20"/>
                <w:vertAlign w:val="subscript"/>
              </w:rPr>
              <w:t>2</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AAATGTGCTGCTCCTTTCGTGAGC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1122</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{"citationItems":[{"id":"ITEM-1","itemData":{"DOI":"10.1016/j.diagmicrobio.2018.01.007","ISSN":"18790070","PMID":"29459053","abstract":"We performed a single-month snapshot study of the population diversity of multidrug resistant (MDR) Klebsiella pneumoniae isolates producing carbapenemases and/or extended-spectrum β-lactamases from four major hospitals in Brazil. Isolates produced diverse ESBL (CTX-M-2, -8, -15, SHV-2), KPC-2 or both (CTX-M-2 and KPC-2), linked to specific genetic backgrounds and plasmids from a few families (IncR, IncFIIk, IncL/M) that were shared among clonal lineages within and between hospitals. A high clonal diversity was identified, among isolates from the same ST (ST11, ST15, ST101 or ST340). Diverse capsular types (n=13 K-types) were identified, most of which linked to specific ST (ST11 and K27 or K64, ST101 and K17, ST340 and KL151, ST15 and K24 or ST17 and KL112). Isolates shared a common set of virulence genes (ureA, fimH, uge, wabG, mrkD, entB) and occasionally ybtS (42%) and kfuBC (18%). Our data suggest intra- and inter-hospital spread of common genetic structures and international MDR K. pneumoniae clones.","author":[{"dropping-particle":"","family":"Andrade","given":"Leonardo Neves","non-dropping-particle":"","parse-names":false,"suffix":""},{"dropping-particle":"","family":"Novais","given":"Ângela","non-dropping-particle":"","parse-names":false,"suffix":""},{"dropping-particle":"","family":"Stegani","given":"Lenita Maria Marcato","non-dropping-particle":"","parse-names":false,"suffix":""},{"dropping-particle":"","family":"Ferreira","given":"Joseane Cristina","non-dropping-particle":"","parse-names":false,"suffix":""},{"dropping-particle":"","family":"Rodrigues","given":"Carla","non-dropping-particle":"","parse-names":false,"suffix":""},{"dropping-particle":"","family":"Darini","given":"Ana Lucia Costa","non-dropping-particle":"","parse-names":false,"suffix":""},{"dropping-particle":"","family":"Peixe","given":"Luisa","non-dropping-particle":"","parse-names":false,"suffix":""}],"container-title":"Diagnostic Microbiology and Infectious Disease","id":"ITEM-1","issue":"2","issued":{"date-parts":[["2018"]]},"page":"164-168","publisher":"Elsevier Inc","title":"Virulence genes, capsular and plasmid types of multidrug-resistant CTX-M(-2, -8, -15) and KPC-2-producing Klebsiella pneumoniae isolates from four major hospitals in Brazil","type":"article-journal","volume":"91"},"uris":["http://www.mendeley.com/documents/?uuid=00a57998-dae1-47fb-9d8e-c5742f123b64"]}],"mendeley":{"formattedCitation":"(Andrade et al., 2018)","plainTextFormattedCitation":"(Andrade et al., 2018)","previouslyFormattedCitation":"(Andrade et al., 2018)"},"properties":{"noteIndex":0},"schema":"https://github.com/citation-style-language/schema/raw/master/csl-citation.json"}</w:instrText>
            </w:r>
            <w:r>
              <w:rPr>
                <w:b/>
                <w:sz w:val="20"/>
                <w:szCs w:val="20"/>
              </w:rPr>
              <w:fldChar w:fldCharType="separate"/>
            </w:r>
            <w:r>
              <w:rPr>
                <w:sz w:val="20"/>
                <w:szCs w:val="20"/>
              </w:rPr>
              <w:t>(Andrade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AGGGTTCGTTGCAAGACAAGACTG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bla</w:t>
            </w:r>
            <w:r>
              <w:rPr>
                <w:iCs/>
                <w:sz w:val="20"/>
                <w:szCs w:val="20"/>
                <w:vertAlign w:val="subscript"/>
              </w:rPr>
              <w:t>CTX-M-</w:t>
            </w:r>
            <w:r>
              <w:rPr>
                <w:rFonts w:hint="eastAsia"/>
                <w:iCs/>
                <w:sz w:val="20"/>
                <w:szCs w:val="20"/>
                <w:vertAlign w:val="subscript"/>
              </w:rPr>
              <w:t>10</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CCGCGCTACACTTTGTGGC</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944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{"citationItems":[{"id":"ITEM-1","itemData":{"author":[{"dropping-particle":"","family":"Kuang","given":"XH","non-dropping-particle":"","parse-names":false,"suffix":""}],"container-title":"HuaZhong Agricultural University","id":"ITEM-1","issued":{"date-parts":[["2015"]]},"title":"Prevalence and molecular characteristic of resistance and virulence of three different livestock pathogen bacteria in central China","type":"article-journal"},"uris":["http://www.mendeley.com/documents/?uuid=f62f5e6c-8edf-4f0f-b76e-f1d08a3af814"]}],"mendeley":{"formattedCitation":"(Kuang, 2015)","plainTextFormattedCitation":"(Kuang, 2015)","previouslyFormattedCitation":"(XH, 2015)"},"properties":{"noteIndex":0},"schema":"https://github.com/citation-style-language/schema/raw/master/csl-citation.json"}</w:instrText>
            </w:r>
            <w:r>
              <w:rPr>
                <w:b/>
                <w:sz w:val="20"/>
                <w:szCs w:val="20"/>
              </w:rPr>
              <w:fldChar w:fldCharType="separate"/>
            </w:r>
            <w:r>
              <w:rPr>
                <w:sz w:val="20"/>
                <w:szCs w:val="20"/>
              </w:rPr>
              <w:t>(Kuang,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textAlignment w:val="center"/>
              <w:rPr>
                <w:i/>
                <w:iCs/>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TTACAAACCGTTGGTGACG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bla</w:t>
            </w:r>
            <w:r>
              <w:rPr>
                <w:iCs/>
                <w:sz w:val="20"/>
                <w:szCs w:val="20"/>
                <w:vertAlign w:val="subscript"/>
              </w:rPr>
              <w:t>CTX-M-</w:t>
            </w:r>
            <w:r>
              <w:rPr>
                <w:rFonts w:hint="eastAsia"/>
                <w:iCs/>
                <w:sz w:val="20"/>
                <w:szCs w:val="20"/>
                <w:vertAlign w:val="subscript"/>
              </w:rPr>
              <w:t>14</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rFonts w:hint="eastAsia"/>
                <w:sz w:val="20"/>
                <w:szCs w:val="20"/>
              </w:rPr>
              <w:t>TACCGCAGATAATACGCAGGTG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355</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{"citationItems":[{"id":"ITEM-1","itemData":{"DOI":"10.1371/journal.pone.0047636","ISSN":"19326203","PMID":"23110085","abstract":"Background: Simultaneous resistance to aminoglycosides and fluoroquinolones in carbapeneme non-susceptible (CNS) isolates will inevitably create problems. The present study was performed to characterize the prevalence of the plasmid-mediated quinolone resistance determinants (QRDs) and aminoglycoside resistance determinants (ARDs) among the CNS Enterobacter cloacae (E. cloacae) isolates in a Chinese teaching hospital, and to acquire their molecular epidemiological characteristics. Methods: The β-lactamases genes (including class A carbapenemase genes blaKPC and blaSME, metallo-β-lactamase genes (MBLs) blaIMP, blaVIM and blaNDM, and extended spectrum β-lactamases (ESBLs),blaCTX-M, blaTEM and blaSHV), QRDs (including qnrA, qnrB, qnrS and aac(6</w:instrText>
            </w:r>
            <w:r>
              <w:rPr>
                <w:rFonts w:hint="eastAsia"/>
                <w:b/>
                <w:sz w:val="20"/>
                <w:szCs w:val="20"/>
              </w:rPr>
              <w:instrText xml:space="preserve">′</w:instrText>
            </w:r>
            <w:r>
              <w:rPr>
                <w:b/>
                <w:sz w:val="20"/>
                <w:szCs w:val="20"/>
              </w:rPr>
              <w:instrText xml:space="preserve">)-Ib-cr) and ARDs (including aac(6</w:instrText>
            </w:r>
            <w:r>
              <w:rPr>
                <w:rFonts w:hint="eastAsia"/>
                <w:b/>
                <w:sz w:val="20"/>
                <w:szCs w:val="20"/>
              </w:rPr>
              <w:instrText xml:space="preserve">′</w:instrText>
            </w:r>
            <w:r>
              <w:rPr>
                <w:b/>
                <w:sz w:val="20"/>
                <w:szCs w:val="20"/>
              </w:rPr>
              <w:instrText xml:space="preserve">)-Ib, armA and rmtB) of these 35 isolates were determined by PCR and sequenced bidirectionally. The clonal relatedness was investigated by pulsed-field gel electrophoresis (PFGE). Results: Of the 35 isolates, 9 (25.7%) harbored a carbapenemase gene; 23 (65.7%) carried ESBLs; 24 (68.6%) were QRD positive; and 27 (77.1%) were ARD positive. Among the 5 blaIMP-8 positive strains, 4 (80%) contained both ESBL and QRD genes, and all the 5 (100%) harbored ARD genes. Of the 23 ESBLs positive isolates, 6 (26.1%) were carbapenemase positive, 14 (60.9%) were QRD positive, and 18 (78.3%) were ARD positive. PFGE revealed genetic diversity among the 35 isolates, indicating that the high prevalence of CNS E. cloacae isolates was not caused by clonal dissemination. Conclusion: QRD and ARD genes were highly prevalent among the CNS E. cloacae isolates. Multiple resistant genes were co-expressed in the same isolates. The CNS E. cloacae isolate co-expressing blaNDM-1, blaIMP-26, qnrA1 and qnrS1 was first reported. © 2012 Huang et al.","author":[{"dropping-particle":"","family":"Huang","given":"Shifeng","non-dropping-particle":"","parse-names":false,"suffix":""},{"dropping-particle":"","family":"Dai","given":"Wei","non-dropping-particle":"","parse-names":false,"suffix":""},{"dropping-particle":"","family":"Sun","given":"Shan","non-dropping-particle":"","parse-names":false,"suffix":""},{"dropping-particle":"","family":"Zhang","given":"Xiaojiao","non-dropping-particle":"","parse-names":false,"suffix":""},{"dropping-particle":"","family":"Zhang","given":"Liping","non-dropping-particle":"","parse-names":false,"suffix":""}],"container-title":"PLoS ONE","id":"ITEM-1","issue":"10","issued":{"date-parts":[["2012"]]},"page":"e47636","title":"Prevalence of Plasmid-Mediated Quinolone Resistance and Aminoglycoside Resistance Determinants among Carbapeneme Non-Susceptible Enterobacter cloacae","type":"article-journal","volume":"7"},"uris":["http://www.mendeley.com/documents/?uuid=b305b865-3a80-48c5-bf60-6c22804b24ec"]}],"mendeley":{"formattedCitation":"(Huang et al., 2012)","plainTextFormattedCitation":"(Huang et al., 2012)","previouslyFormattedCitation":"(Huang et al., 2012)"},"properties":{"noteIndex":0},"schema":"https://github.com/citation-style-language/schema/raw/master/csl-citation.json"}</w:instrText>
            </w:r>
            <w:r>
              <w:rPr>
                <w:b/>
                <w:sz w:val="20"/>
                <w:szCs w:val="20"/>
              </w:rPr>
              <w:fldChar w:fldCharType="separate"/>
            </w:r>
            <w:r>
              <w:rPr>
                <w:sz w:val="20"/>
                <w:szCs w:val="20"/>
              </w:rPr>
              <w:t>(Huang et al., 2012)</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rFonts w:hint="eastAsia"/>
                <w:sz w:val="20"/>
                <w:szCs w:val="20"/>
              </w:rPr>
              <w:t>CAGCGTAGGTTCAGTGCGATCC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bla</w:t>
            </w:r>
            <w:r>
              <w:rPr>
                <w:iCs/>
                <w:sz w:val="20"/>
                <w:szCs w:val="20"/>
                <w:vertAlign w:val="subscript"/>
              </w:rPr>
              <w:t>CTX-M-</w:t>
            </w:r>
            <w:r>
              <w:rPr>
                <w:rFonts w:hint="eastAsia"/>
                <w:iCs/>
                <w:sz w:val="20"/>
                <w:szCs w:val="20"/>
                <w:vertAlign w:val="subscript"/>
              </w:rPr>
              <w:t>15</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rFonts w:eastAsia="TimesNewRomanPSMT"/>
                <w:sz w:val="20"/>
                <w:szCs w:val="20"/>
              </w:rPr>
              <w:t>GACGATGTCACTGGCTGAGC</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499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{"citationItems":[{"id":"ITEM-1","itemData":{"DOI":"10.1016/j.diagmicrobio.2018.01.007","ISSN":"18790070","PMID":"29459053","abstract":"We performed a single-month snapshot study of the population diversity of multidrug resistant (MDR) Klebsiella pneumoniae isolates producing carbapenemases and/or extended-spectrum β-lactamases from four major hospitals in Brazil. Isolates produced diverse ESBL (CTX-M-2, -8, -15, SHV-2), KPC-2 or both (CTX-M-2 and KPC-2), linked to specific genetic backgrounds and plasmids from a few families (IncR, IncFIIk, IncL/M) that were shared among clonal lineages within and between hospitals. A high clonal diversity was identified, among isolates from the same ST (ST11, ST15, ST101 or ST340). Diverse capsular types (n=13 K-types) were identified, most of which linked to specific ST (ST11 and K27 or K64, ST101 and K17, ST340 and KL151, ST15 and K24 or ST17 and KL112). Isolates shared a common set of virulence genes (ureA, fimH, uge, wabG, mrkD, entB) and occasionally ybtS (42%) and kfuBC (18%). Our data suggest intra- and inter-hospital spread of common genetic structures and international MDR K. pneumoniae clones.","author":[{"dropping-particle":"","family":"Andrade","given":"Leonardo Neves","non-dropping-particle":"","parse-names":false,"suffix":""},{"dropping-particle":"","family":"Novais","given":"Ângela","non-dropping-particle":"","parse-names":false,"suffix":""},{"dropping-particle":"","family":"Stegani","given":"Lenita Maria Marcato","non-dropping-particle":"","parse-names":false,"suffix":""},{"dropping-particle":"","family":"Ferreira","given":"Joseane Cristina","non-dropping-particle":"","parse-names":false,"suffix":""},{"dropping-particle":"","family":"Rodrigues","given":"Carla","non-dropping-particle":"","parse-names":false,"suffix":""},{"dropping-particle":"","family":"Darini","given":"Ana Lucia Costa","non-dropping-particle":"","parse-names":false,"suffix":""},{"dropping-particle":"","family":"Peixe","given":"Luisa","non-dropping-particle":"","parse-names":false,"suffix":""}],"container-title":"Diagnostic Microbiology and Infectious Disease","id":"ITEM-1","issue":"2","issued":{"date-parts":[["2018"]]},"page":"164-168","publisher":"Elsevier Inc","title":"Virulence genes, capsular and plasmid types of multidrug-resistant CTX-M(-2, -8, -15) and KPC-2-producing Klebsiella pneumoniae isolates from four major hospitals in Brazil","type":"article-journal","volume":"91"},"uris":["http://www.mendeley.com/documents/?uuid=00a57998-dae1-47fb-9d8e-c5742f123b64"]}],"mendeley":{"formattedCitation":"(Andrade et al., 2018)","plainTextFormattedCitation":"(Andrade et al., 2018)","previouslyFormattedCitation":"(Andrade et al., 2018)"},"properties":{"noteIndex":0},"schema":"https://github.com/citation-style-language/schema/raw/master/csl-citation.json"}</w:instrText>
            </w:r>
            <w:r>
              <w:rPr>
                <w:b/>
                <w:sz w:val="20"/>
                <w:szCs w:val="20"/>
              </w:rPr>
              <w:fldChar w:fldCharType="separate"/>
            </w:r>
            <w:r>
              <w:rPr>
                <w:sz w:val="20"/>
                <w:szCs w:val="20"/>
              </w:rPr>
              <w:t>(Andrade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rFonts w:eastAsia="TimesNewRomanPSMT"/>
                <w:sz w:val="20"/>
                <w:szCs w:val="20"/>
              </w:rPr>
              <w:t>AGCCGCCGACGCTAATACA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bla</w:t>
            </w:r>
            <w:r>
              <w:rPr>
                <w:iCs/>
                <w:sz w:val="20"/>
                <w:szCs w:val="20"/>
                <w:vertAlign w:val="subscript"/>
              </w:rPr>
              <w:t>SHV</w:t>
            </w:r>
            <w:r>
              <w:rPr>
                <w:i/>
                <w:sz w:val="20"/>
                <w:szCs w:val="20"/>
              </w:rPr>
              <w:t xml:space="preserve"> </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ATGCGTTATATTCGCCTGTG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747</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{"citationItems":[{"id":"ITEM-1","itemData":{"DOI":"10.1128/AAC.01127-16","ISSN":"10986596","PMID":"27480857","abstract":"Hypervirulent Klebsiella pneumoniae (hvKP) is traditionally defined by hypermucoviscosity, but data based on genetic background are limited. Antimicrobial-resistant hvKP has been increasingly reported but has not yet been systematically studied. K. pneumoniae isolates from bloodstream infections, hospital-acquired pneumonia, and intra-abdominal infections were collected from 10 cities in China during February to July 2013. Clinical data were collected from medical records. All K. pneumoniae isolates were investigated by antimicrobial susceptibility testing, string test, extended-spectrum β-lactamase (ESBL) gene detection, capsular serotypes, virulence gene profiles, and multilocus sequence typing. hvKP was defined by aerobactin detection. Of 230 K. pneumoniae isolates, 37.8% were hvKP. The prevalence of hvKP varied among different cities, with the highest rate in Wuhan (73.9%) and the lowest in Zhejiang (8.3%). Hypermucoviscosity and the presence of K1, K2, K20, and rmpA genes were strongly associated with hvKP (P&lt;0.001). A significantly higher incidence of liver abscess (P=0.026), sepsis (P=0.038), and invasive infections (P=0.043) was caused by hvKP. Cancer (odds ratio [OR], 2.285) and diabetes mellitus (OR, 2.256) appeared to be independent variables associated with hvKP infections by multivariate analysis. Importantly, 12.6% of hvKP isolates produced ESBLs, and most of them carried blaCTX-M genes. Patients with neutropenia (37.5% versus 5.6%; P=0.020), history of systemic steroid therapy (37.5% versus 5.6%; P=0.020), and combination therapy (62.5% versus 16.7%; P=0.009) were more likely to be infected with ESBL-producing hvKP. The prevalence of hvKP is high in China and has a varied geographic distribution. ESBL-producing hvKP is emerging, suggesting an urgent need to enhance clinical awareness, especially for immunocompromised patients receiving combination therapy.","author":[{"dropping-particle":"","family":"Zhang","given":"Yawei","non-dropping-particle":"","parse-names":false,"suffix":""},{"dropping-particle":"","family":"Zhao","given":"Chunjiang","non-dropping-particle":"","parse-names":false,"suffix":""},{"dropping-particle":"","family":"Wang","given":"Qi","non-dropping-particle":"","parse-names":false,"suffix":""},{"dropping-particle":"","family":"Wang","given":"Xiaojuan","non-dropping-particle":"","parse-names":false,"suffix":""},{"dropping-particle":"","family":"Chen","given":"Hongbin","non-dropping-particle":"","parse-names":false,"suffix":""},{"dropping-particle":"","family":"Li","given":"Henan","non-dropping-particle":"","parse-names":false,"suffix":""},{"dropping-particle":"","family":"Zhang","given":"Feifei","non-dropping-particle":"","parse-names":false,"suffix":""},{"dropping-particle":"","family":"Li","given":"Shuguang","non-dropping-particle":"","parse-names":false,"suffix":""},{"dropping-particle":"","family":"Wang","given":"Ruobing","non-dropping-particle":"","parse-names":false,"suffix":""},{"dropping-particle":"","family":"Wang","given":"Hui","non-dropping-particle":"","parse-names":false,"suffix":""}],"container-title":"Antimicrobial Agents and Chemotherapy","id":"ITEM-1","issue":"10","issued":{"date-parts":[["2016"]]},"page":"6115-6120","title":"High prevalence of hypervirulent Klebsiella pneumoniae infection in China: Geographic distribution, clinical characteristics, and antimicrobial resistance","type":"article-journal","volume":"60"},"uris":["http://www.mendeley.com/documents/?uuid=3507fcea-beb1-444b-85aa-13edeb1aec0a"]}],"mendeley":{"formattedCitation":"(Zhang et al., 2016)","plainTextFormattedCitation":"(Zhang et al., 2016)","previouslyFormattedCitation":"(Zhang et al., 2016)"},"properties":{"noteIndex":0},"schema":"https://github.com/citation-style-language/schema/raw/master/csl-citation.json"}</w:instrText>
            </w:r>
            <w:r>
              <w:rPr>
                <w:b/>
                <w:sz w:val="20"/>
                <w:szCs w:val="20"/>
              </w:rPr>
              <w:fldChar w:fldCharType="separate"/>
            </w:r>
            <w:r>
              <w:rPr>
                <w:sz w:val="20"/>
                <w:szCs w:val="20"/>
              </w:rPr>
              <w:t>(Zhang et al., 2016)</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TGCTTTGTTATTCGGGCCAA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bla</w:t>
            </w:r>
            <w:r>
              <w:rPr>
                <w:iCs/>
                <w:sz w:val="20"/>
                <w:szCs w:val="20"/>
                <w:vertAlign w:val="subscript"/>
              </w:rPr>
              <w:t xml:space="preserve">TEM </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TCGCCGCATACACTATTCTCAGAATGA</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445</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{"citationItems":[{"id":"ITEM-1","itemData":{"DOI":"10.1128/AAC.01127-16","ISSN":"10986596","PMID":"27480857","abstract":"Hypervirulent Klebsiella pneumoniae (hvKP) is traditionally defined by hypermucoviscosity, but data based on genetic background are limited. Antimicrobial-resistant hvKP has been increasingly reported but has not yet been systematically studied. K. pneumoniae isolates from bloodstream infections, hospital-acquired pneumonia, and intra-abdominal infections were collected from 10 cities in China during February to July 2013. Clinical data were collected from medical records. All K. pneumoniae isolates were investigated by antimicrobial susceptibility testing, string test, extended-spectrum β-lactamase (ESBL) gene detection, capsular serotypes, virulence gene profiles, and multilocus sequence typing. hvKP was defined by aerobactin detection. Of 230 K. pneumoniae isolates, 37.8% were hvKP. The prevalence of hvKP varied among different cities, with the highest rate in Wuhan (73.9%) and the lowest in Zhejiang (8.3%). Hypermucoviscosity and the presence of K1, K2, K20, and rmpA genes were strongly associated with hvKP (P&lt;0.001). A significantly higher incidence of liver abscess (P=0.026), sepsis (P=0.038), and invasive infections (P=0.043) was caused by hvKP. Cancer (odds ratio [OR], 2.285) and diabetes mellitus (OR, 2.256) appeared to be independent variables associated with hvKP infections by multivariate analysis. Importantly, 12.6% of hvKP isolates produced ESBLs, and most of them carried blaCTX-M genes. Patients with neutropenia (37.5% versus 5.6%; P=0.020), history of systemic steroid therapy (37.5% versus 5.6%; P=0.020), and combination therapy (62.5% versus 16.7%; P=0.009) were more likely to be infected with ESBL-producing hvKP. The prevalence of hvKP is high in China and has a varied geographic distribution. ESBL-producing hvKP is emerging, suggesting an urgent need to enhance clinical awareness, especially for immunocompromised patients receiving combination therapy.","author":[{"dropping-particle":"","family":"Zhang","given":"Yawei","non-dropping-particle":"","parse-names":false,"suffix":""},{"dropping-particle":"","family":"Zhao","given":"Chunjiang","non-dropping-particle":"","parse-names":false,"suffix":""},{"dropping-particle":"","family":"Wang","given":"Qi","non-dropping-particle":"","parse-names":false,"suffix":""},{"dropping-particle":"","family":"Wang","given":"Xiaojuan","non-dropping-particle":"","parse-names":false,"suffix":""},{"dropping-particle":"","family":"Chen","given":"Hongbin","non-dropping-particle":"","parse-names":false,"suffix":""},{"dropping-particle":"","family":"Li","given":"Henan","non-dropping-particle":"","parse-names":false,"suffix":""},{"dropping-particle":"","family":"Zhang","given":"Feifei","non-dropping-particle":"","parse-names":false,"suffix":""},{"dropping-particle":"","family":"Li","given":"Shuguang","non-dropping-particle":"","parse-names":false,"suffix":""},{"dropping-particle":"","family":"Wang","given":"Ruobing","non-dropping-particle":"","parse-names":false,"suffix":""},{"dropping-particle":"","family":"Wang","given":"Hui","non-dropping-particle":"","parse-names":false,"suffix":""}],"container-title":"Antimicrobial Agents and Chemotherapy","id":"ITEM-1","issue":"10","issued":{"date-parts":[["2016"]]},"page":"6115-6120","title":"High prevalence of hypervirulent Klebsiella pneumoniae infection in China: Geographic distribution, clinical characteristics, and antimicrobial resistance","type":"article-journal","volume":"60"},"uris":["http://www.mendeley.com/documents/?uuid=3507fcea-beb1-444b-85aa-13edeb1aec0a"]}],"mendeley":{"formattedCitation":"(Zhang et al., 2016)","plainTextFormattedCitation":"(Zhang et al., 2016)","previouslyFormattedCitation":"(Zhang et al., 2016)"},"properties":{"noteIndex":0},"schema":"https://github.com/citation-style-language/schema/raw/master/csl-citation.json"}</w:instrText>
            </w:r>
            <w:r>
              <w:rPr>
                <w:b/>
                <w:sz w:val="20"/>
                <w:szCs w:val="20"/>
              </w:rPr>
              <w:fldChar w:fldCharType="separate"/>
            </w:r>
            <w:r>
              <w:rPr>
                <w:sz w:val="20"/>
                <w:szCs w:val="20"/>
              </w:rPr>
              <w:t>(Zhang et al., 2016)</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ACGCTCACCGGCTCCAGATTTAT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bla</w:t>
            </w:r>
            <w:r>
              <w:rPr>
                <w:iCs/>
                <w:sz w:val="20"/>
                <w:szCs w:val="20"/>
                <w:vertAlign w:val="subscript"/>
              </w:rPr>
              <w:t>OXA-1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ACACAATACATATCAACTTCGC</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813</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{"citationItems":[{"id":"ITEM-1","itemData":{"DOI":"10.1093/jac/dkl337","ISBN":"3494129975","ISSN":"03057453","PMID":"16935865","abstract":"Objectives: To carry out the characterization of the genes encoding extended-spectrum β-lactamases (ESBLs) and their genetic environments in four expanded-spectrum cephalosporin-resistant Salmonella enterica isolates (serovars: two Virchow, one Enteritidis, one Rissen) recovered during the monitoring programmes performed in Spain by the VAV Network from faecal samples of pigs, poultry and laying hens at the slaughterhouse level. Methods: The presence and characterization of ESBL genes as well as their genetic environments in the four S. enterica isolates were investigated by PCR and sequencing. The presence of other resistance genes was also analysed by PCR and sequencing. Results: Three avian S. enterica isolates (two Virchow and one Enteritidis) harboured the blaCTX-M-9 gene combined with blaTEM-1b. The blaCTX-M-9 gene was included in these three isolates in a class 1 integron with the following 5</w:instrText>
            </w:r>
            <w:r>
              <w:rPr>
                <w:rFonts w:hint="eastAsia"/>
                <w:b/>
                <w:sz w:val="20"/>
                <w:szCs w:val="20"/>
              </w:rPr>
              <w:instrText xml:space="preserve">′→</w:instrText>
            </w:r>
            <w:r>
              <w:rPr>
                <w:b/>
                <w:sz w:val="20"/>
                <w:szCs w:val="20"/>
              </w:rPr>
              <w:instrText xml:space="preserve">3</w:instrText>
            </w:r>
            <w:r>
              <w:rPr>
                <w:rFonts w:hint="eastAsia"/>
                <w:b/>
                <w:sz w:val="20"/>
                <w:szCs w:val="20"/>
              </w:rPr>
              <w:instrText xml:space="preserve">′</w:instrText>
            </w:r>
            <w:r>
              <w:rPr>
                <w:b/>
                <w:sz w:val="20"/>
                <w:szCs w:val="20"/>
              </w:rPr>
              <w:instrText xml:space="preserve"> structure: integron 1 variable region (dfrA16-aadA2 gene cassettes)-qacEΔ1-sul1-orf 513-blaCTX-M-9-orf3-like- orf1005. The sul2 gene was also detected in these three blaCTX-M-9-containing isolates and tet (A) in one of them. The two serovar Virchow isolates showed an indistinguishable PFGE pattern, although they were recovered from different animal species (broiler and laying hen). A porcine ESBL-positive isolate (serovar Rissen) harboured the blaSHV-12 gene combined with blaTEM-1b. This blaSHV-12 -containing isolate also harboured the tet (A), aadA and sul1 genes. Conclusions: The emergence of ESBL-producing S. enterica isolates among food animals is described for the first time in Spain, with those of the CTX-M group being the predominant ESBLs detected. © 2006 Oxford University Press.","author":[{"dropping-particle":"","family":"Riaño","given":"Ioana","non-dropping-particle":"","parse-names":false,"suffix":""},{"dropping-particle":"","family":"Moreno","given":"Miguel Angel","non-dropping-particle":"","parse-names":false,"suffix":""},{"dropping-particle":"","family":"Teshager","given":"Tirushet","non-dropping-particle":"","parse-names":false,"suffix":""},{"dropping-particle":"","family":"Sáenz","given":"Yolanda","non-dropping-particle":"","parse-names":false,"suffix":""},{"dropping-particle":"","family":"Domínguez","given":"Lucas","non-dropping-particle":"","parse-names":false,"suffix":""},{"dropping-particle":"","family":"Torres","given":"Carmen","non-dropping-particle":"","parse-names":false,"suffix":""}],"container-title":"Journal of Antimicrobial Chemotherapy","id":"ITEM-1","issue":"4","issued":{"date-parts":[["2006"]]},"page":"844-847","title":"Detection and characterization of extended-spectrum β-lactamases in Salmonella enterica strains of healthy food animals in Spain","type":"article-journal","volume":"58"},"uris":["http://www.mendeley.com/documents/?uuid=6c2a0a14-0fac-4db8-8aca-ae05ca78f295"]}],"mendeley":{"formattedCitation":"(Riaño et al., 2006)","plainTextFormattedCitation":"(Riaño et al., 2006)","previouslyFormattedCitation":"(Riaño et al., 2006)"},"properties":{"noteIndex":0},"schema":"https://github.com/citation-style-language/schema/raw/master/csl-citation.json"}</w:instrText>
            </w:r>
            <w:r>
              <w:rPr>
                <w:b/>
                <w:sz w:val="20"/>
                <w:szCs w:val="20"/>
              </w:rPr>
              <w:fldChar w:fldCharType="separate"/>
            </w:r>
            <w:r>
              <w:rPr>
                <w:sz w:val="20"/>
                <w:szCs w:val="20"/>
              </w:rPr>
              <w:t>(Riaño et al., 2006)</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AGTGTGTTTAGAATGGTGATC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29" w:type="pct"/>
            <w:vMerge w:val="restart"/>
            <w:tcBorders>
              <w:top w:val="nil"/>
              <w:left w:val="nil"/>
              <w:right w:val="nil"/>
            </w:tcBorders>
          </w:tcPr>
          <w:p>
            <w:pPr>
              <w:spacing w:before="0" w:after="0" w:line="240" w:lineRule="atLeast"/>
              <w:jc w:val="center"/>
              <w:rPr>
                <w:iCs/>
                <w:sz w:val="20"/>
                <w:szCs w:val="20"/>
              </w:rPr>
            </w:pPr>
            <w:r>
              <w:rPr>
                <w:rFonts w:hint="eastAsia"/>
                <w:iCs/>
                <w:sz w:val="20"/>
                <w:szCs w:val="20"/>
              </w:rPr>
              <w:t>Carbapenem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IMP</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GGAATAGAGTGGCTTAAYTCTC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bCs/>
                <w:sz w:val="20"/>
                <w:szCs w:val="20"/>
              </w:rPr>
              <w:t>232</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
                <w:sz w:val="20"/>
                <w:szCs w:val="20"/>
              </w:rPr>
              <w:instrText xml:space="preserve">≥</w:instrText>
            </w:r>
            <w:r>
              <w:rPr>
                <w:b/>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
                <w:sz w:val="20"/>
                <w:szCs w:val="20"/>
              </w:rPr>
              <w:fldChar w:fldCharType="separate"/>
            </w:r>
            <w:r>
              <w:rPr>
                <w:sz w:val="20"/>
                <w:szCs w:val="20"/>
              </w:rPr>
              <w:t>(Candan and Aksöz,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GGTTTAAYAAAACAACCACC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VIM</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GATGGTGTTTGGTCGCATA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390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
                <w:sz w:val="20"/>
                <w:szCs w:val="20"/>
              </w:rPr>
              <w:instrText xml:space="preserve">≥</w:instrText>
            </w:r>
            <w:r>
              <w:rPr>
                <w:b/>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
                <w:sz w:val="20"/>
                <w:szCs w:val="20"/>
              </w:rPr>
              <w:fldChar w:fldCharType="separate"/>
            </w:r>
            <w:r>
              <w:rPr>
                <w:sz w:val="20"/>
                <w:szCs w:val="20"/>
              </w:rPr>
              <w:t>(Candan and Aksöz,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CGAATGCGCAGCACCAG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OXA-48</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GCGTGGTTAAGGATGAACAC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438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
                <w:sz w:val="20"/>
                <w:szCs w:val="20"/>
              </w:rPr>
              <w:instrText xml:space="preserve">≥</w:instrText>
            </w:r>
            <w:r>
              <w:rPr>
                <w:b/>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
                <w:sz w:val="20"/>
                <w:szCs w:val="20"/>
              </w:rPr>
              <w:fldChar w:fldCharType="separate"/>
            </w:r>
            <w:r>
              <w:rPr>
                <w:sz w:val="20"/>
                <w:szCs w:val="20"/>
              </w:rPr>
              <w:t>(Candan and Aksöz,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CATCAAGTTCAACCCAACCG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OXA-181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TCAGTAGCTGAACAGGAGGGA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1461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{"citationItems":[{"id":"ITEM-1","itemData":{"DOI":"10.2147/IDR.S237793","ISSN":"11786973","abstract":"We present here the first report of an OXA-181-producing Klebsiella pneumoniae isolated from the fecal specimen of a patient in China. The OXA-181-encoding gene blaOXA-181 was located on a 51 kb IncX3-type plasmid. Conjugation assay and wholegenome sequencing analysis revealed that this transferrable plasmid in the K. pneumoniae isolate might have originated from Escherichia coli and have the potential to mediate the spread of blaOXA-181.","author":[{"dropping-particle":"","family":"Liu","given":"Congcong","non-dropping-particle":"","parse-names":false,"suffix":""},{"dropping-particle":"","family":"Fang","given":"Yinfei","non-dropping-particle":"","parse-names":false,"suffix":""},{"dropping-particle":"","family":"Zeng","given":"Yu","non-dropping-particle":"","parse-names":false,"suffix":""},{"dropping-particle":"","family":"Lu","given":"Jiayue","non-dropping-particle":"","parse-names":false,"suffix":""},{"dropping-particle":"","family":"Sun","given":"Qiaoling","non-dropping-particle":"","parse-names":false,"suffix":""},{"dropping-particle":"","family":"Zhou","given":"Hongwei","non-dropping-particle":"","parse-names":false,"suffix":""},{"dropping-particle":"","family":"Shen","given":"Zhangqi","non-dropping-particle":"","parse-names":false,"suffix":""},{"dropping-particle":"","family":"Chen","given":"Gongxiang","non-dropping-particle":"","parse-names":false,"suffix":""}],"container-title":"Infection and Drug Resistance","id":"ITEM-1","issued":{"date-parts":[["2020"]]},"page":"995-998","title":"First report of OXA-181-producing Klebsiella pneumoniae in China","type":"article-journal","volume":"13"},"uris":["http://www.mendeley.com/documents/?uuid=4cbda300-c9db-4ca9-b850-6fa2fb7b5730"]}],"mendeley":{"formattedCitation":"(Liu et al., 2020)","plainTextFormattedCitation":"(Liu et al., 2020)","previouslyFormattedCitation":"(Liu et al., 2020)"},"properties":{"noteIndex":0},"schema":"https://github.com/citation-style-language/schema/raw/master/csl-citation.json"}</w:instrText>
            </w:r>
            <w:r>
              <w:rPr>
                <w:b/>
                <w:sz w:val="20"/>
                <w:szCs w:val="20"/>
              </w:rPr>
              <w:fldChar w:fldCharType="separate"/>
            </w:r>
            <w:r>
              <w:rPr>
                <w:sz w:val="20"/>
                <w:szCs w:val="20"/>
              </w:rPr>
              <w:t>(Liu et al., 2020)</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TTCGAGCCGCAGACAATT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NDM</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GGTTTGGCGATCTGGTTTTC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621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{"citationItems":[{"id":"ITEM-1","itemData":{"DOI":"10.1016/j.diagmicrobio.2010.12.002","ISSN":"07328893","PMID":"21398074","abstract":"A rapid and reliable PCR-based technique was developed for detection of genes encoding carbapenemases belonging to different classes. Primers were designed to amplify the following 11 genes: blaIMP, blaVIM, blaNDM, blaSPM, blaAIM, blaDIM, blaGIM, blaSIM blaKPC, blaBIC, and blaOXA-48. Three different multiplex reaction mixtures were defined and evaluated for the detection of all these 11 genes. Using optimized conditions, each reaction mixture allowed to identify the respective genes, with PCR giving distinct amplicon sizes corresponding to the different genes for each mixture. We reported here a rapid and reliable technique for screening all clinically relevant carbapenemase genes. © 2011 Elsevier Inc.","author":[{"dropping-particle":"","family":"Poirel","given":"Laurent","non-dropping-particle":"","parse-names":false,"suffix":""},{"dropping-particle":"","family":"Walsh","given":"Timothy R.","non-dropping-particle":"","parse-names":false,"suffix":""},{"dropping-particle":"","family":"Cuvillier","given":"Vincent","non-dropping-particle":"","parse-names":false,"suffix":""},{"dropping-particle":"","family":"Nordmann","given":"Patrice","non-dropping-particle":"","parse-names":false,"suffix":""}],"container-title":"Diagnostic Microbiology and Infectious Disease","id":"ITEM-1","issue":"1","issued":{"date-parts":[["2011"]]},"page":"119-123","publisher":"Elsevier Inc.","title":"Multiplex PCR for detection of acquired carbapenemase genes","type":"article-journal","volume":"70"},"uris":["http://www.mendeley.com/documents/?uuid=713fd887-7ea4-4234-9153-6313fa4e9384"]}],"mendeley":{"formattedCitation":"(Poirel et al., 2011)","plainTextFormattedCitation":"(Poirel et al., 2011)","previouslyFormattedCitation":"(Poirel et al., 2011)"},"properties":{"noteIndex":0},"schema":"https://github.com/citation-style-language/schema/raw/master/csl-citation.json"}</w:instrText>
            </w:r>
            <w:r>
              <w:rPr>
                <w:b/>
                <w:sz w:val="20"/>
                <w:szCs w:val="20"/>
              </w:rPr>
              <w:fldChar w:fldCharType="separate"/>
            </w:r>
            <w:r>
              <w:rPr>
                <w:sz w:val="20"/>
                <w:szCs w:val="20"/>
              </w:rPr>
              <w:t>(Poirel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CGGAATGGCTCATCACGATC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KPC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CGTCTAGTTCTGCTGTCTTG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798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{"citationItems":[{"id":"ITEM-1","itemData":{"DOI":"10.18388/abp.2015_1148","ISSN":"1734154X","PMID":"26637376","abstract":"Klebsiella pneumoniae, known as a major threat to public health, is the most common factor of nosocomial and community acquired infections. In this study, 50 K. pneumoniae clinical specimens isolated from bronchial, urea, blood, catheter, rectal, bile, tracheal and wound cultures were collected. These isolates were identified and carbapenem resistance was determined via an automated system, CHROMagar Orientation and CHROMagar KPC. The carbapenemase gene regions (blaIMP, blaVIM, blaOXA, blaNDM and blaKPC) and presence of virulence factors (magA, k2A, rmpA, wabG, uge, allS, entB, ycfM, kpn, wcaG, fimH, mrkD, iutA, iroN, hly ve cnf-1) of these isolates were determined by using Multiplex-PCR. The OXA-48 carbapenemase gene regions were determined in 33 of 50 K. pneumoniae strains. In addition, NDM-1 resistance in one, OXA-48 and NDM-1 resistance in four unusual K. pneumoniae isolates were detected. Virulence gene regions that were encountered among K. pneumoniae isolates were 88% wabG, 86% uge, 80% ycfM and 72% entB, related with capsule, capsule lipoprotein and external membrane protein, responsible for enterobactin production, respectively. Even though there was no significant difference between resistant and sensitive strains due to the virulence gene regions (P</w:instrText>
            </w:r>
            <w:r>
              <w:rPr>
                <w:rFonts w:hint="eastAsia"/>
                <w:b/>
                <w:sz w:val="20"/>
                <w:szCs w:val="20"/>
              </w:rPr>
              <w:instrText xml:space="preserve">≥</w:instrText>
            </w:r>
            <w:r>
              <w:rPr>
                <w:b/>
                <w:sz w:val="20"/>
                <w:szCs w:val="20"/>
              </w:rPr>
              <w:instrText xml:space="preserve">0.05), virulence factors in carbapenem resistant isolates were found to be more diverse. This study is important for both, to prevent the spread of carbapenem resistant infections and to plan for developing effective treatments. Moreover, this study is the first detailed study of the carbapenem resistance and virulence factors in K. pneumoniae strains.","author":[{"dropping-particle":"","family":"Candan","given":"Esra Deniz","non-dropping-particle":"","parse-names":false,"suffix":""},{"dropping-particle":"","family":"Aksöz","given":"Nilüfer","non-dropping-particle":"","parse-names":false,"suffix":""}],"container-title":"Acta Biochimica Polonica","id":"ITEM-1","issue":"4","issued":{"date-parts":[["2015"]]},"page":"867-874","title":"Klebsiella pneumoniae: Characteristics of carbapenem resistance and virulence factors","type":"article-journal","volume":"62"},"uris":["http://www.mendeley.com/documents/?uuid=25692645-6587-40dd-9bbb-f96b72b844a5"]}],"mendeley":{"formattedCitation":"(Candan and Aksöz, 2015)","plainTextFormattedCitation":"(Candan and Aksöz, 2015)","previouslyFormattedCitation":"(Candan and Aksöz, 2015)"},"properties":{"noteIndex":0},"schema":"https://github.com/citation-style-language/schema/raw/master/csl-citation.json"}</w:instrText>
            </w:r>
            <w:r>
              <w:rPr>
                <w:b/>
                <w:sz w:val="20"/>
                <w:szCs w:val="20"/>
              </w:rPr>
              <w:fldChar w:fldCharType="separate"/>
            </w:r>
            <w:r>
              <w:rPr>
                <w:sz w:val="20"/>
                <w:szCs w:val="20"/>
              </w:rPr>
              <w:t xml:space="preserve">(Candan </w:t>
            </w:r>
            <w:bookmarkStart w:id="1" w:name="_GoBack"/>
            <w:bookmarkEnd w:id="1"/>
            <w:r>
              <w:rPr>
                <w:sz w:val="20"/>
                <w:szCs w:val="20"/>
              </w:rPr>
              <w:t>and Aksöz,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CTTGTCATCCTTGTTAGGCG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Cs/>
                <w:sz w:val="20"/>
                <w:szCs w:val="20"/>
              </w:rPr>
            </w:pPr>
            <w:r>
              <w:rPr>
                <w:rFonts w:hint="eastAsia"/>
                <w:iCs/>
                <w:sz w:val="20"/>
                <w:szCs w:val="20"/>
              </w:rPr>
              <w:t>AmpC</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MOX</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GCTGCTCAAGGAGCACAGGAT</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520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{"citationItems":[{"id":"ITEM-1","itemData":{"DOI":"10.1002/jcla.22298","ISSN":"10982825","PMID":"28718958","abstract":"Background: An increasing of prevalence and diversification of plasmid-mediated AmpC (pAmpC) has been emerged worldwide. The incidence of pAmpC resulted in increasing β-lactamase production and conferred resistance to almost all β-lactam antibiotics excluding carbapenems. The lack of standard method for pAmpC identification and classification exert a challenge in epidemiological surveillance and infection control practices. Methods: A robust, single tube multiplex PCR has been developed to classify six different pAmpC groups including CIT (CMY-2 like, LAT and CFE), ECB (ACT, MIR), MOX &amp; CMY-1 like, DHA, ACC, and FOX. The developed method was optimized and validated by testing of sensitivity and specificity. Results: Developed method can detect crude extracted DNA template at nano-scale (2.5 ηg) and has high discriminatory power as compared to phenotypic and commercial genotypic method. Conclusion: The developed method can be utilized for tracking the changes of clinically important resistance patterns and further investigation of occurrence and distribution of plasmid-mediated AmpC types.","author":[{"dropping-particle":"Van","family":"Chuong","given":"Le","non-dropping-particle":"","parse-names":false,"suffix":""},{"dropping-particle":"","family":"Prachayasittikul","given":"Virapong","non-dropping-particle":"","parse-names":false,"suffix":""},{"dropping-particle":"","family":"Isarankura Na Ayudhya","given":"Chartchalerm","non-dropping-particle":"","parse-names":false,"suffix":""},{"dropping-particle":"","family":"Lawung","given":"Ratana","non-dropping-particle":"","parse-names":false,"suffix":""}],"container-title":"Journal of Clinical Laboratory Analysis","id":"ITEM-1","issue":"3","issued":{"date-parts":[["2018"]]},"page":"e22298","title":"Multiplex PCR scheme for variant plasmid mediated class C β-lactamase typing","type":"article-journal","volume":"32"},"uris":["http://www.mendeley.com/documents/?uuid=2519a79f-09e5-4174-887e-f8a33dc9812f"]}],"mendeley":{"formattedCitation":"(Chuong et al., 2018)","plainTextFormattedCitation":"(Chuong et al., 2018)","previouslyFormattedCitation":"(Chuong et al., 2018)"},"properties":{"noteIndex":0},"schema":"https://github.com/citation-style-language/schema/raw/master/csl-citation.json"}</w:instrText>
            </w:r>
            <w:r>
              <w:rPr>
                <w:b/>
                <w:sz w:val="20"/>
                <w:szCs w:val="20"/>
              </w:rPr>
              <w:fldChar w:fldCharType="separate"/>
            </w:r>
            <w:r>
              <w:rPr>
                <w:sz w:val="20"/>
                <w:szCs w:val="20"/>
              </w:rPr>
              <w:t>(Chuong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CACATTGACATAGGTGTGGTGC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CIT</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CGAAGAGGCAATGACCAGAC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538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{"citationItems":[{"id":"ITEM-1","itemData":{"DOI":"10.1371/journal.pone.0238084","ISBN":"1111111111","ISSN":"19326203","PMID":"33284819","abstract":"The increasing occurrence of multidrug-resistant Enterobacteriaceae in clinical and environmental settings has been seen globally as a complex public health challenge, mostly in the developing nations where they significantly impact freshwater used for a variety of domestic purposes and irrigation. This paper detail the occurrence and antibiogram signatures of the Enterobacteriaceae community in Tsomo and Tyhume rivers within the Eastern Cape Province, the Republic of South Africa, using standard methods. The average distribution of the presumptive Enterobacteriaceae in the rivers ranged from 1 × 102 CFU/100ml to 1.95 × 104 CFU/100ml. We confirmed 56 (70.8%) out of 79 presumptive Enterobacteriaceae isolated being species within the family Enterobacteriaceae through the Matrix-Assisted Laser Desorption Ionization Time of Flight technique. Citrobacter-, Enterobacter-, Klebsiella species, and Escherichia coli were selected (n = 40) due to their pathogenic potentials for antibiogram profiling. The results of the antibiotic susceptibility testing gave a revelation that all the isolates were phenotypically multidrug-resistant. The resistance against ampicillin (95%), tetracycline and doxycycline (88%), and trimethoprim-sulfamethoxazole (85%) antibiotics were most prevalent. The Multiple Antibiotic Resistance indices stretched from 0.22 to 0.94, with the highest index observed in a C. freundii isolate. Molecular characterisation using the PCR technique revealed the dominance of blaTEM (30%; 12/40) among the eight groups of β-lactams resistance determinants assayed. The prevalence of others was blaCTX-M genes including group 1, 2 and 9 (27.5%), blaSHV (20%), blaOXA-1-like (10%), blaPER (2.5%), and blaVEB (0%). The frequencies of the resistance determinants for the carbapenems were blaKPC (17.6%), blaGES (11.8%), blaIMP (11.8%), blaVIM (11.8%), and blaOXA-48-like (5.9%). Out of the six plasmid-mediated AmpC (pAmpC) genes investigated blaACC, blaEBC, blaFOX, blaCIT, blaDHA, and blaMOX, only the first four were detected. In this category, the most dominant was blaEBC, with 18.4% (7/38). The prevalence of the non-β-lactamases include tetA (33.3%), tetB (30.5%), tetC (2.8%), tetD (11.1%), tetK (0%), tetM (13.9%), catI (12%), catII (68%), sulI (14.3%), sulII (22.9%) and aadA (8.3%). Notably, a C. koseri harboured 42.8% (12/28) of the genes assayed for which includes five of the ESBL genes (including the only blaPER detected in this study), two of the pAmpC resistance…","author":[{"dropping-particle":"","family":"Fadare","given":"Folake Temitope","non-dropping-particle":"","parse-names":false,"suffix":""},{"dropping-particle":"","family":"Adefisoye","given":"Martins Ajibade","non-dropping-particle":"","parse-names":false,"suffix":""},{"dropping-particle":"","family":"Okoh","given":"Anthony Ifeanyi","non-dropping-particle":"","parse-names":false,"suffix":""}],"container-title":"PLoS ONE","id":"ITEM-1","issue":"12 December","issued":{"date-parts":[["2020"]]},"page":"1-27","title":"Occurrence, identification, and antibiogram signatures of selected Enterobacteriaceae from Tsomo and Tyhume rivers in the Eastern Cape Province, Republic of South Africa","type":"article-journal","volume":"15"},"uris":["http://www.mendeley.com/documents/?uuid=28cf39b4-ddc5-4ab7-a547-4fdc220e7919"]}],"mendeley":{"formattedCitation":"(Fadare et al., 2020)","plainTextFormattedCitation":"(Fadare et al., 2020)","previouslyFormattedCitation":"(Fadare et al., 2020)"},"properties":{"noteIndex":0},"schema":"https://github.com/citation-style-language/schema/raw/master/csl-citation.json"}</w:instrText>
            </w:r>
            <w:r>
              <w:rPr>
                <w:b/>
                <w:sz w:val="20"/>
                <w:szCs w:val="20"/>
              </w:rPr>
              <w:fldChar w:fldCharType="separate"/>
            </w:r>
            <w:r>
              <w:rPr>
                <w:sz w:val="20"/>
                <w:szCs w:val="20"/>
              </w:rPr>
              <w:t>(Fadare et al., 2020)</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ACGGACAGGGTTAGGATAGY</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DHA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GCCTGTTTGGTGCTCTGA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460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{"citationItems":[{"id":"ITEM-1","itemData":{"DOI":"10.1099/jmm.0.073767-0","ISSN":"00222615","PMID":"25009193","abstract":"Ten carbapenem-resistant Enterobacteriaceae (eight Klebsiella pneumoniae isolates and two Enterobacter cloacae) isolates from Yemen were investigated using in vitro antimicrobial susceptibility testing, phenotypic carbapenemase detection, multilocus sequence typing (MLST) and replicon typing. Carbapenemase, extended-spectrum β-lactamase (ESBL) and plasmid-mediated quinolone resistance determinant genes were identified using PCR and sequencing. All of the 10 carbapenem-resistant Enterobacteriaceae were resistant to β-lactams, tobramycin, ciprofloxacin and cotrimoxazole. Imipenem, doripenem and meropenem MICs ranged from 2 to &gt;32 mg l−1 and ertapenem MICs ranged from 6 to &gt;32 mg l−1. All of the K. pneumoniae isolates showed ESBL activity in phenotypic tests. Genes encoding blaNDM were detected in all strains. All K. pneumoniae strains produced CTX-M-15 ESBL and SHV β-lactamases. TEM-1 β-lactamase was detected in seven isolates. Nine isolates were qnr positive including QnrB1, QnrA1 and QnrS1, and six isolates produced AAC-6</w:instrText>
            </w:r>
            <w:r>
              <w:rPr>
                <w:rFonts w:hint="eastAsia"/>
                <w:b/>
                <w:sz w:val="20"/>
                <w:szCs w:val="20"/>
              </w:rPr>
              <w:instrText xml:space="preserve">′</w:instrText>
            </w:r>
            <w:r>
              <w:rPr>
                <w:b/>
                <w:sz w:val="20"/>
                <w:szCs w:val="20"/>
              </w:rPr>
              <w:instrText xml:space="preserve">-Ib-cr. MLST identified five different sequence types (STs): ST1399, ST147, ST29, ST405 and ST340. Replicon typing showed the presence of IncFII1K plasmids in four transformants. To the best of our knowledge, this is the first report of NDM-1-producing Enterobacteriaceae isolates in Yemen.","author":[{"dropping-particle":"","family":"Gharout-Sait","given":"Alima","non-dropping-particle":"","parse-names":false,"suffix":""},{"dropping-particle":"","family":"Alsharapy","given":"Samer Ahmed","non-dropping-particle":"","parse-names":false,"suffix":""},{"dropping-particle":"","family":"Brasme","given":"Lucien","non-dropping-particle":"","parse-names":false,"suffix":""},{"dropping-particle":"","family":"Touati","given":"Abdelaziz","non-dropping-particle":"","parse-names":false,"suffix":""},{"dropping-particle":"","family":"Kermas","given":"Rachida","non-dropping-particle":"","parse-names":false,"suffix":""},{"dropping-particle":"","family":"Bakour","given":"Sofiane","non-dropping-particle":"","parse-names":false,"suffix":""},{"dropping-particle":"","family":"Guillard","given":"Thomas","non-dropping-particle":"","parse-names":false,"suffix":""},{"dropping-particle":"","family":"Champs","given":"Christophe","non-dropping-particle":"de","parse-names":false,"suffix":""}],"container-title":"Journal of Medical Microbiology","id":"ITEM-1","issued":{"date-parts":[["2014"]]},"page":"1316-1323","title":"Enterobacteriaceae isolates carrying the New Delhi metallo-β-lactamase gene in Yemen","type":"article-journal","volume":"63"},"uris":["http://www.mendeley.com/documents/?uuid=677b50b1-4972-49e2-be02-e9c33a1cbb45"]}],"mendeley":{"formattedCitation":"(Gharout-Sait et al., 2014)","plainTextFormattedCitation":"(Gharout-Sait et al., 2014)","previouslyFormattedCitation":"(Gharout-Sait et al., 2014)"},"properties":{"noteIndex":0},"schema":"https://github.com/citation-style-language/schema/raw/master/csl-citation.json"}</w:instrText>
            </w:r>
            <w:r>
              <w:rPr>
                <w:b/>
                <w:sz w:val="20"/>
                <w:szCs w:val="20"/>
              </w:rPr>
              <w:fldChar w:fldCharType="separate"/>
            </w:r>
            <w:r>
              <w:rPr>
                <w:sz w:val="20"/>
                <w:szCs w:val="20"/>
              </w:rPr>
              <w:t>(Gharout-Sait et al., 2014)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rFonts w:hint="eastAsia"/>
                <w:sz w:val="20"/>
                <w:szCs w:val="20"/>
              </w:rPr>
              <w:t>GCACGGTTATACGGCTGA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ACC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AACAGCCTCAGCAGCCGGTTA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346</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{"citationItems":[{"id":"ITEM-1","itemData":{"DOI":"10.1002/jcla.22298","ISSN":"10982825","PMID":"28718958","abstract":"Background: An increasing of prevalence and diversification of plasmid-mediated AmpC (pAmpC) has been emerged worldwide. The incidence of pAmpC resulted in increasing β-lactamase production and conferred resistance to almost all β-lactam antibiotics excluding carbapenems. The lack of standard method for pAmpC identification and classification exert a challenge in epidemiological surveillance and infection control practices. Methods: A robust, single tube multiplex PCR has been developed to classify six different pAmpC groups including CIT (CMY-2 like, LAT and CFE), ECB (ACT, MIR), MOX &amp; CMY-1 like, DHA, ACC, and FOX. The developed method was optimized and validated by testing of sensitivity and specificity. Results: Developed method can detect crude extracted DNA template at nano-scale (2.5 ηg) and has high discriminatory power as compared to phenotypic and commercial genotypic method. Conclusion: The developed method can be utilized for tracking the changes of clinically important resistance patterns and further investigation of occurrence and distribution of plasmid-mediated AmpC types.","author":[{"dropping-particle":"Van","family":"Chuong","given":"Le","non-dropping-particle":"","parse-names":false,"suffix":""},{"dropping-particle":"","family":"Prachayasittikul","given":"Virapong","non-dropping-particle":"","parse-names":false,"suffix":""},{"dropping-particle":"","family":"Isarankura Na Ayudhya","given":"Chartchalerm","non-dropping-particle":"","parse-names":false,"suffix":""},{"dropping-particle":"","family":"Lawung","given":"Ratana","non-dropping-particle":"","parse-names":false,"suffix":""}],"container-title":"Journal of Clinical Laboratory Analysis","id":"ITEM-1","issue":"3","issued":{"date-parts":[["2018"]]},"page":"e22298","title":"Multiplex PCR scheme for variant plasmid mediated class C β-lactamase typing","type":"article-journal","volume":"32"},"uris":["http://www.mendeley.com/documents/?uuid=2519a79f-09e5-4174-887e-f8a33dc9812f"]}],"mendeley":{"formattedCitation":"(Chuong et al., 2018)","plainTextFormattedCitation":"(Chuong et al., 2018)","previouslyFormattedCitation":"(Chuong et al., 2018)"},"properties":{"noteIndex":0},"schema":"https://github.com/citation-style-language/schema/raw/master/csl-citation.json"}</w:instrText>
            </w:r>
            <w:r>
              <w:rPr>
                <w:b/>
                <w:sz w:val="20"/>
                <w:szCs w:val="20"/>
              </w:rPr>
              <w:fldChar w:fldCharType="separate"/>
            </w:r>
            <w:r>
              <w:rPr>
                <w:sz w:val="20"/>
                <w:szCs w:val="20"/>
              </w:rPr>
              <w:t>(Chuong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TTCGCCGCAATCATCCCTAGC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EBC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 xml:space="preserve">CGGTAAAGCCGATGTTGCG </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683</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{"citationItems":[{"id":"ITEM-1","itemData":{"DOI":"10.1371/journal.pone.0238084","ISBN":"1111111111","ISSN":"19326203","PMID":"33284819","abstract":"The increasing occurrence of multidrug-resistant Enterobacteriaceae in clinical and environmental settings has been seen globally as a complex public health challenge, mostly in the developing nations where they significantly impact freshwater used for a variety of domestic purposes and irrigation. This paper detail the occurrence and antibiogram signatures of the Enterobacteriaceae community in Tsomo and Tyhume rivers within the Eastern Cape Province, the Republic of South Africa, using standard methods. The average distribution of the presumptive Enterobacteriaceae in the rivers ranged from 1 × 102 CFU/100ml to 1.95 × 104 CFU/100ml. We confirmed 56 (70.8%) out of 79 presumptive Enterobacteriaceae isolated being species within the family Enterobacteriaceae through the Matrix-Assisted Laser Desorption Ionization Time of Flight technique. Citrobacter-, Enterobacter-, Klebsiella species, and Escherichia coli were selected (n = 40) due to their pathogenic potentials for antibiogram profiling. The results of the antibiotic susceptibility testing gave a revelation that all the isolates were phenotypically multidrug-resistant. The resistance against ampicillin (95%), tetracycline and doxycycline (88%), and trimethoprim-sulfamethoxazole (85%) antibiotics were most prevalent. The Multiple Antibiotic Resistance indices stretched from 0.22 to 0.94, with the highest index observed in a C. freundii isolate. Molecular characterisation using the PCR technique revealed the dominance of blaTEM (30%; 12/40) among the eight groups of β-lactams resistance determinants assayed. The prevalence of others was blaCTX-M genes including group 1, 2 and 9 (27.5%), blaSHV (20%), blaOXA-1-like (10%), blaPER (2.5%), and blaVEB (0%). The frequencies of the resistance determinants for the carbapenems were blaKPC (17.6%), blaGES (11.8%), blaIMP (11.8%), blaVIM (11.8%), and blaOXA-48-like (5.9%). Out of the six plasmid-mediated AmpC (pAmpC) genes investigated blaACC, blaEBC, blaFOX, blaCIT, blaDHA, and blaMOX, only the first four were detected. In this category, the most dominant was blaEBC, with 18.4% (7/38). The prevalence of the non-β-lactamases include tetA (33.3%), tetB (30.5%), tetC (2.8%), tetD (11.1%), tetK (0%), tetM (13.9%), catI (12%), catII (68%), sulI (14.3%), sulII (22.9%) and aadA (8.3%). Notably, a C. koseri harboured 42.8% (12/28) of the genes assayed for which includes five of the ESBL genes (including the only blaPER detected in this study), two of the pAmpC resistance…","author":[{"dropping-particle":"","family":"Fadare","given":"Folake Temitope","non-dropping-particle":"","parse-names":false,"suffix":""},{"dropping-particle":"","family":"Adefisoye","given":"Martins Ajibade","non-dropping-particle":"","parse-names":false,"suffix":""},{"dropping-particle":"","family":"Okoh","given":"Anthony Ifeanyi","non-dropping-particle":"","parse-names":false,"suffix":""}],"container-title":"PLoS ONE","id":"ITEM-1","issue":"12 December","issued":{"date-parts":[["2020"]]},"page":"1-27","title":"Occurrence, identification, and antibiogram signatures of selected Enterobacteriaceae from Tsomo and Tyhume rivers in the Eastern Cape Province, Republic of South Africa","type":"article-journal","volume":"15"},"uris":["http://www.mendeley.com/documents/?uuid=28cf39b4-ddc5-4ab7-a547-4fdc220e7919"]}],"mendeley":{"formattedCitation":"(Fadare et al., 2020)","plainTextFormattedCitation":"(Fadare et al., 2020)","previouslyFormattedCitation":"(Fadare et al., 2020)"},"properties":{"noteIndex":0},"schema":"https://github.com/citation-style-language/schema/raw/master/csl-citation.json"}</w:instrText>
            </w:r>
            <w:r>
              <w:rPr>
                <w:b/>
                <w:sz w:val="20"/>
                <w:szCs w:val="20"/>
              </w:rPr>
              <w:fldChar w:fldCharType="separate"/>
            </w:r>
            <w:r>
              <w:rPr>
                <w:sz w:val="20"/>
                <w:szCs w:val="20"/>
              </w:rPr>
              <w:t>(Fadare et al., 2020)</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AGCCTAACCCCTGATACA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FOX</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AACATGGGGTATCAGGGAGATG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190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{"citationItems":[{"id":"ITEM-1","itemData":{"DOI":"10.1002/jcla.22298","ISSN":"10982825","PMID":"28718958","abstract":"Background: An increasing of prevalence and diversification of plasmid-mediated AmpC (pAmpC) has been emerged worldwide. The incidence of pAmpC resulted in increasing β-lactamase production and conferred resistance to almost all β-lactam antibiotics excluding carbapenems. The lack of standard method for pAmpC identification and classification exert a challenge in epidemiological surveillance and infection control practices. Methods: A robust, single tube multiplex PCR has been developed to classify six different pAmpC groups including CIT (CMY-2 like, LAT and CFE), ECB (ACT, MIR), MOX &amp; CMY-1 like, DHA, ACC, and FOX. The developed method was optimized and validated by testing of sensitivity and specificity. Results: Developed method can detect crude extracted DNA template at nano-scale (2.5 ηg) and has high discriminatory power as compared to phenotypic and commercial genotypic method. Conclusion: The developed method can be utilized for tracking the changes of clinically important resistance patterns and further investigation of occurrence and distribution of plasmid-mediated AmpC types.","author":[{"dropping-particle":"Van","family":"Chuong","given":"Le","non-dropping-particle":"","parse-names":false,"suffix":""},{"dropping-particle":"","family":"Prachayasittikul","given":"Virapong","non-dropping-particle":"","parse-names":false,"suffix":""},{"dropping-particle":"","family":"Isarankura Na Ayudhya","given":"Chartchalerm","non-dropping-particle":"","parse-names":false,"suffix":""},{"dropping-particle":"","family":"Lawung","given":"Ratana","non-dropping-particle":"","parse-names":false,"suffix":""}],"container-title":"Journal of Clinical Laboratory Analysis","id":"ITEM-1","issue":"3","issued":{"date-parts":[["2018"]]},"page":"e22298","title":"Multiplex PCR scheme for variant plasmid mediated class C β-lactamase typing","type":"article-journal","volume":"32"},"uris":["http://www.mendeley.com/documents/?uuid=2519a79f-09e5-4174-887e-f8a33dc9812f"]}],"mendeley":{"formattedCitation":"(Chuong et al., 2018)","plainTextFormattedCitation":"(Chuong et al., 2018)","previouslyFormattedCitation":"(Chuong et al., 2018)"},"properties":{"noteIndex":0},"schema":"https://github.com/citation-style-language/schema/raw/master/csl-citation.json"}</w:instrText>
            </w:r>
            <w:r>
              <w:rPr>
                <w:b/>
                <w:sz w:val="20"/>
                <w:szCs w:val="20"/>
              </w:rPr>
              <w:fldChar w:fldCharType="separate"/>
            </w:r>
            <w:r>
              <w:rPr>
                <w:sz w:val="20"/>
                <w:szCs w:val="20"/>
              </w:rPr>
              <w:t>(Chuong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Cs/>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CAAAGCGCGTAACCGGATTGG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iCs/>
                <w:sz w:val="20"/>
                <w:szCs w:val="20"/>
              </w:rPr>
              <w:t>Aminoglycoside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i/>
                <w:sz w:val="20"/>
                <w:szCs w:val="20"/>
              </w:rPr>
              <w:t>armA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shd w:val="clear" w:color="auto" w:fill="FFFFFF"/>
              </w:rPr>
            </w:pPr>
            <w:r>
              <w:rPr>
                <w:sz w:val="20"/>
                <w:szCs w:val="20"/>
              </w:rPr>
              <w:t>CAAATGGATAAGAATGATGTT</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774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TTATTTCTGAAATCCACT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i/>
                <w:sz w:val="20"/>
                <w:szCs w:val="20"/>
              </w:rPr>
              <w:t>rmtA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ATGAGCTTTGACGATGCCCTA</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756</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TCACTTATTCCTTTTTATCATG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i/>
                <w:sz w:val="20"/>
                <w:szCs w:val="20"/>
              </w:rPr>
              <w:t>rmtB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ATGAACATCAACGATGCCCT</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769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CCTTCTGATTGGCTTATCCA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i/>
                <w:sz w:val="20"/>
                <w:szCs w:val="20"/>
              </w:rPr>
              <w:t>rmtC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CGAAGAAGTAACAGCCAAAG</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711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rFonts w:eastAsia="TimesNewRomanPSMT"/>
                <w:sz w:val="20"/>
                <w:szCs w:val="20"/>
              </w:rPr>
            </w:pPr>
            <w:r>
              <w:rPr>
                <w:sz w:val="20"/>
                <w:szCs w:val="20"/>
              </w:rPr>
              <w:t>ATCCCAACATCTCTCCCACT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i/>
                <w:sz w:val="20"/>
                <w:szCs w:val="20"/>
              </w:rPr>
              <w:t>rmtD</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CGGCACGCGATTGGGAAGC</w:t>
            </w:r>
          </w:p>
        </w:tc>
        <w:tc>
          <w:tcPr>
            <w:tcW w:w="433" w:type="pct"/>
            <w:tcBorders>
              <w:top w:val="nil"/>
              <w:left w:val="nil"/>
              <w:bottom w:val="nil"/>
              <w:right w:val="nil"/>
            </w:tcBorders>
            <w:vAlign w:val="center"/>
          </w:tcPr>
          <w:p>
            <w:pPr>
              <w:spacing w:before="0" w:after="0" w:line="240" w:lineRule="atLeast"/>
              <w:jc w:val="center"/>
              <w:rPr>
                <w:sz w:val="20"/>
                <w:szCs w:val="20"/>
              </w:rPr>
            </w:pPr>
            <w:r>
              <w:rPr>
                <w:sz w:val="20"/>
                <w:szCs w:val="20"/>
              </w:rPr>
              <w:t>401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CGGAAACGATGCGACGAT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rmt</w:t>
            </w:r>
            <w:r>
              <w:rPr>
                <w:rFonts w:hint="eastAsia"/>
                <w:i/>
                <w:sz w:val="20"/>
                <w:szCs w:val="20"/>
              </w:rPr>
              <w:t>E</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ATGAATATTGATGAAATGGTTGC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818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{"citationItems":[{"id":"ITEM-1","itemData":{"DOI":"10.1128/AAC.00308-11","ISSN":"00664804","PMID":"21859937","abstract":"The 16S rRNA methyltransferase ArmA is a worldwide emerging determinant that confers high-level resistance to most clinically relevant aminoglycosides. We report here the identification and characterization of a multidrug-resistant Salmonella enterica subspecies I.4,12:i:- isolate recovered from chicken meat sampled in a supermarket on February 2009 in La Reunion, a French island in the Indian Ocean. Susceptibility testing showed an unusually high-level resistance to gentamicin, as well as to ampicillin, expanded-spectrum cephalosporins and amoxicillin-clavulanate. Molecular analysis of the 16S rRNA methyltransferases revealed presence of the armA gene, together with bla TEM-1, bla CMY-2, and bla CTX-M-3. All of these genes could be transferred en bloc through conjugation into Escherichia coli at a frequency of 10 -5 CFU/donor. Replicon typing and S1 pulsed-field gel electrophoresis revealed that the armA gene was borne on an ~150-kb broad-host-range IncP plasmid, pB1010. To elucidate how armA had integrated in pB1010, a PCR mapping strategy was developed for Tn1548, the genetic platform for armA. The gene was embedded in a Tn1548-like structure, albeit with a deletion of the macrolide resistance genes, and an IS26 was inserted within the mel gene. To our knowledge, this is the first report of ArmA methyltransferase in food, showing a novel route of transmission for this resistance determinant. Further surveillance in food-borne bacteria will be crucial to determine the role of food in the spread of 16S rRNA methyltransferase genes worldwide. Copyright © 2011, American Society for Microbiology. All Rights Reserved.","author":[{"dropping-particle":"","family":"Granier","given":"Sophie A.","non-dropping-particle":"","parse-names":false,"suffix":""},{"dropping-particle":"","family":"Hidalgo","given":"Laura","non-dropping-particle":"","parse-names":false,"suffix":""},{"dropping-particle":"","family":"Millan","given":"Alvaro San","non-dropping-particle":"","parse-names":false,"suffix":""},{"dropping-particle":"","family":"Escudero","given":"Jose Antonio","non-dropping-particle":"","parse-names":false,"suffix":""},{"dropping-particle":"","family":"Gutierrez","given":"Belen","non-dropping-particle":"","parse-names":false,"suffix":""},{"dropping-particle":"","family":"Brisabois","given":"Anne","non-dropping-particle":"","parse-names":false,"suffix":""},{"dropping-particle":"","family":"Gonzalez-Zorn","given":"Bruno","non-dropping-particle":"","parse-names":false,"suffix":""}],"container-title":"Antimicrobial Agents and Chemotherapy","id":"ITEM-1","issue":"11","issued":{"date-parts":[["2011"]]},"page":"5262-5266","title":"ArmA methyltransferase in a monophasic Salmonella enterica isolate from food","type":"article-journal","volume":"55"},"uris":["http://www.mendeley.com/documents/?uuid=f663af3d-d085-4f7b-9ac4-f0ee5b96c51e"]}],"mendeley":{"formattedCitation":"(Granier et al., 2011)","plainTextFormattedCitation":"(Granier et al., 2011)","previouslyFormattedCitation":"(Granier et al., 2011)"},"properties":{"noteIndex":0},"schema":"https://github.com/citation-style-language/schema/raw/master/csl-citation.json"}</w:instrText>
            </w:r>
            <w:r>
              <w:rPr>
                <w:b/>
                <w:sz w:val="20"/>
                <w:szCs w:val="20"/>
              </w:rPr>
              <w:fldChar w:fldCharType="separate"/>
            </w:r>
            <w:r>
              <w:rPr>
                <w:sz w:val="20"/>
                <w:szCs w:val="20"/>
              </w:rPr>
              <w:t>(Granier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TGATTGATTTCCTCCGTTTTTG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vAlign w:val="center"/>
          </w:tcPr>
          <w:p>
            <w:pPr>
              <w:spacing w:before="0" w:after="0" w:line="240" w:lineRule="atLeast"/>
              <w:jc w:val="center"/>
              <w:rPr>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npmA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CTCAAAGGAACAAAGACGG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641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{"citationItems":[{"id":"ITEM-1","itemData":{"author":[{"dropping-particle":"","family":"Kuang","given":"XH","non-dropping-particle":"","parse-names":false,"suffix":""}],"container-title":"HuaZhong Agricultural University","id":"ITEM-1","issued":{"date-parts":[["2015"]]},"title":"Prevalence and molecular characteristic of resistance and virulence of three different livestock pathogen bacteria in central China","type":"article-journal"},"uris":["http://www.mendeley.com/documents/?uuid=f62f5e6c-8edf-4f0f-b76e-f1d08a3af814"]}],"mendeley":{"formattedCitation":"(Kuang, 2015)","plainTextFormattedCitation":"(Kuang, 2015)","previouslyFormattedCitation":"(XH, 2015)"},"properties":{"noteIndex":0},"schema":"https://github.com/citation-style-language/schema/raw/master/csl-citation.json"}</w:instrText>
            </w:r>
            <w:r>
              <w:rPr>
                <w:b/>
                <w:sz w:val="20"/>
                <w:szCs w:val="20"/>
              </w:rPr>
              <w:fldChar w:fldCharType="separate"/>
            </w:r>
            <w:r>
              <w:rPr>
                <w:sz w:val="20"/>
                <w:szCs w:val="20"/>
              </w:rPr>
              <w:t>(Kuang,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GAAACATGGCCAGAAACTC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aadA1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TATCCAGCTAAGCGCGAAC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447</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{"citationItems":[{"id":"ITEM-1","itemData":{"DOI":"10.1007/s12223-016-0481-8","ISSN":"18749356","PMID":"27837411","abstract":"The study focused on the incidence of enterotoxigenic Escherichia coli (ETEC) and verotoxigenic E. coli (VTEC) in raw milk and traditional dairy cheeses marketed in Romania, characterizing the virulence and antibiotic resistance genes of these isolates. One hundred and twenty samples of raw milk and 80 samples of unpasteurized telemy cheese were collected and cultured according to the international standard protocol. All the characteristic E. coli cultures were analyzed for the presence of STa, STb, LT, stx1, and stx2 toxicity genes. The ETEC/VTEC strains were tested for the presence of antibiotic resistance genes, such as aadA1, tetA, tetB, tetC, tetG, dfrA1, qnrA, aaC, sul1, blaSHV, blaCMY, blaTEM, and ere(A), using PCR. The results showed that 27 samples (18.62%) were positive for one of the virulence genes investigated. 48.1% (n = 13) tested positive at the genes encoding for tetracycline resistance, tetA being the most prevalent one (61.5%; n = 8). A high percent (33.3%; n = 9) revealed the beta-lactamase (blaTEM) resistance gene, and none of the samples tested positive for blaCMY and blaSHV genes. The genes responsible for resistance to sulfonamides (sul1) and trimethoprim (dfrA1) were detected in rates of 14.8% (n = 4) and 7.4% (n = 2), respectively. E. coli is highly prevalent in raw milk and unpasteurized cheeses marketed in Romania. These strains might represent an important reservoir of resistance genes which can easily spread into other European countries, given the unique market.","author":[{"dropping-particle":"","family":"Tabaran","given":"Alexandra","non-dropping-particle":"","parse-names":false,"suffix":""},{"dropping-particle":"","family":"Mihaiu","given":"Marian","non-dropping-particle":"","parse-names":false,"suffix":""},{"dropping-particle":"","family":"Tăbăran","given":"Flaviu","non-dropping-particle":"","parse-names":false,"suffix":""},{"dropping-particle":"","family":"Colobatiu","given":"Liora","non-dropping-particle":"","parse-names":false,"suffix":""},{"dropping-particle":"","family":"Reget","given":"Oana","non-dropping-particle":"","parse-names":false,"suffix":""},{"dropping-particle":"","family":"Borzan","given":"Mihai Marian","non-dropping-particle":"","parse-names":false,"suffix":""},{"dropping-particle":"","family":"Dan","given":"Sorin Daniel","non-dropping-particle":"","parse-names":false,"suffix":""}],"container-title":"Folia Microbiologica","id":"ITEM-1","issue":"2","issued":{"date-parts":[["2017"]]},"page":"145-150","title":"First study on characterization of virulence and antibiotic resistance genes in verotoxigenic and enterotoxigenic E. coli isolated from raw milk and unpasteurized traditional cheeses in Romania","type":"article-journal","volume":"62"},"uris":["http://www.mendeley.com/documents/?uuid=acb23411-f59f-45d7-9f57-ccd3f935ea06"]}],"mendeley":{"formattedCitation":"(Tabaran et al., 2017)","plainTextFormattedCitation":"(Tabaran et al., 2017)","previouslyFormattedCitation":"(Tabaran et al., 2017)"},"properties":{"noteIndex":0},"schema":"https://github.com/citation-style-language/schema/raw/master/csl-citation.json"}</w:instrText>
            </w:r>
            <w:r>
              <w:rPr>
                <w:b/>
                <w:sz w:val="20"/>
                <w:szCs w:val="20"/>
              </w:rPr>
              <w:fldChar w:fldCharType="separate"/>
            </w:r>
            <w:r>
              <w:rPr>
                <w:sz w:val="20"/>
                <w:szCs w:val="20"/>
              </w:rPr>
              <w:t>(Tabaran et al., 2017)</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ATTTGCCGACTACCTTGGT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aadA2</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CATCCCGTGGCGTTATCC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370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{"citationItems":[{"id":"ITEM-1","itemData":{"author":[{"dropping-particle":"","family":"Ma","given":"Chao","non-dropping-particle":"","parse-names":false,"suffix":""}],"container-title":"Ningxia University","id":"ITEM-1","issued":{"date-parts":[["2014"]]},"title":"Detection and sequence analysis of correlative virulence genes and drug resistance genes of superiority Escherichia coli serotypes isolated from cow mastitis","type":"article-journal"},"uris":["http://www.mendeley.com/documents/?uuid=52e00513-1aa9-48d1-bd16-2d255db55031"]}],"mendeley":{"formattedCitation":"(Ma, 2014)","plainTextFormattedCitation":"(Ma, 2014)","previouslyFormattedCitation":"(Ma, 2014)"},"properties":{"noteIndex":0},"schema":"https://github.com/citation-style-language/schema/raw/master/csl-citation.json"}</w:instrText>
            </w:r>
            <w:r>
              <w:rPr>
                <w:b/>
                <w:sz w:val="20"/>
                <w:szCs w:val="20"/>
              </w:rPr>
              <w:fldChar w:fldCharType="separate"/>
            </w:r>
            <w:r>
              <w:rPr>
                <w:sz w:val="20"/>
                <w:szCs w:val="20"/>
              </w:rPr>
              <w:t>(Ma, 2014)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CTGGGCAGGTAGGCGTTT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aadB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ATGGACACAACGCAGGTCGC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534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ijantimicag.2014.12.013","ISSN":"18727913","PMID":"25631676","author":[{"dropping-particle":"","family":"Al-Marzooq","given":"Farah","non-dropping-particle":"","parse-names":false,"suffix":""},{"dropping-particle":"","family":"Ngeow","given":"Yun Fong","non-dropping-particle":"","parse-names":false,"suffix":""},{"dropping-particle":"","family":"Tay","given":"Sun Tee","non-dropping-particle":"","parse-names":false,"suffix":""}],"container-title":"International Journal of Antimicrobial Agents","id":"ITEM-1","issue":"4","issued":{"date-parts":[["2015"]]},"page":"445-446","publisher":"Elsevier B.V.","title":"Emergence of Klebsiella pneumoniae producing dual carbapenemases (NDM-1 and OXA-232) and 16S rRNA methylase (armA) isolated from a Malaysian patient returning from India","type":"article-journal","volume":"45"},"uris":["http://www.mendeley.com/documents/?uuid=52aabe20-c705-4e92-a2d6-e51c6abb7cdb"]}],"mendeley":{"formattedCitation":"(Al-Marzooq et al., 2015)","plainTextFormattedCitation":"(Al-Marzooq et al., 2015)","previouslyFormattedCitation":"(Al-Marzooq et al., 2015)"},"properties":{"noteIndex":0},"schema":"https://github.com/citation-style-language/schema/raw/master/csl-citation.json"}</w:instrText>
            </w:r>
            <w:r>
              <w:rPr>
                <w:b/>
                <w:sz w:val="20"/>
                <w:szCs w:val="20"/>
              </w:rPr>
              <w:fldChar w:fldCharType="separate"/>
            </w:r>
            <w:r>
              <w:rPr>
                <w:sz w:val="20"/>
                <w:szCs w:val="20"/>
              </w:rPr>
              <w:t>(Al-Marzooq et al.,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TTAGGCCGCATATCGCGACC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w:t>
            </w:r>
            <w:r>
              <w:rPr>
                <w:i/>
                <w:sz w:val="20"/>
                <w:szCs w:val="20"/>
              </w:rPr>
              <w:t>a</w:t>
            </w:r>
            <w:r>
              <w:rPr>
                <w:rFonts w:hint="eastAsia"/>
                <w:i/>
                <w:sz w:val="20"/>
                <w:szCs w:val="20"/>
              </w:rPr>
              <w:t>cC1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ATGGGCATCATTCGCACATGTAGG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861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ijantimicag.2014.12.013","ISSN":"18727913","PMID":"25631676","author":[{"dropping-particle":"","family":"Al-Marzooq","given":"Farah","non-dropping-particle":"","parse-names":false,"suffix":""},{"dropping-particle":"","family":"Ngeow","given":"Yun Fong","non-dropping-particle":"","parse-names":false,"suffix":""},{"dropping-particle":"","family":"Tay","given":"Sun Tee","non-dropping-particle":"","parse-names":false,"suffix":""}],"container-title":"International Journal of Antimicrobial Agents","id":"ITEM-1","issue":"4","issued":{"date-parts":[["2015"]]},"page":"445-446","publisher":"Elsevier B.V.","title":"Emergence of Klebsiella pneumoniae producing dual carbapenemases (NDM-1 and OXA-232) and 16S rRNA methylase (armA) isolated from a Malaysian patient returning from India","type":"article-journal","volume":"45"},"uris":["http://www.mendeley.com/documents/?uuid=52aabe20-c705-4e92-a2d6-e51c6abb7cdb"]}],"mendeley":{"formattedCitation":"(Al-Marzooq et al., 2015)","plainTextFormattedCitation":"(Al-Marzooq et al., 2015)","previouslyFormattedCitation":"(Al-Marzooq et al., 2015)"},"properties":{"noteIndex":0},"schema":"https://github.com/citation-style-language/schema/raw/master/csl-citation.json"}</w:instrText>
            </w:r>
            <w:r>
              <w:rPr>
                <w:b/>
                <w:sz w:val="20"/>
                <w:szCs w:val="20"/>
              </w:rPr>
              <w:fldChar w:fldCharType="separate"/>
            </w:r>
            <w:r>
              <w:rPr>
                <w:sz w:val="20"/>
                <w:szCs w:val="20"/>
              </w:rPr>
              <w:t>(Al-Marzooq et al.,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TTAGGTGGCGGTACTTGGGTC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w:t>
            </w:r>
            <w:r>
              <w:rPr>
                <w:i/>
                <w:sz w:val="20"/>
                <w:szCs w:val="20"/>
              </w:rPr>
              <w:t>a</w:t>
            </w:r>
            <w:r>
              <w:rPr>
                <w:rFonts w:hint="eastAsia"/>
                <w:i/>
                <w:sz w:val="20"/>
                <w:szCs w:val="20"/>
              </w:rPr>
              <w:t>cC2</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ATGCATACGCGGAAGGCAATAAC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861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ijantimicag.2014.12.013","ISSN":"18727913","PMID":"25631676","author":[{"dropping-particle":"","family":"Al-Marzooq","given":"Farah","non-dropping-particle":"","parse-names":false,"suffix":""},{"dropping-particle":"","family":"Ngeow","given":"Yun Fong","non-dropping-particle":"","parse-names":false,"suffix":""},{"dropping-particle":"","family":"Tay","given":"Sun Tee","non-dropping-particle":"","parse-names":false,"suffix":""}],"container-title":"International Journal of Antimicrobial Agents","id":"ITEM-1","issue":"4","issued":{"date-parts":[["2015"]]},"page":"445-446","publisher":"Elsevier B.V.","title":"Emergence of Klebsiella pneumoniae producing dual carbapenemases (NDM-1 and OXA-232) and 16S rRNA methylase (armA) isolated from a Malaysian patient returning from India","type":"article-journal","volume":"45"},"uris":["http://www.mendeley.com/documents/?uuid=52aabe20-c705-4e92-a2d6-e51c6abb7cdb"]}],"mendeley":{"formattedCitation":"(Al-Marzooq et al., 2015)","plainTextFormattedCitation":"(Al-Marzooq et al., 2015)","previouslyFormattedCitation":"(Al-Marzooq et al., 2015)"},"properties":{"noteIndex":0},"schema":"https://github.com/citation-style-language/schema/raw/master/csl-citation.json"}</w:instrText>
            </w:r>
            <w:r>
              <w:rPr>
                <w:b/>
                <w:sz w:val="20"/>
                <w:szCs w:val="20"/>
              </w:rPr>
              <w:fldChar w:fldCharType="separate"/>
            </w:r>
            <w:r>
              <w:rPr>
                <w:sz w:val="20"/>
                <w:szCs w:val="20"/>
              </w:rPr>
              <w:t>(Al-Marzooq et al.,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CTAACCGGAAGGCTCGCAAG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aac(3)-</w:t>
            </w:r>
            <w:r>
              <w:rPr>
                <w:rFonts w:hint="eastAsia" w:ascii="宋体" w:hAnsi="宋体"/>
                <w:i/>
                <w:sz w:val="20"/>
                <w:szCs w:val="20"/>
              </w:rPr>
              <w:t>Ⅳ</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TCGATGGGCAGGTACTTCTC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230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rFonts w:hint="eastAsia"/>
                <w:bCs/>
                <w:sz w:val="20"/>
                <w:szCs w:val="20"/>
              </w:rPr>
              <w:t>(Almaghrabi et al., 2014)</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ACCGACTGGACCTTCCTTCT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aacA4</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TATGAGTGGCTAAATCGAT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395</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{"citationItems":[{"id":"ITEM-1","itemData":{"DOI":"10.1371/journal.pone.0047636","ISSN":"19326203","PMID":"23110085","abstract":"Background: Simultaneous resistance to aminoglycosides and fluoroquinolones in carbapeneme non-susceptible (CNS) isolates will inevitably create problems. The present study was performed to characterize the prevalence of the plasmid-mediated quinolone resistance determinants (QRDs) and aminoglycoside resistance determinants (ARDs) among the CNS Enterobacter cloacae (E. cloacae) isolates in a Chinese teaching hospital, and to acquire their molecular epidemiological characteristics. Methods: The β-lactamases genes (including class A carbapenemase genes blaKPC and blaSME, metallo-β-lactamase genes (MBLs) blaIMP, blaVIM and blaNDM, and extended spectrum β-lactamases (ESBLs),blaCTX-M, blaTEM and blaSHV), QRDs (including qnrA, qnrB, qnrS and aac(6</w:instrText>
            </w:r>
            <w:r>
              <w:rPr>
                <w:rFonts w:hint="eastAsia"/>
                <w:b/>
                <w:sz w:val="20"/>
                <w:szCs w:val="20"/>
              </w:rPr>
              <w:instrText xml:space="preserve">′</w:instrText>
            </w:r>
            <w:r>
              <w:rPr>
                <w:b/>
                <w:sz w:val="20"/>
                <w:szCs w:val="20"/>
              </w:rPr>
              <w:instrText xml:space="preserve">)-Ib-cr) and ARDs (including aac(6</w:instrText>
            </w:r>
            <w:r>
              <w:rPr>
                <w:rFonts w:hint="eastAsia"/>
                <w:b/>
                <w:sz w:val="20"/>
                <w:szCs w:val="20"/>
              </w:rPr>
              <w:instrText xml:space="preserve">′</w:instrText>
            </w:r>
            <w:r>
              <w:rPr>
                <w:b/>
                <w:sz w:val="20"/>
                <w:szCs w:val="20"/>
              </w:rPr>
              <w:instrText xml:space="preserve">)-Ib, armA and rmtB) of these 35 isolates were determined by PCR and sequenced bidirectionally. The clonal relatedness was investigated by pulsed-field gel electrophoresis (PFGE). Results: Of the 35 isolates, 9 (25.7%) harbored a carbapenemase gene; 23 (65.7%) carried ESBLs; 24 (68.6%) were QRD positive; and 27 (77.1%) were ARD positive. Among the 5 blaIMP-8 positive strains, 4 (80%) contained both ESBL and QRD genes, and all the 5 (100%) harbored ARD genes. Of the 23 ESBLs positive isolates, 6 (26.1%) were carbapenemase positive, 14 (60.9%) were QRD positive, and 18 (78.3%) were ARD positive. PFGE revealed genetic diversity among the 35 isolates, indicating that the high prevalence of CNS E. cloacae isolates was not caused by clonal dissemination. Conclusion: QRD and ARD genes were highly prevalent among the CNS E. cloacae isolates. Multiple resistant genes were co-expressed in the same isolates. The CNS E. cloacae isolate co-expressing blaNDM-1, blaIMP-26, qnrA1 and qnrS1 was first reported. © 2012 Huang et al.","author":[{"dropping-particle":"","family":"Huang","given":"Shifeng","non-dropping-particle":"","parse-names":false,"suffix":""},{"dropping-particle":"","family":"Dai","given":"Wei","non-dropping-particle":"","parse-names":false,"suffix":""},{"dropping-particle":"","family":"Sun","given":"Shan","non-dropping-particle":"","parse-names":false,"suffix":""},{"dropping-particle":"","family":"Zhang","given":"Xiaojiao","non-dropping-particle":"","parse-names":false,"suffix":""},{"dropping-particle":"","family":"Zhang","given":"Liping","non-dropping-particle":"","parse-names":false,"suffix":""}],"container-title":"PLoS ONE","id":"ITEM-1","issue":"10","issued":{"date-parts":[["2012"]]},"page":"e47636","title":"Prevalence of Plasmid-Mediated Quinolone Resistance and Aminoglycoside Resistance Determinants among Carbapeneme Non-Susceptible Enterobacter cloacae","type":"article-journal","volume":"7"},"uris":["http://www.mendeley.com/documents/?uuid=b305b865-3a80-48c5-bf60-6c22804b24ec"]}],"mendeley":{"formattedCitation":"(Huang et al., 2012)","plainTextFormattedCitation":"(Huang et al., 2012)","previouslyFormattedCitation":"(Huang et al., 2012)"},"properties":{"noteIndex":0},"schema":"https://github.com/citation-style-language/schema/raw/master/csl-citation.json"}</w:instrText>
            </w:r>
            <w:r>
              <w:rPr>
                <w:b/>
                <w:sz w:val="20"/>
                <w:szCs w:val="20"/>
              </w:rPr>
              <w:fldChar w:fldCharType="separate"/>
            </w:r>
            <w:r>
              <w:rPr>
                <w:sz w:val="20"/>
                <w:szCs w:val="20"/>
              </w:rPr>
              <w:t>(Huang et al., 2012)</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CCCGCTTTCTCGTAGCA</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aphA1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ATGGGCTCGCGATAATGTC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600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{"citationItems":[{"id":"ITEM-1","itemData":{"DOI":"10.1128/AAC.48.10.3996-4001.2004","ISBN":"3494129975","ISSN":"00664804","PMID":"15388464","abstract":"Seventeen multiple-antibiotic-resistant nonpathogenic Escherichia coli strains of human, animal, and food origins showed a wide variety of antibiotic resistance genes, many of them carried by class 1 and class 2 integrons. Amino acid changes in MarR and mutations in marO were identified for 15 and 14 E. coli strains, respectively.","author":[{"dropping-particle":"","family":"Sáenz","given":"Yolanda","non-dropping-particle":"","parse-names":false,"suffix":""},{"dropping-particle":"","family":"Briñas","given":"Laura","non-dropping-particle":"","parse-names":false,"suffix":""},{"dropping-particle":"","family":"Domínguez","given":"Elena","non-dropping-particle":"","parse-names":false,"suffix":""},{"dropping-particle":"","family":"Ruiz","given":"Joaquim","non-dropping-particle":"","parse-names":false,"suffix":""},{"dropping-particle":"","family":"Zarazaga","given":"Myriam","non-dropping-particle":"","parse-names":false,"suffix":""},{"dropping-particle":"","family":"Vila","given":"Jordi","non-dropping-particle":"","parse-names":false,"suffix":""},{"dropping-particle":"","family":"Torres","given":"Carmen","non-dropping-particle":"","parse-names":false,"suffix":""}],"container-title":"Antimicrobial Agents and Chemotherapy","id":"ITEM-1","issue":"10","issued":{"date-parts":[["2004"]]},"page":"3996-4001","title":"Mechanisms of resistance in multiple-antibiotic-resistant Escherichia coli strains of human, animal, and food origins","type":"article-journal","volume":"48"},"uris":["http://www.mendeley.com/documents/?uuid=4f40bf0b-0443-4d4b-b4ea-b50c7bdaf7c8"]}],"mendeley":{"formattedCitation":"(Sáenz et al., 2004)","plainTextFormattedCitation":"(Sáenz et al., 2004)","previouslyFormattedCitation":"(Sáenz et al., 2004)"},"properties":{"noteIndex":0},"schema":"https://github.com/citation-style-language/schema/raw/master/csl-citation.json"}</w:instrText>
            </w:r>
            <w:r>
              <w:rPr>
                <w:b/>
                <w:sz w:val="20"/>
                <w:szCs w:val="20"/>
              </w:rPr>
              <w:fldChar w:fldCharType="separate"/>
            </w:r>
            <w:r>
              <w:rPr>
                <w:sz w:val="20"/>
                <w:szCs w:val="20"/>
              </w:rPr>
              <w:t>(Sáenz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CTCACCGAGGCAGTTCCAT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aphA2</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GAACAAGATGGATTGCACGC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680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{"citationItems":[{"id":"ITEM-1","itemData":{"DOI":"10.1128/AAC.48.10.3996-4001.2004","ISBN":"3494129975","ISSN":"00664804","PMID":"15388464","abstract":"Seventeen multiple-antibiotic-resistant nonpathogenic Escherichia coli strains of human, animal, and food origins showed a wide variety of antibiotic resistance genes, many of them carried by class 1 and class 2 integrons. Amino acid changes in MarR and mutations in marO were identified for 15 and 14 E. coli strains, respectively.","author":[{"dropping-particle":"","family":"Sáenz","given":"Yolanda","non-dropping-particle":"","parse-names":false,"suffix":""},{"dropping-particle":"","family":"Briñas","given":"Laura","non-dropping-particle":"","parse-names":false,"suffix":""},{"dropping-particle":"","family":"Domínguez","given":"Elena","non-dropping-particle":"","parse-names":false,"suffix":""},{"dropping-particle":"","family":"Ruiz","given":"Joaquim","non-dropping-particle":"","parse-names":false,"suffix":""},{"dropping-particle":"","family":"Zarazaga","given":"Myriam","non-dropping-particle":"","parse-names":false,"suffix":""},{"dropping-particle":"","family":"Vila","given":"Jordi","non-dropping-particle":"","parse-names":false,"suffix":""},{"dropping-particle":"","family":"Torres","given":"Carmen","non-dropping-particle":"","parse-names":false,"suffix":""}],"container-title":"Antimicrobial Agents and Chemotherapy","id":"ITEM-1","issue":"10","issued":{"date-parts":[["2004"]]},"page":"3996-4001","title":"Mechanisms of resistance in multiple-antibiotic-resistant Escherichia coli strains of human, animal, and food origins","type":"article-journal","volume":"48"},"uris":["http://www.mendeley.com/documents/?uuid=4f40bf0b-0443-4d4b-b4ea-b50c7bdaf7c8"]}],"mendeley":{"formattedCitation":"(Sáenz et al., 2004)","plainTextFormattedCitation":"(Sáenz et al., 2004)","previouslyFormattedCitation":"(Sáenz et al., 2004)"},"properties":{"noteIndex":0},"schema":"https://github.com/citation-style-language/schema/raw/master/csl-citation.json"}</w:instrText>
            </w:r>
            <w:r>
              <w:rPr>
                <w:b/>
                <w:sz w:val="20"/>
                <w:szCs w:val="20"/>
              </w:rPr>
              <w:fldChar w:fldCharType="separate"/>
            </w:r>
            <w:r>
              <w:rPr>
                <w:sz w:val="20"/>
                <w:szCs w:val="20"/>
              </w:rPr>
              <w:t>(Sáenz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GCTCTTCAGCAATATCACGG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aphA6</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ATGGAATTGCCCAATATTATTC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780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ijantimicag.2014.12.013","ISSN":"18727913","PMID":"25631676","author":[{"dropping-particle":"","family":"Al-Marzooq","given":"Farah","non-dropping-particle":"","parse-names":false,"suffix":""},{"dropping-particle":"","family":"Ngeow","given":"Yun Fong","non-dropping-particle":"","parse-names":false,"suffix":""},{"dropping-particle":"","family":"Tay","given":"Sun Tee","non-dropping-particle":"","parse-names":false,"suffix":""}],"container-title":"International Journal of Antimicrobial Agents","id":"ITEM-1","issue":"4","issued":{"date-parts":[["2015"]]},"page":"445-446","publisher":"Elsevier B.V.","title":"Emergence of Klebsiella pneumoniae producing dual carbapenemases (NDM-1 and OXA-232) and 16S rRNA methylase (armA) isolated from a Malaysian patient returning from India","type":"article-journal","volume":"45"},"uris":["http://www.mendeley.com/documents/?uuid=52aabe20-c705-4e92-a2d6-e51c6abb7cdb"]}],"mendeley":{"formattedCitation":"(Al-Marzooq et al., 2015)","plainTextFormattedCitation":"(Al-Marzooq et al., 2015)","previouslyFormattedCitation":"(Al-Marzooq et al., 2015)"},"properties":{"noteIndex":0},"schema":"https://github.com/citation-style-language/schema/raw/master/csl-citation.json"}</w:instrText>
            </w:r>
            <w:r>
              <w:rPr>
                <w:b/>
                <w:sz w:val="20"/>
                <w:szCs w:val="20"/>
              </w:rPr>
              <w:fldChar w:fldCharType="separate"/>
            </w:r>
            <w:r>
              <w:rPr>
                <w:sz w:val="20"/>
                <w:szCs w:val="20"/>
              </w:rPr>
              <w:t>(Al-Marzooq et al.,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TCAATTCAATTCATCAAGTTTTA</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strA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CTTGGTGATAACGGCAATTC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548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{"citationItems":[{"id":"ITEM-1","itemData":{"DOI":"10.1016/j.micpath.2019.05.018","ISSN":"10961208","PMID":"31096003","abstract":"It is important to evaluate the antimicrobial resistance pattern by genotypic and phenotypic methods in epidemiological studies in order to control antimicrobial resistance and to improve the outcome of the treatments. Four-hundred and thirty clinical mastitis samples were collected from 14 dairy herds in five different cities. The antimicrobial susceptibility test was performed using agar disk diffusion for 70 identified Escherichia coli isolates. The antimicrobial resistance genes including strA, strB, aadA, sulI, sulII, sulIII, ampC were detected by PCR method. Phylogenic groups were determined by Clermont's multiplex PCR method, and RAPD typing was performed on all isolates. Most isolates were resistant to lincomicin and streptomycin, whereas sulfa-trimethoprim has the lowest resistance rate. Moreover, ampC, aadA and sul2 genes had the highest frequency (92.85%, 38.57%, and 32.85% respectively). 20% of all the isolates carried strA and strB genes, and 11.42% of the isolates had sul1 gene and 10% of the isolates had the less frequent sul3 gene. Of the total of 70 E. coli isolates, 26 (37.14%), 20 (28.5%), 17 (24.2%), 8 (11.4%)isolates belonged to B1, A, B2 and D phylogenic groups respectively. strA, strB, sul2 and aadA resistance genes had the highest percentage in A phylogenic groups. Based on RAPD-PCR method, E. coli isolates were classified in four clusters. The result showed a high phenotypic and genotypic E. coli resistance to the current antimicrobials with a similar pattern in different cities; also the majority of E. coli isolates belonged to B1 group which mainly contains the commensal E. coli isolates.","author":[{"dropping-particle":"","family":"Fazel","given":"Fatemeh","non-dropping-particle":"","parse-names":false,"suffix":""},{"dropping-particle":"","family":"Jamshidi","given":"Abdollah","non-dropping-particle":"","parse-names":false,"suffix":""},{"dropping-particle":"","family":"Khoramian","given":"Babak","non-dropping-particle":"","parse-names":false,"suffix":""}],"container-title":"Microbial Pathogenesis","id":"ITEM-1","issued":{"date-parts":[["2019"]]},"page":"355-361","publisher":"Elsevier Ltd","title":"Phenotypic and genotypic study on antimicrobial resistance patterns of E. coli isolates from bovine mastitis","type":"article-journal","volume":"132"},"uris":["http://www.mendeley.com/documents/?uuid=71c2671a-47d8-4997-9e30-be1a7e80dd6e"]}],"mendeley":{"formattedCitation":"(Fazel et al., 2019)","plainTextFormattedCitation":"(Fazel et al., 2019)","previouslyFormattedCitation":"(Fazel et al., 2019)"},"properties":{"noteIndex":0},"schema":"https://github.com/citation-style-language/schema/raw/master/csl-citation.json"}</w:instrText>
            </w:r>
            <w:r>
              <w:rPr>
                <w:b/>
                <w:sz w:val="20"/>
                <w:szCs w:val="20"/>
              </w:rPr>
              <w:fldChar w:fldCharType="separate"/>
            </w:r>
            <w:r>
              <w:rPr>
                <w:sz w:val="20"/>
                <w:szCs w:val="20"/>
              </w:rPr>
              <w:t>(Fazel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CCAATCGCAGATAGAAGGC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strB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ATCGTCAAGGGATTGAAACC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509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{"citationItems":[{"id":"ITEM-1","itemData":{"DOI":"10.1016/j.micpath.2019.05.018","ISSN":"10961208","PMID":"31096003","abstract":"It is important to evaluate the antimicrobial resistance pattern by genotypic and phenotypic methods in epidemiological studies in order to control antimicrobial resistance and to improve the outcome of the treatments. Four-hundred and thirty clinical mastitis samples were collected from 14 dairy herds in five different cities. The antimicrobial susceptibility test was performed using agar disk diffusion for 70 identified Escherichia coli isolates. The antimicrobial resistance genes including strA, strB, aadA, sulI, sulII, sulIII, ampC were detected by PCR method. Phylogenic groups were determined by Clermont's multiplex PCR method, and RAPD typing was performed on all isolates. Most isolates were resistant to lincomicin and streptomycin, whereas sulfa-trimethoprim has the lowest resistance rate. Moreover, ampC, aadA and sul2 genes had the highest frequency (92.85%, 38.57%, and 32.85% respectively). 20% of all the isolates carried strA and strB genes, and 11.42% of the isolates had sul1 gene and 10% of the isolates had the less frequent sul3 gene. Of the total of 70 E. coli isolates, 26 (37.14%), 20 (28.5%), 17 (24.2%), 8 (11.4%)isolates belonged to B1, A, B2 and D phylogenic groups respectively. strA, strB, sul2 and aadA resistance genes had the highest percentage in A phylogenic groups. Based on RAPD-PCR method, E. coli isolates were classified in four clusters. The result showed a high phenotypic and genotypic E. coli resistance to the current antimicrobials with a similar pattern in different cities; also the majority of E. coli isolates belonged to B1 group which mainly contains the commensal E. coli isolates.","author":[{"dropping-particle":"","family":"Fazel","given":"Fatemeh","non-dropping-particle":"","parse-names":false,"suffix":""},{"dropping-particle":"","family":"Jamshidi","given":"Abdollah","non-dropping-particle":"","parse-names":false,"suffix":""},{"dropping-particle":"","family":"Khoramian","given":"Babak","non-dropping-particle":"","parse-names":false,"suffix":""}],"container-title":"Microbial Pathogenesis","id":"ITEM-1","issued":{"date-parts":[["2019"]]},"page":"355-361","publisher":"Elsevier Ltd","title":"Phenotypic and genotypic study on antimicrobial resistance patterns of E. coli isolates from bovine mastitis","type":"article-journal","volume":"132"},"uris":["http://www.mendeley.com/documents/?uuid=71c2671a-47d8-4997-9e30-be1a7e80dd6e"]}],"mendeley":{"formattedCitation":"(Fazel et al., 2019)","plainTextFormattedCitation":"(Fazel et al., 2019)","previouslyFormattedCitation":"(Fazel et al., 2019)"},"properties":{"noteIndex":0},"schema":"https://github.com/citation-style-language/schema/raw/master/csl-citation.json"}</w:instrText>
            </w:r>
            <w:r>
              <w:rPr>
                <w:b/>
                <w:sz w:val="20"/>
                <w:szCs w:val="20"/>
              </w:rPr>
              <w:fldChar w:fldCharType="separate"/>
            </w:r>
            <w:r>
              <w:rPr>
                <w:sz w:val="20"/>
                <w:szCs w:val="20"/>
              </w:rPr>
              <w:t>(Fazel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rFonts w:eastAsia="AdvOT596495f2"/>
                <w:sz w:val="20"/>
                <w:szCs w:val="20"/>
              </w:rPr>
            </w:pPr>
            <w:r>
              <w:rPr>
                <w:rFonts w:eastAsia="AdvOT596495f2"/>
                <w:sz w:val="20"/>
                <w:szCs w:val="20"/>
              </w:rPr>
              <w:t>GGATCGTAGAACATATTGGC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rFonts w:hint="eastAsia"/>
                <w:iCs/>
                <w:sz w:val="20"/>
                <w:szCs w:val="20"/>
              </w:rPr>
              <w:t>Quinolone resistance gene</w:t>
            </w: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rFonts w:hint="eastAsia"/>
                <w:i/>
                <w:sz w:val="20"/>
                <w:szCs w:val="20"/>
              </w:rPr>
              <w:t>aac(6</w:t>
            </w:r>
            <w:r>
              <w:rPr>
                <w:i/>
                <w:sz w:val="20"/>
                <w:szCs w:val="20"/>
              </w:rPr>
              <w:t>′</w:t>
            </w:r>
            <w:r>
              <w:rPr>
                <w:rFonts w:hint="eastAsia"/>
                <w:i/>
                <w:sz w:val="20"/>
                <w:szCs w:val="20"/>
              </w:rPr>
              <w:t>)-Ib-cr</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TTGCGATGCTCTATGAGTGGCTA</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rFonts w:hint="eastAsia"/>
                <w:sz w:val="20"/>
                <w:szCs w:val="20"/>
              </w:rPr>
              <w:t>482</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{"citationItems":[{"id":"ITEM-1","itemData":{"DOI":"10.1128/AAC.00915-06","ISSN":"00664804","PMID":"16954321","abstract":"Among 313 Enterobacteriaceae from the United States with a ciprofloxacin MIC of </w:instrText>
            </w:r>
            <w:r>
              <w:rPr>
                <w:rFonts w:hint="eastAsia"/>
                <w:b/>
                <w:sz w:val="20"/>
                <w:szCs w:val="20"/>
              </w:rPr>
              <w:instrText xml:space="preserve">≥</w:instrText>
            </w:r>
            <w:r>
              <w:rPr>
                <w:b/>
                <w:sz w:val="20"/>
                <w:szCs w:val="20"/>
              </w:rPr>
              <w:instrText xml:space="preserve">0.25 μg/ml and reduced susceptibility to ceftazidime, aac(6</w:instrText>
            </w:r>
            <w:r>
              <w:rPr>
                <w:rFonts w:hint="eastAsia"/>
                <w:b/>
                <w:sz w:val="20"/>
                <w:szCs w:val="20"/>
              </w:rPr>
              <w:instrText xml:space="preserve">′</w:instrText>
            </w:r>
            <w:r>
              <w:rPr>
                <w:b/>
                <w:sz w:val="20"/>
                <w:szCs w:val="20"/>
              </w:rPr>
              <w:instrText xml:space="preserve">)-Ib was present in 50.5% of isolates, and of these, 28% carried the cr variant responsible for low-level ciprofloxacin resistance. aac(6</w:instrText>
            </w:r>
            <w:r>
              <w:rPr>
                <w:rFonts w:hint="eastAsia"/>
                <w:b/>
                <w:sz w:val="20"/>
                <w:szCs w:val="20"/>
              </w:rPr>
              <w:instrText xml:space="preserve">′</w:instrText>
            </w:r>
            <w:r>
              <w:rPr>
                <w:b/>
                <w:sz w:val="20"/>
                <w:szCs w:val="20"/>
              </w:rPr>
              <w:instrText xml:space="preserve">)-Ib-cr was geographically widespread, stable over time, most common in Escherichia coli, equally prevalent in ciprofloxacin-susceptible and -resistant strains, and not associated with qnr genes. Copyright © 2006, American Society for Microbiology. All Rights Reserved.","author":[{"dropping-particle":"","family":"Park","given":"Chi Hye","non-dropping-particle":"","parse-names":false,"suffix":""},{"dropping-particle":"","family":"Robicsek","given":"Ari","non-dropping-particle":"","parse-names":false,"suffix":""},{"dropping-particle":"","family":"Jacoby","given":"George A.","non-dropping-particle":"","parse-names":false,"suffix":""},{"dropping-particle":"","family":"Sahm","given":"Daniel","non-dropping-particle":"","parse-names":false,"suffix":""},{"dropping-particle":"","family":"Hooper","given":"David C.","non-dropping-particle":"","parse-names":false,"suffix":""}],"container-title":"Antimicrobial Agents and Chemotherapy","id":"ITEM-1","issue":"11","issued":{"date-parts":[["2006"]]},"page":"3953-3955","title":"Prevalence in the United States of aac(6</w:instrText>
            </w:r>
            <w:r>
              <w:rPr>
                <w:rFonts w:hint="eastAsia"/>
                <w:b/>
                <w:sz w:val="20"/>
                <w:szCs w:val="20"/>
              </w:rPr>
              <w:instrText xml:space="preserve">′</w:instrText>
            </w:r>
            <w:r>
              <w:rPr>
                <w:b/>
                <w:sz w:val="20"/>
                <w:szCs w:val="20"/>
              </w:rPr>
              <w:instrText xml:space="preserve">)-Ib-cr encoding a ciprofloxacin-modifying enzyme","type":"article-journal","volume":"50"},"uris":["http://www.mendeley.com/documents/?uuid=e9414a51-fc26-4b05-8a0e-137798fc9826"]}],"mendeley":{"formattedCitation":"(Park et al., 2006)","plainTextFormattedCitation":"(Park et al., 2006)","previouslyFormattedCitation":"(Park et al., 2006)"},"properties":{"noteIndex":0},"schema":"https://github.com/citation-style-language/schema/raw/master/csl-citation.json"}</w:instrText>
            </w:r>
            <w:r>
              <w:rPr>
                <w:b/>
                <w:sz w:val="20"/>
                <w:szCs w:val="20"/>
              </w:rPr>
              <w:fldChar w:fldCharType="separate"/>
            </w:r>
            <w:r>
              <w:rPr>
                <w:sz w:val="20"/>
                <w:szCs w:val="20"/>
              </w:rPr>
              <w:t>(Park et al., 2006)</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CTCGAATGCCTGGCGTGTTT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qnrA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TCAGCAAGCGGATTTCTCA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608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{"citationItems":[{"id":"ITEM-1","itemData":{"DOI":"10.2147/IDR.S219155","ISSN":"11786973","abstract":"Purpose: The main objectives of the present study were to detect the antimicrobial susceptibility and molecular characteristics of Klebsiella pneumoniae isolated from different hosts and to investigate the possibility of K. pneumoniae transmission between animals and humans. Materials and methods: A total of 189 nonduplicate K. pneumoniae isolates were collected from hospitals and four species of animals in Henan Province, China. The disk diffusion method was used for antimicrobial susceptibility testing, and resistance and virulence genes were screened by polymerase chain reaction (PCR). The molecular types were identified through multilocus sequence typing (MLST), and the hypermucoviscous (HMV) phenotype was identified using the “string-forming test”. Pearson’s parameters were used to determine the potential link among the molecular types and resistance and virulence genes of all K. pneumoniae strains. Results: The resistance rates of the 189 K. pneumoniae isolates against 15 antibiotics ranged from 11.6% to 77.8%. The highest multidrug resistance rate was detected in the pig strains (93.6%), followed by the human strains (90.4%), chicken strains (88.9%), cow strains (52.0%) and sheep strains (50.0%). Forty-eight (25.4%) K. pneumoniae strains presented the HMV phenotype. entB, fimH-1 and mrkD were the most prevalent of the detected virulence genes, and magA and rmpA were the least prevalent genes in all the isolates. The MLST analysis revealed 24 unique sequence types (STs) among from the 189 isolates. ST11, ST235 and ST258 were common STs among the five isolates of host origin. ST258 exhibited significantly positive correlations with blaNDM, magA and the HMV phenotype and a negative correlation with qnrB. Conclusion: K. pneumoniae strains from different hosts, including humans and animals, have common molecular types and similar phenotypes, and these strains can potentially be transmitted between humans and animals.","author":[{"dropping-particle":"","family":"Yang","given":"Fan","non-dropping-particle":"","parse-names":false,"suffix":""},{"dropping-particle":"","family":"Deng","given":"Baoguo","non-dropping-particle":"","parse-names":false,"suffix":""},{"dropping-particle":"","family":"Liao","given":"Wei","non-dropping-particle":"","parse-names":false,"suffix":""},{"dropping-particle":"","family":"Wang","given":"Peizhen","non-dropping-particle":"","parse-names":false,"suffix":""},{"dropping-particle":"","family":"Chen","given":"Ping","non-dropping-particle":"","parse-names":false,"suffix":""},{"dropping-particle":"","family":"Wei","given":"Jidong","non-dropping-particle":"","parse-names":false,"suffix":""}],"container-title":"Infection and Drug Resistance","id":"ITEM-1","issued":{"date-parts":[["2019"]]},"page":"2729-2737","title":"High rate of multiresistant klebsiella pneumoniae from human and animal origin","type":"article-journal","volume":"12"},"uris":["http://www.mendeley.com/documents/?uuid=b98ef2b1-bb5e-4445-95e2-7b0b7992a95b"]}],"mendeley":{"formattedCitation":"(Yang et al., 2019)","plainTextFormattedCitation":"(Yang et al., 2019)","previouslyFormattedCitation":"(Yang et al., 2019)"},"properties":{"noteIndex":0},"schema":"https://github.com/citation-style-language/schema/raw/master/csl-citation.json"}</w:instrText>
            </w:r>
            <w:r>
              <w:rPr>
                <w:b/>
                <w:sz w:val="20"/>
                <w:szCs w:val="20"/>
              </w:rPr>
              <w:fldChar w:fldCharType="separate"/>
            </w:r>
            <w:r>
              <w:rPr>
                <w:sz w:val="20"/>
                <w:szCs w:val="20"/>
              </w:rPr>
              <w:t>(Yang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GGCAGCACTATTACTCCCA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qnrB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AGTCGTGCGATGCTGAAAGA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333</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right w:val="nil"/>
            </w:tcBorders>
          </w:tcPr>
          <w:p>
            <w:pPr>
              <w:spacing w:before="0" w:after="0" w:line="240" w:lineRule="atLeast"/>
              <w:jc w:val="center"/>
              <w:rPr>
                <w:sz w:val="20"/>
                <w:szCs w:val="20"/>
              </w:rPr>
            </w:pPr>
            <w:r>
              <w:rPr>
                <w:rFonts w:hint="eastAsia"/>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TCGCCAGTCGAAAGTCGAAA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qnrC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TGAATTATTCCCATAAAACG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654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{"citationItems":[{"id":"ITEM-1","itemData":{"DOI":"10.1093/jac/dkr084","ISSN":"03057453","PMID":"21393198","abstract":"Objectives: This study was initiated to collect retrospective information on the occurrence of plasmid-mediated quinolone resistance (PMQR) in Salmonella enterica and Escherichia coli isolates in Europe and to identify the responsible genes. Methods: Databases of national reference laboratories containing MIC values for Salmonella and E. coli isolated between 1994 and 2009 in animals, humans, food and the environment from 13 European countries were screened for isolates exhibiting a defined quinolone resistance phenotype, i.e. reduced susceptibility to fluoroquinolones and nalidixic acid. PCR and sequence analysis were performed to identify the responsible PMQR genes. Results: Screening of databases of 13 European countries resulted in a selection of 1215 Salmonella and 333 E. coli isolates. PMQR genes were identified in 59% of the Salmonella isolates and 15% of the E. coli isolates selected. In Salmonella, qnrS1 (n=125) and variants of qnrB (n=138) were frequently identified, whereas qnrA1 (n=3) and aac(6</w:instrText>
            </w:r>
            <w:r>
              <w:rPr>
                <w:rFonts w:hint="eastAsia"/>
                <w:b/>
                <w:sz w:val="20"/>
                <w:szCs w:val="20"/>
              </w:rPr>
              <w:instrText xml:space="preserve">′</w:instrText>
            </w:r>
            <w:r>
              <w:rPr>
                <w:b/>
                <w:sz w:val="20"/>
                <w:szCs w:val="20"/>
              </w:rPr>
              <w:instrText xml:space="preserve">)-1b-cr (n=3) were rarely found. qnrD was detected in 22 Salmonella isolates obtained from humans and animals. In E. coli, qnrS1 was identified in 19 isolates and qnrB19 was found in one isolate. No qnrC or qepA genes were detected in either Salmonella or E. coli. Conclusions: This study shows the occurrence and dissemination of PMQR genes in Salmonella and E. coli in Europe with a defined quinolone resistance phenotype. We also report the first detection of qnrD in Salmonella collected in Europe. © The Author 2011. Published by Oxford University Press on behalf of the British Society for Antimicrobial Chemotherapy. All rights reserved.","author":[{"dropping-particle":"","family":"Veldman","given":"Kees","non-dropping-particle":"","parse-names":false,"suffix":""},{"dropping-particle":"","family":"Cavaco","given":"Lina M.","non-dropping-particle":"","parse-names":false,"suffix":""},{"dropping-particle":"","family":"Mevius","given":"Dik","non-dropping-particle":"","parse-names":false,"suffix":""},{"dropping-particle":"","family":"Battisti","given":"Antonio","non-dropping-particle":"","parse-names":false,"suffix":""},{"dropping-particle":"","family":"Franco","given":"Alessia","non-dropping-particle":"","parse-names":false,"suffix":""},{"dropping-particle":"","family":"Botteldoorn","given":"Nadine","non-dropping-particle":"","parse-names":false,"suffix":""},{"dropping-particle":"","family":"Bruneau","given":"Mireille","non-dropping-particle":"","parse-names":false,"suffix":""},{"dropping-particle":"","family":"Perrin-Guyomard","given":"Agnès","non-dropping-particle":"","parse-names":false,"suffix":""},{"dropping-particle":"","family":"Cerny","given":"Tomas","non-dropping-particle":"","parse-names":false,"suffix":""},{"dropping-particle":"","family":"Frutos Escobar","given":"Cristina","non-dropping-particle":"de","parse-names":false,"suffix":""},{"dropping-particle":"","family":"Guerra","given":"Beatriz","non-dropping-particle":"","parse-names":false,"suffix":""},{"dropping-particle":"","family":"Schroeter","given":"Andreas","non-dropping-particle":"","parse-names":false,"suffix":""},{"dropping-particle":"","family":"Gutierrez","given":"Montserrat","non-dropping-particle":"","parse-names":false,"suffix":""},{"dropping-particle":"","family":"Hopkins","given":"Katie","non-dropping-particle":"","parse-names":false,"suffix":""},{"dropping-particle":"","family":"Myllyniemi","given":"Anna Liisa","non-dropping-particle":"","parse-names":false,"suffix":""},{"dropping-particle":"","family":"Sunde","given":"Marianne","non-dropping-particle":"","parse-names":false,"suffix":""},{"dropping-particle":"","family":"Wasyl","given":"Dariusz","non-dropping-particle":"","parse-names":false,"suffix":""},{"dropping-particle":"","family":"Aarestrup","given":"Frank M.","non-dropping-particle":"","parse-names":false,"suffix":""}],"container-title":"Journal of Antimicrobial Chemotherapy","id":"ITEM-1","issue":"6","issued":{"date-parts":[["2011"]]},"page":"1278-1286","title":"International collaborative study on the occurrence of plasmid-mediated quinolone resistance in Salmonella enterica and Escherichia coli isolated from animals, humans, food and the environment in 13 European countries","type":"article-journal","volume":"66"},"uris":["http://www.mendeley.com/documents/?uuid=5ad9cfba-7317-4b5a-8a2c-39a18e87f002"]}],"mendeley":{"formattedCitation":"(Veldman et al., 2011)","plainTextFormattedCitation":"(Veldman et al., 2011)","previouslyFormattedCitation":"(Veldman et al., 2011)"},"properties":{"noteIndex":0},"schema":"https://github.com/citation-style-language/schema/raw/master/csl-citation.json"}</w:instrText>
            </w:r>
            <w:r>
              <w:rPr>
                <w:b/>
                <w:sz w:val="20"/>
                <w:szCs w:val="20"/>
              </w:rPr>
              <w:fldChar w:fldCharType="separate"/>
            </w:r>
            <w:r>
              <w:rPr>
                <w:sz w:val="20"/>
                <w:szCs w:val="20"/>
              </w:rPr>
              <w:t>(Veldman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TGTCTGGAATAACAATCACC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qnrD</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CGGGGAATAGAGTTAAAAAT</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598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{"citationItems":[{"id":"ITEM-1","itemData":{"DOI":"10.1093/jac/dkr084","ISSN":"03057453","PMID":"21393198","abstract":"Objectives: This study was initiated to collect retrospective information on the occurrence of plasmid-mediated quinolone resistance (PMQR) in Salmonella enterica and Escherichia coli isolates in Europe and to identify the responsible genes. Methods: Databases of national reference laboratories containing MIC values for Salmonella and E. coli isolated between 1994 and 2009 in animals, humans, food and the environment from 13 European countries were screened for isolates exhibiting a defined quinolone resistance phenotype, i.e. reduced susceptibility to fluoroquinolones and nalidixic acid. PCR and sequence analysis were performed to identify the responsible PMQR genes. Results: Screening of databases of 13 European countries resulted in a selection of 1215 Salmonella and 333 E. coli isolates. PMQR genes were identified in 59% of the Salmonella isolates and 15% of the E. coli isolates selected. In Salmonella, qnrS1 (n=125) and variants of qnrB (n=138) were frequently identified, whereas qnrA1 (n=3) and aac(6</w:instrText>
            </w:r>
            <w:r>
              <w:rPr>
                <w:rFonts w:hint="eastAsia"/>
                <w:b/>
                <w:sz w:val="20"/>
                <w:szCs w:val="20"/>
              </w:rPr>
              <w:instrText xml:space="preserve">′</w:instrText>
            </w:r>
            <w:r>
              <w:rPr>
                <w:b/>
                <w:sz w:val="20"/>
                <w:szCs w:val="20"/>
              </w:rPr>
              <w:instrText xml:space="preserve">)-1b-cr (n=3) were rarely found. qnrD was detected in 22 Salmonella isolates obtained from humans and animals. In E. coli, qnrS1 was identified in 19 isolates and qnrB19 was found in one isolate. No qnrC or qepA genes were detected in either Salmonella or E. coli. Conclusions: This study shows the occurrence and dissemination of PMQR genes in Salmonella and E. coli in Europe with a defined quinolone resistance phenotype. We also report the first detection of qnrD in Salmonella collected in Europe. © The Author 2011. Published by Oxford University Press on behalf of the British Society for Antimicrobial Chemotherapy. All rights reserved.","author":[{"dropping-particle":"","family":"Veldman","given":"Kees","non-dropping-particle":"","parse-names":false,"suffix":""},{"dropping-particle":"","family":"Cavaco","given":"Lina M.","non-dropping-particle":"","parse-names":false,"suffix":""},{"dropping-particle":"","family":"Mevius","given":"Dik","non-dropping-particle":"","parse-names":false,"suffix":""},{"dropping-particle":"","family":"Battisti","given":"Antonio","non-dropping-particle":"","parse-names":false,"suffix":""},{"dropping-particle":"","family":"Franco","given":"Alessia","non-dropping-particle":"","parse-names":false,"suffix":""},{"dropping-particle":"","family":"Botteldoorn","given":"Nadine","non-dropping-particle":"","parse-names":false,"suffix":""},{"dropping-particle":"","family":"Bruneau","given":"Mireille","non-dropping-particle":"","parse-names":false,"suffix":""},{"dropping-particle":"","family":"Perrin-Guyomard","given":"Agnès","non-dropping-particle":"","parse-names":false,"suffix":""},{"dropping-particle":"","family":"Cerny","given":"Tomas","non-dropping-particle":"","parse-names":false,"suffix":""},{"dropping-particle":"","family":"Frutos Escobar","given":"Cristina","non-dropping-particle":"de","parse-names":false,"suffix":""},{"dropping-particle":"","family":"Guerra","given":"Beatriz","non-dropping-particle":"","parse-names":false,"suffix":""},{"dropping-particle":"","family":"Schroeter","given":"Andreas","non-dropping-particle":"","parse-names":false,"suffix":""},{"dropping-particle":"","family":"Gutierrez","given":"Montserrat","non-dropping-particle":"","parse-names":false,"suffix":""},{"dropping-particle":"","family":"Hopkins","given":"Katie","non-dropping-particle":"","parse-names":false,"suffix":""},{"dropping-particle":"","family":"Myllyniemi","given":"Anna Liisa","non-dropping-particle":"","parse-names":false,"suffix":""},{"dropping-particle":"","family":"Sunde","given":"Marianne","non-dropping-particle":"","parse-names":false,"suffix":""},{"dropping-particle":"","family":"Wasyl","given":"Dariusz","non-dropping-particle":"","parse-names":false,"suffix":""},{"dropping-particle":"","family":"Aarestrup","given":"Frank M.","non-dropping-particle":"","parse-names":false,"suffix":""}],"container-title":"Journal of Antimicrobial Chemotherapy","id":"ITEM-1","issue":"6","issued":{"date-parts":[["2011"]]},"page":"1278-1286","title":"International collaborative study on the occurrence of plasmid-mediated quinolone resistance in Salmonella enterica and Escherichia coli isolated from animals, humans, food and the environment in 13 European countries","type":"article-journal","volume":"66"},"uris":["http://www.mendeley.com/documents/?uuid=5ad9cfba-7317-4b5a-8a2c-39a18e87f002"]}],"mendeley":{"formattedCitation":"(Veldman et al., 2011)","plainTextFormattedCitation":"(Veldman et al., 2011)","previouslyFormattedCitation":"(Veldman et al., 2011)"},"properties":{"noteIndex":0},"schema":"https://github.com/citation-style-language/schema/raw/master/csl-citation.json"}</w:instrText>
            </w:r>
            <w:r>
              <w:rPr>
                <w:b/>
                <w:sz w:val="20"/>
                <w:szCs w:val="20"/>
              </w:rPr>
              <w:fldChar w:fldCharType="separate"/>
            </w:r>
            <w:r>
              <w:rPr>
                <w:sz w:val="20"/>
                <w:szCs w:val="20"/>
              </w:rPr>
              <w:t>(Veldman et al., 2011)</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TATCGGTGAACAATAACACC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qnrS</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CGACGTGCTAACTTGCGTGATA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538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{"citationItems":[{"id":"ITEM-1","itemData":{"author":[{"dropping-particle":"","family":"Kuang","given":"XH","non-dropping-particle":"","parse-names":false,"suffix":""}],"container-title":"HuaZhong Agricultural University","id":"ITEM-1","issued":{"date-parts":[["2015"]]},"title":"Prevalence and molecular characteristic of resistance and virulence of three different livestock pathogen bacteria in central China","type":"article-journal"},"uris":["http://www.mendeley.com/documents/?uuid=f62f5e6c-8edf-4f0f-b76e-f1d08a3af814"]}],"mendeley":{"formattedCitation":"(Kuang, 2015)","plainTextFormattedCitation":"(Kuang, 2015)","previouslyFormattedCitation":"(XH, 2015)"},"properties":{"noteIndex":0},"schema":"https://github.com/citation-style-language/schema/raw/master/csl-citation.json"}</w:instrText>
            </w:r>
            <w:r>
              <w:rPr>
                <w:b/>
                <w:sz w:val="20"/>
                <w:szCs w:val="20"/>
              </w:rPr>
              <w:fldChar w:fldCharType="separate"/>
            </w:r>
            <w:r>
              <w:rPr>
                <w:sz w:val="20"/>
                <w:szCs w:val="20"/>
              </w:rPr>
              <w:t>(Kuang,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TACCCAGTGCTTCGAGAATCAG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rFonts w:hint="eastAsia"/>
                <w:iCs/>
                <w:sz w:val="20"/>
                <w:szCs w:val="20"/>
              </w:rPr>
              <w:t>Tetracycline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ATTGCTCGGGCGAGTGAATG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794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right w:val="nil"/>
            </w:tcBorders>
            <w:vAlign w:val="center"/>
          </w:tcPr>
          <w:p>
            <w:pPr>
              <w:spacing w:before="0" w:after="0" w:line="240" w:lineRule="atLeast"/>
              <w:jc w:val="center"/>
              <w:rPr>
                <w:b/>
                <w:sz w:val="20"/>
                <w:szCs w:val="20"/>
              </w:rPr>
            </w:pPr>
            <w:r>
              <w:rPr>
                <w:rFonts w:hint="eastAsia"/>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vAlign w:val="center"/>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TGAAACCCAACAGACCCCTG</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CCTCAGCTTCTCAACGCGTG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634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{"citationItems":[{"id":"ITEM-1","itemData":{"DOI":"10.1007/s12223-016-0481-8","ISSN":"18749356","PMID":"27837411","abstract":"The study focused on the incidence of enterotoxigenic Escherichia coli (ETEC) and verotoxigenic E. coli (VTEC) in raw milk and traditional dairy cheeses marketed in Romania, characterizing the virulence and antibiotic resistance genes of these isolates. One hundred and twenty samples of raw milk and 80 samples of unpasteurized telemy cheese were collected and cultured according to the international standard protocol. All the characteristic E. coli cultures were analyzed for the presence of STa, STb, LT, stx1, and stx2 toxicity genes. The ETEC/VTEC strains were tested for the presence of antibiotic resistance genes, such as aadA1, tetA, tetB, tetC, tetG, dfrA1, qnrA, aaC, sul1, blaSHV, blaCMY, blaTEM, and ere(A), using PCR. The results showed that 27 samples (18.62%) were positive for one of the virulence genes investigated. 48.1% (n = 13) tested positive at the genes encoding for tetracycline resistance, tetA being the most prevalent one (61.5%; n = 8). A high percent (33.3%; n = 9) revealed the beta-lactamase (blaTEM) resistance gene, and none of the samples tested positive for blaCMY and blaSHV genes. The genes responsible for resistance to sulfonamides (sul1) and trimethoprim (dfrA1) were detected in rates of 14.8% (n = 4) and 7.4% (n = 2), respectively. E. coli is highly prevalent in raw milk and unpasteurized cheeses marketed in Romania. These strains might represent an important reservoir of resistance genes which can easily spread into other European countries, given the unique market.","author":[{"dropping-particle":"","family":"Tabaran","given":"Alexandra","non-dropping-particle":"","parse-names":false,"suffix":""},{"dropping-particle":"","family":"Mihaiu","given":"Marian","non-dropping-particle":"","parse-names":false,"suffix":""},{"dropping-particle":"","family":"Tăbăran","given":"Flaviu","non-dropping-particle":"","parse-names":false,"suffix":""},{"dropping-particle":"","family":"Colobatiu","given":"Liora","non-dropping-particle":"","parse-names":false,"suffix":""},{"dropping-particle":"","family":"Reget","given":"Oana","non-dropping-particle":"","parse-names":false,"suffix":""},{"dropping-particle":"","family":"Borzan","given":"Mihai Marian","non-dropping-particle":"","parse-names":false,"suffix":""},{"dropping-particle":"","family":"Dan","given":"Sorin Daniel","non-dropping-particle":"","parse-names":false,"suffix":""}],"container-title":"Folia Microbiologica","id":"ITEM-1","issue":"2","issued":{"date-parts":[["2017"]]},"page":"145-150","title":"First study on characterization of virulence and antibiotic resistance genes in verotoxigenic and enterotoxigenic E. coli isolated from raw milk and unpasteurized traditional cheeses in Romania","type":"article-journal","volume":"62"},"uris":["http://www.mendeley.com/documents/?uuid=acb23411-f59f-45d7-9f57-ccd3f935ea06"]}],"mendeley":{"formattedCitation":"(Tabaran et al., 2017)","plainTextFormattedCitation":"(Tabaran et al., 2017)","previouslyFormattedCitation":"(Tabaran et al., 2017)"},"properties":{"noteIndex":0},"schema":"https://github.com/citation-style-language/schema/raw/master/csl-citation.json"}</w:instrText>
            </w:r>
            <w:r>
              <w:rPr>
                <w:b/>
                <w:sz w:val="20"/>
                <w:szCs w:val="20"/>
              </w:rPr>
              <w:fldChar w:fldCharType="separate"/>
            </w:r>
            <w:r>
              <w:rPr>
                <w:sz w:val="20"/>
                <w:szCs w:val="20"/>
              </w:rPr>
              <w:t>(Tabaran et al., 2017)</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GCACCTTGCTGATGACTCTT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tetC</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ACTTGGAGCCACTATCGAC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881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{"citationItems":[{"id":"ITEM-1","itemData":{"DOI":"10.1128/JCM.42.12.5444-5452.2004","ISSN":"00951137","PMID":"15583263","abstract":"Extraintestinal pathogenic Escherichia coli (ExPEC) isolates collected from different infected animals and from human patients with extraintestinal infections in 2001 were characterized for their phenotypic and genotypic antimicrobial resistance profiles, genotypes, and key virulence factors. Among the 10 antimicrobial agents tested, resistance to ampicillin, tetracycline, and sulfonamides was most frequent. Multiresistant strains were found in both the animal and the human groups of isolates. Resistance gene distribution was assessed by colony hybridization. Similar antibiotic resistance patterns could be observed in the animal and the human isolates. Although some resistance genes, such as blaTEM, sulI, and sulII, were equally represented in the animal and human ExPEC isolates, differences in the distributions of tetracycline [tet(D)], chloramphenicol (catI, catIII, and floR), and trimethoprim (dhfrI, dhfrV, dhfrVII, and dhfrXIII) resistance genes were observed between the animal and the human isolates. Approximately one-third of the ExPEC isolates possessed a class 1 integron. The four major different variable regions of the class 1 integren contained aminoglycoside (aadA1, aadA2, aadA5, and aadA6) and/or trimethoprim (dhfrIb, dhfrXII, and dhfrXVII) resistance genes. The ExPEC strains belonged to different phylogenetic groups, depending on their host origin. Strains isolated from animal tissues belonged to either a commensal group (group A or B1) or a virulent group (group B2 or D), while the majority of the human isolates belonged to a virulent group (group B2 or D). Although the limited number of isolates evaluated in the present study prevents firm epidemiological conclusions from being made, on a more global scale, these data demonstrate that extraintestinal isolates of E. coli can possess relatively distinct intra- and intergroup resistance gene profiles, with animal isolates presenting a more heterogeneous group than human isolates.","author":[{"dropping-particle":"","family":"Maynard","given":"Christine","non-dropping-particle":"","parse-names":false,"suffix":""},{"dropping-particle":"","family":"Bekal","given":"Sadjia","non-dropping-particle":"","parse-names":false,"suffix":""},{"dropping-particle":"","family":"Sanschagrin","given":"François","non-dropping-particle":"","parse-names":false,"suffix":""},{"dropping-particle":"","family":"Levesque","given":"Roger C.","non-dropping-particle":"","parse-names":false,"suffix":""},{"dropping-particle":"","family":"Brousseau","given":"Roland","non-dropping-particle":"","parse-names":false,"suffix":""},{"dropping-particle":"","family":"Masson","given":"Luke","non-dropping-particle":"","parse-names":false,"suffix":""},{"dropping-particle":"","family":"Larivière","given":"Serge","non-dropping-particle":"","parse-names":false,"suffix":""},{"dropping-particle":"","family":"Harel","given":"Josée","non-dropping-particle":"","parse-names":false,"suffix":""}],"container-title":"Journal of Clinical Microbiology","id":"ITEM-1","issue":"12","issued":{"date-parts":[["2004"]]},"page":"5444-5452","title":"Heterogeneity among virulence and antimicrobial resistance gene profiles of extraintestinal Escherichia coli isolates of animal and human origin","type":"article-journal","volume":"42"},"uris":["http://www.mendeley.com/documents/?uuid=b7c13e8d-ba27-4004-bae8-fde77214de91"]}],"mendeley":{"formattedCitation":"(Maynard et al., 2004)","plainTextFormattedCitation":"(Maynard et al., 2004)","previouslyFormattedCitation":"(Maynard et al., 2004)"},"properties":{"noteIndex":0},"schema":"https://github.com/citation-style-language/schema/raw/master/csl-citation.json"}</w:instrText>
            </w:r>
            <w:r>
              <w:rPr>
                <w:b/>
                <w:sz w:val="20"/>
                <w:szCs w:val="20"/>
              </w:rPr>
              <w:fldChar w:fldCharType="separate"/>
            </w:r>
            <w:r>
              <w:rPr>
                <w:sz w:val="20"/>
                <w:szCs w:val="20"/>
              </w:rPr>
              <w:t>(Maynard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CTACAATCCATGCCAACCC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tetD</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CAGGCATTCAGTATTGCCGC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227</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right w:val="nil"/>
            </w:tcBorders>
            <w:vAlign w:val="center"/>
          </w:tcPr>
          <w:p>
            <w:pPr>
              <w:spacing w:before="0" w:after="0" w:line="240" w:lineRule="atLeast"/>
              <w:jc w:val="center"/>
              <w:rPr>
                <w:b/>
                <w:sz w:val="20"/>
                <w:szCs w:val="20"/>
              </w:rPr>
            </w:pPr>
            <w:r>
              <w:rPr>
                <w:rFonts w:hint="eastAsia"/>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TGGATGTTGTATCTCGGGCG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tetE</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GTTATTACGGGAGTTTGTTGG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278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{"citationItems":[{"id":"ITEM-1","itemData":{"DOI":"10.1111/1750-3841.13318","ISSN":"17503841","PMID":"27100915","abstract":"Microbial contamination in food-processing plants can play a fundamental role in food quality and safety. The purpose of this study was to investigate aerobic bacteria carrying tetracycline and sulfonamide resistance genes from a meat processing plant as possible sources of meat contamination. One hundred swab samples from surfaces of conveyor belts, meat slicers, meat knives, benches, plastic trays, gloves, and aprons were analyzed. A total of 168 isolates belonging to 10 genera were obtained, including Pseudomonas sp. (n = 35), Acinetobacter sp. (n = 30), Aeromonas sp. (n = 20), Myroides sp. (n = 15), Serratia sp. (n = 15), Staphylococcus sp. (n = 14), Enterobacter sp. (n = 11), Escherichia coli (n = 10), Lactococcus sp. (n = 10), and Klebsiella sp. (n = 8). Of the 168 isolates investigated, 60.7% showed resistance to tetracycline and 57.7% to trimethoprim/sulfamethoxazole. The tetracycline resistance genes tetL, tetA, tetB, tetC, tetE, tetM, tetS, tetK, and tetX were found in the frequency of 7.7%, 6.0%, 4.8%, 4.8%, 3.6%, 3.6%, 3.6%, 1.2%, and 0.6%, respectively. Sulfonamide resistance genes sul1 and sul2 were observed in the frequency of 17.9% and 38.1%, respectively. The tetracycline resistance genes tetX was first found in Myroides sp. This investigation demonstrated that food contact surfaces in a meat processing plant may be sources of contamination of aerobic bacteria carrying tetracycline and sulfonamide antibiotic resistance genes.","author":[{"dropping-particle":"","family":"Li","given":"Lili","non-dropping-particle":"","parse-names":false,"suffix":""},{"dropping-particle":"","family":"Ye","given":"Lei","non-dropping-particle":"","parse-names":false,"suffix":""},{"dropping-particle":"","family":"Zhang","given":"Sen","non-dropping-particle":"","parse-names":false,"suffix":""},{"dropping-particle":"","family":"Meng","given":"Hecheng","non-dropping-particle":"","parse-names":false,"suffix":""}],"container-title":"Journal of food science","id":"ITEM-1","issue":"6","issued":{"date-parts":[["2016"]]},"page":"M1480-M1484","title":"Isolation and Identification of Aerobic Bacteria Carrying Tetracycline and Sulfonamide Resistance Genes Obtained from a Meat Processing Plant","type":"article-journal","volume":"81"},"uris":["http://www.mendeley.com/documents/?uuid=82ba4952-63ba-4c33-bb6d-8996815e8104"]}],"mendeley":{"formattedCitation":"(Li et al., 2016)","plainTextFormattedCitation":"(Li et al., 2016)","previouslyFormattedCitation":"(Li et al., 2016)"},"properties":{"noteIndex":0},"schema":"https://github.com/citation-style-language/schema/raw/master/csl-citation.json"}</w:instrText>
            </w:r>
            <w:r>
              <w:rPr>
                <w:b/>
                <w:sz w:val="20"/>
                <w:szCs w:val="20"/>
              </w:rPr>
              <w:fldChar w:fldCharType="separate"/>
            </w:r>
            <w:r>
              <w:rPr>
                <w:sz w:val="20"/>
                <w:szCs w:val="20"/>
              </w:rPr>
              <w:t>(Li et al., 2016)</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AATACAACACCCACACTACGC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tetG</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TGCTTGGACAGCTTTCGGAT</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411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right w:val="nil"/>
            </w:tcBorders>
            <w:vAlign w:val="center"/>
          </w:tcPr>
          <w:p>
            <w:pPr>
              <w:spacing w:before="0" w:after="0" w:line="240" w:lineRule="atLeast"/>
              <w:jc w:val="center"/>
              <w:rPr>
                <w:b/>
                <w:sz w:val="20"/>
                <w:szCs w:val="20"/>
              </w:rPr>
            </w:pPr>
            <w:r>
              <w:rPr>
                <w:rFonts w:hint="eastAsia"/>
                <w:sz w:val="20"/>
                <w:szCs w:val="20"/>
              </w:rPr>
              <w:t>This study</w:t>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GTTTGATGCGAACCGGCTTT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vAlign w:val="center"/>
          </w:tcPr>
          <w:p>
            <w:pPr>
              <w:spacing w:before="0" w:after="0" w:line="240" w:lineRule="atLeast"/>
              <w:jc w:val="center"/>
              <w:rPr>
                <w:i/>
                <w:sz w:val="20"/>
                <w:szCs w:val="20"/>
              </w:rPr>
            </w:pPr>
            <w:r>
              <w:rPr>
                <w:iCs/>
                <w:sz w:val="20"/>
                <w:szCs w:val="20"/>
              </w:rPr>
              <w:t>Sulfonamide resistance gene</w:t>
            </w: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Sul1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GTGACGGTGTTCGGCATTCT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779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{"citationItems":[{"id":"ITEM-1","itemData":{"DOI":"10.1016/j.micpath.2019.05.018","ISSN":"10961208","PMID":"31096003","abstract":"It is important to evaluate the antimicrobial resistance pattern by genotypic and phenotypic methods in epidemiological studies in order to control antimicrobial resistance and to improve the outcome of the treatments. Four-hundred and thirty clinical mastitis samples were collected from 14 dairy herds in five different cities. The antimicrobial susceptibility test was performed using agar disk diffusion for 70 identified Escherichia coli isolates. The antimicrobial resistance genes including strA, strB, aadA, sulI, sulII, sulIII, ampC were detected by PCR method. Phylogenic groups were determined by Clermont's multiplex PCR method, and RAPD typing was performed on all isolates. Most isolates were resistant to lincomicin and streptomycin, whereas sulfa-trimethoprim has the lowest resistance rate. Moreover, ampC, aadA and sul2 genes had the highest frequency (92.85%, 38.57%, and 32.85% respectively). 20% of all the isolates carried strA and strB genes, and 11.42% of the isolates had sul1 gene and 10% of the isolates had the less frequent sul3 gene. Of the total of 70 E. coli isolates, 26 (37.14%), 20 (28.5%), 17 (24.2%), 8 (11.4%)isolates belonged to B1, A, B2 and D phylogenic groups respectively. strA, strB, sul2 and aadA resistance genes had the highest percentage in A phylogenic groups. Based on RAPD-PCR method, E. coli isolates were classified in four clusters. The result showed a high phenotypic and genotypic E. coli resistance to the current antimicrobials with a similar pattern in different cities; also the majority of E. coli isolates belonged to B1 group which mainly contains the commensal E. coli isolates.","author":[{"dropping-particle":"","family":"Fazel","given":"Fatemeh","non-dropping-particle":"","parse-names":false,"suffix":""},{"dropping-particle":"","family":"Jamshidi","given":"Abdollah","non-dropping-particle":"","parse-names":false,"suffix":""},{"dropping-particle":"","family":"Khoramian","given":"Babak","non-dropping-particle":"","parse-names":false,"suffix":""}],"container-title":"Microbial Pathogenesis","id":"ITEM-1","issued":{"date-parts":[["2019"]]},"page":"355-361","publisher":"Elsevier Ltd","title":"Phenotypic and genotypic study on antimicrobial resistance patterns of E. coli isolates from bovine mastitis","type":"article-journal","volume":"132"},"uris":["http://www.mendeley.com/documents/?uuid=71c2671a-47d8-4997-9e30-be1a7e80dd6e"]}],"mendeley":{"formattedCitation":"(Fazel et al., 2019)","plainTextFormattedCitation":"(Fazel et al., 2019)","previouslyFormattedCitation":"(Fazel et al., 2019)"},"properties":{"noteIndex":0},"schema":"https://github.com/citation-style-language/schema/raw/master/csl-citation.json"}</w:instrText>
            </w:r>
            <w:r>
              <w:rPr>
                <w:b/>
                <w:sz w:val="20"/>
                <w:szCs w:val="20"/>
              </w:rPr>
              <w:fldChar w:fldCharType="separate"/>
            </w:r>
            <w:r>
              <w:rPr>
                <w:sz w:val="20"/>
                <w:szCs w:val="20"/>
              </w:rPr>
              <w:t>(Fazel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TCCGAGAAGGTGATTGCGCT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 xml:space="preserve">Sul2 </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CGGCATCGTCAACATAACCT</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721</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{"citationItems":[{"id":"ITEM-1","itemData":{"DOI":"10.1016/j.micpath.2019.05.018","ISSN":"10961208","PMID":"31096003","abstract":"It is important to evaluate the antimicrobial resistance pattern by genotypic and phenotypic methods in epidemiological studies in order to control antimicrobial resistance and to improve the outcome of the treatments. Four-hundred and thirty clinical mastitis samples were collected from 14 dairy herds in five different cities. The antimicrobial susceptibility test was performed using agar disk diffusion for 70 identified Escherichia coli isolates. The antimicrobial resistance genes including strA, strB, aadA, sulI, sulII, sulIII, ampC were detected by PCR method. Phylogenic groups were determined by Clermont's multiplex PCR method, and RAPD typing was performed on all isolates. Most isolates were resistant to lincomicin and streptomycin, whereas sulfa-trimethoprim has the lowest resistance rate. Moreover, ampC, aadA and sul2 genes had the highest frequency (92.85%, 38.57%, and 32.85% respectively). 20% of all the isolates carried strA and strB genes, and 11.42% of the isolates had sul1 gene and 10% of the isolates had the less frequent sul3 gene. Of the total of 70 E. coli isolates, 26 (37.14%), 20 (28.5%), 17 (24.2%), 8 (11.4%)isolates belonged to B1, A, B2 and D phylogenic groups respectively. strA, strB, sul2 and aadA resistance genes had the highest percentage in A phylogenic groups. Based on RAPD-PCR method, E. coli isolates were classified in four clusters. The result showed a high phenotypic and genotypic E. coli resistance to the current antimicrobials with a similar pattern in different cities; also the majority of E. coli isolates belonged to B1 group which mainly contains the commensal E. coli isolates.","author":[{"dropping-particle":"","family":"Fazel","given":"Fatemeh","non-dropping-particle":"","parse-names":false,"suffix":""},{"dropping-particle":"","family":"Jamshidi","given":"Abdollah","non-dropping-particle":"","parse-names":false,"suffix":""},{"dropping-particle":"","family":"Khoramian","given":"Babak","non-dropping-particle":"","parse-names":false,"suffix":""}],"container-title":"Microbial Pathogenesis","id":"ITEM-1","issued":{"date-parts":[["2019"]]},"page":"355-361","publisher":"Elsevier Ltd","title":"Phenotypic and genotypic study on antimicrobial resistance patterns of E. coli isolates from bovine mastitis","type":"article-journal","volume":"132"},"uris":["http://www.mendeley.com/documents/?uuid=71c2671a-47d8-4997-9e30-be1a7e80dd6e"]}],"mendeley":{"formattedCitation":"(Fazel et al., 2019)","plainTextFormattedCitation":"(Fazel et al., 2019)","previouslyFormattedCitation":"(Fazel et al., 2019)"},"properties":{"noteIndex":0},"schema":"https://github.com/citation-style-language/schema/raw/master/csl-citation.json"}</w:instrText>
            </w:r>
            <w:r>
              <w:rPr>
                <w:b/>
                <w:sz w:val="20"/>
                <w:szCs w:val="20"/>
              </w:rPr>
              <w:fldChar w:fldCharType="separate"/>
            </w:r>
            <w:r>
              <w:rPr>
                <w:sz w:val="20"/>
                <w:szCs w:val="20"/>
              </w:rPr>
              <w:t>(Fazel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TGTGCGGATGAAGTCAGCTC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textAlignment w:val="center"/>
              <w:rPr>
                <w:i/>
                <w:sz w:val="20"/>
                <w:szCs w:val="20"/>
              </w:rPr>
            </w:pPr>
            <w:r>
              <w:rPr>
                <w:i/>
                <w:sz w:val="20"/>
                <w:szCs w:val="20"/>
              </w:rPr>
              <w:t>Sul3</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CATTCTAGAAAACAGTCGTAGTTC</w:t>
            </w:r>
          </w:p>
        </w:tc>
        <w:tc>
          <w:tcPr>
            <w:tcW w:w="433" w:type="pct"/>
            <w:tcBorders>
              <w:top w:val="nil"/>
              <w:left w:val="nil"/>
              <w:bottom w:val="nil"/>
              <w:right w:val="nil"/>
            </w:tcBorders>
            <w:vAlign w:val="center"/>
          </w:tcPr>
          <w:p>
            <w:pPr>
              <w:spacing w:before="0" w:after="0" w:line="240" w:lineRule="atLeast"/>
              <w:jc w:val="center"/>
              <w:textAlignment w:val="center"/>
              <w:rPr>
                <w:sz w:val="20"/>
                <w:szCs w:val="20"/>
              </w:rPr>
            </w:pPr>
            <w:r>
              <w:rPr>
                <w:sz w:val="20"/>
                <w:szCs w:val="20"/>
              </w:rPr>
              <w:t>973</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{"citationItems":[{"id":"ITEM-1","itemData":{"DOI":"10.1016/j.micpath.2019.05.018","ISSN":"10961208","PMID":"31096003","abstract":"It is important to evaluate the antimicrobial resistance pattern by genotypic and phenotypic methods in epidemiological studies in order to control antimicrobial resistance and to improve the outcome of the treatments. Four-hundred and thirty clinical mastitis samples were collected from 14 dairy herds in five different cities. The antimicrobial susceptibility test was performed using agar disk diffusion for 70 identified Escherichia coli isolates. The antimicrobial resistance genes including strA, strB, aadA, sulI, sulII, sulIII, ampC were detected by PCR method. Phylogenic groups were determined by Clermont's multiplex PCR method, and RAPD typing was performed on all isolates. Most isolates were resistant to lincomicin and streptomycin, whereas sulfa-trimethoprim has the lowest resistance rate. Moreover, ampC, aadA and sul2 genes had the highest frequency (92.85%, 38.57%, and 32.85% respectively). 20% of all the isolates carried strA and strB genes, and 11.42% of the isolates had sul1 gene and 10% of the isolates had the less frequent sul3 gene. Of the total of 70 E. coli isolates, 26 (37.14%), 20 (28.5%), 17 (24.2%), 8 (11.4%)isolates belonged to B1, A, B2 and D phylogenic groups respectively. strA, strB, sul2 and aadA resistance genes had the highest percentage in A phylogenic groups. Based on RAPD-PCR method, E. coli isolates were classified in four clusters. The result showed a high phenotypic and genotypic E. coli resistance to the current antimicrobials with a similar pattern in different cities; also the majority of E. coli isolates belonged to B1 group which mainly contains the commensal E. coli isolates.","author":[{"dropping-particle":"","family":"Fazel","given":"Fatemeh","non-dropping-particle":"","parse-names":false,"suffix":""},{"dropping-particle":"","family":"Jamshidi","given":"Abdollah","non-dropping-particle":"","parse-names":false,"suffix":""},{"dropping-particle":"","family":"Khoramian","given":"Babak","non-dropping-particle":"","parse-names":false,"suffix":""}],"container-title":"Microbial Pathogenesis","id":"ITEM-1","issued":{"date-parts":[["2019"]]},"page":"355-361","publisher":"Elsevier Ltd","title":"Phenotypic and genotypic study on antimicrobial resistance patterns of E. coli isolates from bovine mastitis","type":"article-journal","volume":"132"},"uris":["http://www.mendeley.com/documents/?uuid=71c2671a-47d8-4997-9e30-be1a7e80dd6e"]}],"mendeley":{"formattedCitation":"(Fazel et al., 2019)","plainTextFormattedCitation":"(Fazel et al., 2019)","previouslyFormattedCitation":"(Fazel et al., 2019)"},"properties":{"noteIndex":0},"schema":"https://github.com/citation-style-language/schema/raw/master/csl-citation.json"}</w:instrText>
            </w:r>
            <w:r>
              <w:rPr>
                <w:b/>
                <w:sz w:val="20"/>
                <w:szCs w:val="20"/>
              </w:rPr>
              <w:fldChar w:fldCharType="separate"/>
            </w:r>
            <w:r>
              <w:rPr>
                <w:sz w:val="20"/>
                <w:szCs w:val="20"/>
              </w:rPr>
              <w:t>(Fazel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sz w:val="20"/>
                <w:szCs w:val="20"/>
              </w:rPr>
              <w:t>CATCTGCAGCTAACCTAGGGCTTTGGA</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rFonts w:hint="eastAsia"/>
                <w:iCs/>
                <w:sz w:val="20"/>
                <w:szCs w:val="20"/>
              </w:rPr>
              <w:t>Macrolide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mefA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TGTGCATATTTCTATTACG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1218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{"citationItems":[{"id":"ITEM-1","itemData":{"DOI":"10.1128/AAC.48.9.3451-3456.2004","ISSN":"00664804","PMID":"15328110","abstract":"Of the 176 randomly selected, commensal, gram-negative bacteria isolated from healthy children with low exposure to antibiotics, 138 (78%) carried one or more of the seven macrolide resistance genes tested in this study. These isolates included 79 (91%) isolates from the oral cavity and 59 (66%) isolates from urine samples. The mef(A) gene, coding for an efflux protein, was found in 73 isolates (41%) and was the most frequently carried gene. The mef(A) gene could be transferred from the donors into a gram-positive E. faecalis recipient and a gram-negative Escherichia coli recipient. The erm(B) gene transferred and was maintained in the E. coli transconjugants but was found in 0 to 100% of the E. faecalis transconjugants tested, while the other five genes could be transferred only into the E. coli recipient. The individual macrolide resistance genes were identified in 3 to 12 new genera. Eight (10%) of the oral isolates and 30 (34%) of the urine isolates for which the MICs were 2 to &gt;500 μg of erythromycin per ml did not hybridize with any of the seven genes and may carry novel macrolide resistance genes.","author":[{"dropping-particle":"","family":"Ojo","given":"K. K.","non-dropping-particle":"","parse-names":false,"suffix":""},{"dropping-particle":"","family":"Ulep","given":"C.","non-dropping-particle":"","parse-names":false,"suffix":""},{"dropping-particle":"","family":"Kirk","given":"N.","non-dropping-particle":"Van","parse-names":false,"suffix":""},{"dropping-particle":"","family":"Luis","given":"H.","non-dropping-particle":"","parse-names":false,"suffix":""},{"dropping-particle":"","family":"Bernardo","given":"M.","non-dropping-particle":"","parse-names":false,"suffix":""},{"dropping-particle":"","family":"Leitao","given":"J.","non-dropping-particle":"","parse-names":false,"suffix":""},{"dropping-particle":"","family":"Roberts","given":"M. C.","non-dropping-particle":"","parse-names":false,"suffix":""}],"container-title":"Antimicrobial Agents and Chemotherapy","id":"ITEM-1","issue":"9","issued":{"date-parts":[["2004"]]},"page":"3451-3456","title":"The mef(A) gene predominates among seven macrolide resistance genes identified in gram-negative strains representing 13 genera, isolated from healthy Portuguese children","type":"article-journal","volume":"48"},"uris":["http://www.mendeley.com/documents/?uuid=2649729c-aa15-439d-aacd-0bace8ac658e"]}],"mendeley":{"formattedCitation":"(Ojo et al., 2004)","plainTextFormattedCitation":"(Ojo et al., 2004)","previouslyFormattedCitation":"(Ojo et al., 2004)"},"properties":{"noteIndex":0},"schema":"https://github.com/citation-style-language/schema/raw/master/csl-citation.json"}</w:instrText>
            </w:r>
            <w:r>
              <w:rPr>
                <w:b/>
                <w:sz w:val="20"/>
                <w:szCs w:val="20"/>
              </w:rPr>
              <w:fldChar w:fldCharType="separate"/>
            </w:r>
            <w:r>
              <w:rPr>
                <w:sz w:val="20"/>
                <w:szCs w:val="20"/>
              </w:rPr>
              <w:t>(Ojo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CCAATTGGCATAGCAAG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ereA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 xml:space="preserve">GCCGGTGCTCATGAACTTGAG </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419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{"citationItems":[{"id":"ITEM-1","itemData":{"DOI":"10.1007/s12223-016-0481-8","ISSN":"18749356","PMID":"27837411","abstract":"The study focused on the incidence of enterotoxigenic Escherichia coli (ETEC) and verotoxigenic E. coli (VTEC) in raw milk and traditional dairy cheeses marketed in Romania, characterizing the virulence and antibiotic resistance genes of these isolates. One hundred and twenty samples of raw milk and 80 samples of unpasteurized telemy cheese were collected and cultured according to the international standard protocol. All the characteristic E. coli cultures were analyzed for the presence of STa, STb, LT, stx1, and stx2 toxicity genes. The ETEC/VTEC strains were tested for the presence of antibiotic resistance genes, such as aadA1, tetA, tetB, tetC, tetG, dfrA1, qnrA, aaC, sul1, blaSHV, blaCMY, blaTEM, and ere(A), using PCR. The results showed that 27 samples (18.62%) were positive for one of the virulence genes investigated. 48.1% (n = 13) tested positive at the genes encoding for tetracycline resistance, tetA being the most prevalent one (61.5%; n = 8). A high percent (33.3%; n = 9) revealed the beta-lactamase (blaTEM) resistance gene, and none of the samples tested positive for blaCMY and blaSHV genes. The genes responsible for resistance to sulfonamides (sul1) and trimethoprim (dfrA1) were detected in rates of 14.8% (n = 4) and 7.4% (n = 2), respectively. E. coli is highly prevalent in raw milk and unpasteurized cheeses marketed in Romania. These strains might represent an important reservoir of resistance genes which can easily spread into other European countries, given the unique market.","author":[{"dropping-particle":"","family":"Tabaran","given":"Alexandra","non-dropping-particle":"","parse-names":false,"suffix":""},{"dropping-particle":"","family":"Mihaiu","given":"Marian","non-dropping-particle":"","parse-names":false,"suffix":""},{"dropping-particle":"","family":"Tăbăran","given":"Flaviu","non-dropping-particle":"","parse-names":false,"suffix":""},{"dropping-particle":"","family":"Colobatiu","given":"Liora","non-dropping-particle":"","parse-names":false,"suffix":""},{"dropping-particle":"","family":"Reget","given":"Oana","non-dropping-particle":"","parse-names":false,"suffix":""},{"dropping-particle":"","family":"Borzan","given":"Mihai Marian","non-dropping-particle":"","parse-names":false,"suffix":""},{"dropping-particle":"","family":"Dan","given":"Sorin Daniel","non-dropping-particle":"","parse-names":false,"suffix":""}],"container-title":"Folia Microbiologica","id":"ITEM-1","issue":"2","issued":{"date-parts":[["2017"]]},"page":"145-150","title":"First study on characterization of virulence and antibiotic resistance genes in verotoxigenic and enterotoxigenic E. coli isolated from raw milk and unpasteurized traditional cheeses in Romania","type":"article-journal","volume":"62"},"uris":["http://www.mendeley.com/documents/?uuid=acb23411-f59f-45d7-9f57-ccd3f935ea06"]}],"mendeley":{"formattedCitation":"(Tabaran et al., 2017)","plainTextFormattedCitation":"(Tabaran et al., 2017)","previouslyFormattedCitation":"(Tabaran et al., 2017)"},"properties":{"noteIndex":0},"schema":"https://github.com/citation-style-language/schema/raw/master/csl-citation.json"}</w:instrText>
            </w:r>
            <w:r>
              <w:rPr>
                <w:b/>
                <w:sz w:val="20"/>
                <w:szCs w:val="20"/>
              </w:rPr>
              <w:fldChar w:fldCharType="separate"/>
            </w:r>
            <w:r>
              <w:rPr>
                <w:sz w:val="20"/>
                <w:szCs w:val="20"/>
              </w:rPr>
              <w:t>(Tabaran et al., 2017)</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CGACTCTATTCGATCAGAGGC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ereB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GCCTTGAAGCTATGGCTCC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380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{"citationItems":[{"id":"ITEM-1","itemData":{"DOI":"10.1128/AAC.48.9.3451-3456.2004","ISSN":"00664804","PMID":"15328110","abstract":"Of the 176 randomly selected, commensal, gram-negative bacteria isolated from healthy children with low exposure to antibiotics, 138 (78%) carried one or more of the seven macrolide resistance genes tested in this study. These isolates included 79 (91%) isolates from the oral cavity and 59 (66%) isolates from urine samples. The mef(A) gene, coding for an efflux protein, was found in 73 isolates (41%) and was the most frequently carried gene. The mef(A) gene could be transferred from the donors into a gram-positive E. faecalis recipient and a gram-negative Escherichia coli recipient. The erm(B) gene transferred and was maintained in the E. coli transconjugants but was found in 0 to 100% of the E. faecalis transconjugants tested, while the other five genes could be transferred only into the E. coli recipient. The individual macrolide resistance genes were identified in 3 to 12 new genera. Eight (10%) of the oral isolates and 30 (34%) of the urine isolates for which the MICs were 2 to &gt;500 μg of erythromycin per ml did not hybridize with any of the seven genes and may carry novel macrolide resistance genes.","author":[{"dropping-particle":"","family":"Ojo","given":"K. K.","non-dropping-particle":"","parse-names":false,"suffix":""},{"dropping-particle":"","family":"Ulep","given":"C.","non-dropping-particle":"","parse-names":false,"suffix":""},{"dropping-particle":"","family":"Kirk","given":"N.","non-dropping-particle":"Van","parse-names":false,"suffix":""},{"dropping-particle":"","family":"Luis","given":"H.","non-dropping-particle":"","parse-names":false,"suffix":""},{"dropping-particle":"","family":"Bernardo","given":"M.","non-dropping-particle":"","parse-names":false,"suffix":""},{"dropping-particle":"","family":"Leitao","given":"J.","non-dropping-particle":"","parse-names":false,"suffix":""},{"dropping-particle":"","family":"Roberts","given":"M. C.","non-dropping-particle":"","parse-names":false,"suffix":""}],"container-title":"Antimicrobial Agents and Chemotherapy","id":"ITEM-1","issue":"9","issued":{"date-parts":[["2004"]]},"page":"3451-3456","title":"The mef(A) gene predominates among seven macrolide resistance genes identified in gram-negative strains representing 13 genera, isolated from healthy Portuguese children","type":"article-journal","volume":"48"},"uris":["http://www.mendeley.com/documents/?uuid=2649729c-aa15-439d-aacd-0bace8ac658e"]}],"mendeley":{"formattedCitation":"(Ojo et al., 2004)","plainTextFormattedCitation":"(Ojo et al., 2004)","previouslyFormattedCitation":"(Ojo et al., 2004)"},"properties":{"noteIndex":0},"schema":"https://github.com/citation-style-language/schema/raw/master/csl-citation.json"}</w:instrText>
            </w:r>
            <w:r>
              <w:rPr>
                <w:b/>
                <w:sz w:val="20"/>
                <w:szCs w:val="20"/>
              </w:rPr>
              <w:fldChar w:fldCharType="separate"/>
            </w:r>
            <w:r>
              <w:rPr>
                <w:sz w:val="20"/>
                <w:szCs w:val="20"/>
              </w:rPr>
              <w:t>(Ojo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GGCCCATTGGTAGGCAAC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ermB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GAAAAGGTACTCAACCAAATA</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663</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{"citationItems":[{"id":"ITEM-1","itemData":{"DOI":"10.1128/AAC.48.9.3451-3456.2004","ISSN":"00664804","PMID":"15328110","abstract":"Of the 176 randomly selected, commensal, gram-negative bacteria isolated from healthy children with low exposure to antibiotics, 138 (78%) carried one or more of the seven macrolide resistance genes tested in this study. These isolates included 79 (91%) isolates from the oral cavity and 59 (66%) isolates from urine samples. The mef(A) gene, coding for an efflux protein, was found in 73 isolates (41%) and was the most frequently carried gene. The mef(A) gene could be transferred from the donors into a gram-positive E. faecalis recipient and a gram-negative Escherichia coli recipient. The erm(B) gene transferred and was maintained in the E. coli transconjugants but was found in 0 to 100% of the E. faecalis transconjugants tested, while the other five genes could be transferred only into the E. coli recipient. The individual macrolide resistance genes were identified in 3 to 12 new genera. Eight (10%) of the oral isolates and 30 (34%) of the urine isolates for which the MICs were 2 to &gt;500 μg of erythromycin per ml did not hybridize with any of the seven genes and may carry novel macrolide resistance genes.","author":[{"dropping-particle":"","family":"Ojo","given":"K. K.","non-dropping-particle":"","parse-names":false,"suffix":""},{"dropping-particle":"","family":"Ulep","given":"C.","non-dropping-particle":"","parse-names":false,"suffix":""},{"dropping-particle":"","family":"Kirk","given":"N.","non-dropping-particle":"Van","parse-names":false,"suffix":""},{"dropping-particle":"","family":"Luis","given":"H.","non-dropping-particle":"","parse-names":false,"suffix":""},{"dropping-particle":"","family":"Bernardo","given":"M.","non-dropping-particle":"","parse-names":false,"suffix":""},{"dropping-particle":"","family":"Leitao","given":"J.","non-dropping-particle":"","parse-names":false,"suffix":""},{"dropping-particle":"","family":"Roberts","given":"M. C.","non-dropping-particle":"","parse-names":false,"suffix":""}],"container-title":"Antimicrobial Agents and Chemotherapy","id":"ITEM-1","issue":"9","issued":{"date-parts":[["2004"]]},"page":"3451-3456","title":"The mef(A) gene predominates among seven macrolide resistance genes identified in gram-negative strains representing 13 genera, isolated from healthy Portuguese children","type":"article-journal","volume":"48"},"uris":["http://www.mendeley.com/documents/?uuid=2649729c-aa15-439d-aacd-0bace8ac658e"]}],"mendeley":{"formattedCitation":"(Ojo et al., 2004)","plainTextFormattedCitation":"(Ojo et al., 2004)","previouslyFormattedCitation":"(Ojo et al., 2004)"},"properties":{"noteIndex":0},"schema":"https://github.com/citation-style-language/schema/raw/master/csl-citation.json"}</w:instrText>
            </w:r>
            <w:r>
              <w:rPr>
                <w:b/>
                <w:sz w:val="20"/>
                <w:szCs w:val="20"/>
              </w:rPr>
              <w:fldChar w:fldCharType="separate"/>
            </w:r>
            <w:r>
              <w:rPr>
                <w:sz w:val="20"/>
                <w:szCs w:val="20"/>
              </w:rPr>
              <w:t>(Ojo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AGTAACGGTACTTAAATTGTTTAC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mphA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GTGAGGAGGAGCTTCGCGAG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454</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{"citationItems":[{"id":"ITEM-1","itemData":{"DOI":"10.1128/AAC.48.9.3451-3456.2004","ISSN":"00664804","PMID":"15328110","abstract":"Of the 176 randomly selected, commensal, gram-negative bacteria isolated from healthy children with low exposure to antibiotics, 138 (78%) carried one or more of the seven macrolide resistance genes tested in this study. These isolates included 79 (91%) isolates from the oral cavity and 59 (66%) isolates from urine samples. The mef(A) gene, coding for an efflux protein, was found in 73 isolates (41%) and was the most frequently carried gene. The mef(A) gene could be transferred from the donors into a gram-positive E. faecalis recipient and a gram-negative Escherichia coli recipient. The erm(B) gene transferred and was maintained in the E. coli transconjugants but was found in 0 to 100% of the E. faecalis transconjugants tested, while the other five genes could be transferred only into the E. coli recipient. The individual macrolide resistance genes were identified in 3 to 12 new genera. Eight (10%) of the oral isolates and 30 (34%) of the urine isolates for which the MICs were 2 to &gt;500 μg of erythromycin per ml did not hybridize with any of the seven genes and may carry novel macrolide resistance genes.","author":[{"dropping-particle":"","family":"Ojo","given":"K. K.","non-dropping-particle":"","parse-names":false,"suffix":""},{"dropping-particle":"","family":"Ulep","given":"C.","non-dropping-particle":"","parse-names":false,"suffix":""},{"dropping-particle":"","family":"Kirk","given":"N.","non-dropping-particle":"Van","parse-names":false,"suffix":""},{"dropping-particle":"","family":"Luis","given":"H.","non-dropping-particle":"","parse-names":false,"suffix":""},{"dropping-particle":"","family":"Bernardo","given":"M.","non-dropping-particle":"","parse-names":false,"suffix":""},{"dropping-particle":"","family":"Leitao","given":"J.","non-dropping-particle":"","parse-names":false,"suffix":""},{"dropping-particle":"","family":"Roberts","given":"M. C.","non-dropping-particle":"","parse-names":false,"suffix":""}],"container-title":"Antimicrobial Agents and Chemotherapy","id":"ITEM-1","issue":"9","issued":{"date-parts":[["2004"]]},"page":"3451-3456","title":"The mef(A) gene predominates among seven macrolide resistance genes identified in gram-negative strains representing 13 genera, isolated from healthy Portuguese children","type":"article-journal","volume":"48"},"uris":["http://www.mendeley.com/documents/?uuid=2649729c-aa15-439d-aacd-0bace8ac658e"]}],"mendeley":{"formattedCitation":"(Ojo et al., 2004)","plainTextFormattedCitation":"(Ojo et al., 2004)","previouslyFormattedCitation":"(Ojo et al., 2004)"},"properties":{"noteIndex":0},"schema":"https://github.com/citation-style-language/schema/raw/master/csl-citation.json"}</w:instrText>
            </w:r>
            <w:r>
              <w:rPr>
                <w:b/>
                <w:sz w:val="20"/>
                <w:szCs w:val="20"/>
              </w:rPr>
              <w:fldChar w:fldCharType="separate"/>
            </w:r>
            <w:r>
              <w:rPr>
                <w:sz w:val="20"/>
                <w:szCs w:val="20"/>
              </w:rPr>
              <w:t>(Ojo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TGCCGCAGGACTCGGAGGTC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mphB</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TTAAACAAGTAATCGAGATAGC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889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{"citationItems":[{"id":"ITEM-1","itemData":{"DOI":"10.1128/AAC.48.9.3451-3456.2004","ISSN":"00664804","PMID":"15328110","abstract":"Of the 176 randomly selected, commensal, gram-negative bacteria isolated from healthy children with low exposure to antibiotics, 138 (78%) carried one or more of the seven macrolide resistance genes tested in this study. These isolates included 79 (91%) isolates from the oral cavity and 59 (66%) isolates from urine samples. The mef(A) gene, coding for an efflux protein, was found in 73 isolates (41%) and was the most frequently carried gene. The mef(A) gene could be transferred from the donors into a gram-positive E. faecalis recipient and a gram-negative Escherichia coli recipient. The erm(B) gene transferred and was maintained in the E. coli transconjugants but was found in 0 to 100% of the E. faecalis transconjugants tested, while the other five genes could be transferred only into the E. coli recipient. The individual macrolide resistance genes were identified in 3 to 12 new genera. Eight (10%) of the oral isolates and 30 (34%) of the urine isolates for which the MICs were 2 to &gt;500 μg of erythromycin per ml did not hybridize with any of the seven genes and may carry novel macrolide resistance genes.","author":[{"dropping-particle":"","family":"Ojo","given":"K. K.","non-dropping-particle":"","parse-names":false,"suffix":""},{"dropping-particle":"","family":"Ulep","given":"C.","non-dropping-particle":"","parse-names":false,"suffix":""},{"dropping-particle":"","family":"Kirk","given":"N.","non-dropping-particle":"Van","parse-names":false,"suffix":""},{"dropping-particle":"","family":"Luis","given":"H.","non-dropping-particle":"","parse-names":false,"suffix":""},{"dropping-particle":"","family":"Bernardo","given":"M.","non-dropping-particle":"","parse-names":false,"suffix":""},{"dropping-particle":"","family":"Leitao","given":"J.","non-dropping-particle":"","parse-names":false,"suffix":""},{"dropping-particle":"","family":"Roberts","given":"M. C.","non-dropping-particle":"","parse-names":false,"suffix":""}],"container-title":"Antimicrobial Agents and Chemotherapy","id":"ITEM-1","issue":"9","issued":{"date-parts":[["2004"]]},"page":"3451-3456","title":"The mef(A) gene predominates among seven macrolide resistance genes identified in gram-negative strains representing 13 genera, isolated from healthy Portuguese children","type":"article-journal","volume":"48"},"uris":["http://www.mendeley.com/documents/?uuid=2649729c-aa15-439d-aacd-0bace8ac658e"]}],"mendeley":{"formattedCitation":"(Ojo et al., 2004)","plainTextFormattedCitation":"(Ojo et al., 2004)","previouslyFormattedCitation":"(Ojo et al., 2004)"},"properties":{"noteIndex":0},"schema":"https://github.com/citation-style-language/schema/raw/master/csl-citation.json"}</w:instrText>
            </w:r>
            <w:r>
              <w:rPr>
                <w:b/>
                <w:sz w:val="20"/>
                <w:szCs w:val="20"/>
              </w:rPr>
              <w:fldChar w:fldCharType="separate"/>
            </w:r>
            <w:r>
              <w:rPr>
                <w:sz w:val="20"/>
                <w:szCs w:val="20"/>
              </w:rPr>
              <w:t>(Ojo et al., 2004)</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CCTTGTACTTCCAATGCTTG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rFonts w:hint="eastAsia"/>
                <w:iCs/>
                <w:sz w:val="20"/>
                <w:szCs w:val="20"/>
              </w:rPr>
              <w:t>Polymyxin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mcr-1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AGTCCGTTTGTTCTTGTGGC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320</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{"citationItems":[{"id":"ITEM-1","itemData":{"DOI":"10.2807/1560-7917.ES.2018.23.6.17-00672","ISSN":"15607917","PMID":"29439754","abstract":"Background and aim: Plasmid-mediated colistin resistance mechanisms have been identified worldwide in the past years. A multiplex polymerase chain reaction (PCR) protocol for detection of all currently known transferable colistin resistance genes (mcr-1 to mcr-5, and variants) in Enterobacteriaceae was developed for surveillance or research purposes. Methods: We designed four new primer pairs to amplify mcr-1, mcr-2, mcr-3 and mcr-4 gene products and used the originally described primers for mcr-5 to obtain a stepwise separation of ca 200 bp between ampli-cons. The primer pairs and amplification conditions allow for single or multiple detection of all currently described mcr genes and their variants present in Enterobacteriaceae. The protocol was validated testing 49 European Escherichia coli and Salmonella isolates of animal origin. Results: Multiplex PCR results in bovine and porcine isolates from Spain, Germany, France and Italy showed full concordance with whole genome sequence data. The method was able to detect mcr-1, mcr-3 and mcr-4 as singletons or in different combinations as they were present in the test isolates. One new mcr-4 variant, mcr-4.3, was also identified. Conclusions: This method allows rapid identification of mcr-positive bacteria and overcomes the challenges of phenotypic detection of colistin resistance. The multiplex PCR should be particularly interesting in settings or laboratories with limited resources for performing genetic analysis as it provides information on the mechanism of colistin resistance without requiring genome sequencing.","author":[{"dropping-particle":"","family":"Rebelo","given":"Ana Rita","non-dropping-particle":"","parse-names":false,"suffix":""},{"dropping-particle":"","family":"Bortolaia","given":"Valeria","non-dropping-particle":"","parse-names":false,"suffix":""},{"dropping-particle":"","family":"Kjeldgaard","given":"Jette S.","non-dropping-particle":"","parse-names":false,"suffix":""},{"dropping-particle":"","family":"Pedersen","given":"Susanne K.","non-dropping-particle":"","parse-names":false,"suffix":""},{"dropping-particle":"","family":"Leekitcharoenphon","given":"Pimlapas","non-dropping-particle":"","parse-names":false,"suffix":""},{"dropping-particle":"","family":"Hansen","given":"Inge M.","non-dropping-particle":"","parse-names":false,"suffix":""},{"dropping-particle":"","family":"Guerra","given":"Beatriz","non-dropping-particle":"","parse-names":false,"suffix":""},{"dropping-particle":"","family":"Malorny","given":"Burkhard","non-dropping-particle":"","parse-names":false,"suffix":""},{"dropping-particle":"","family":"Borowiak","given":"Maria","non-dropping-particle":"","parse-names":false,"suffix":""},{"dropping-particle":"","family":"Hammerl","given":"Jens Andre","non-dropping-particle":"","parse-names":false,"suffix":""},{"dropping-particle":"","family":"Battisti","given":"Antonio","non-dropping-particle":"","parse-names":false,"suffix":""},{"dropping-particle":"","family":"Franco","given":"Alessia","non-dropping-particle":"","parse-names":false,"suffix":""},{"dropping-particle":"","family":"Alba","given":"Patricia","non-dropping-particle":"","parse-names":false,"suffix":""},{"dropping-particle":"","family":"Perrin-Guyomard","given":"Agnes","non-dropping-particle":"","parse-names":false,"suffix":""},{"dropping-particle":"","family":"Granier","given":"Sophie A.","non-dropping-particle":"","parse-names":false,"suffix":""},{"dropping-particle":"","family":"Frutos","given":"Cristina","non-dropping-particle":"de","parse-names":false,"suffix":""},{"dropping-particle":"","family":"Escobar","given":"","non-dropping-particle":"","parse-names":false,"suffix":""},{"dropping-particle":"","family":"Malhotra-Kumar","given":"Surbhi","non-dropping-particle":"","parse-names":false,"suffix":""},{"dropping-particle":"","family":"Villa","given":"Laura","non-dropping-particle":"","parse-names":false,"suffix":""},{"dropping-particle":"","family":"Carattoli","given":"Alessandra","non-dropping-particle":"","parse-names":false,"suffix":""},{"dropping-particle":"","family":"Hendriksen","given":"Rene S.","non-dropping-particle":"","parse-names":false,"suffix":""}],"container-title":"Eurosurveillance","id":"ITEM-1","issue":"6","issued":{"date-parts":[["2018"]]},"page":"1-11","title":"Multiplex PCR for detection of plasmid-mediated colistin resistance determinants, mcr-1, mcr-2, mcr-3, mcr-4 and mcr-5 for surveillance purposes","type":"article-journal","volume":"23"},"uris":["http://www.mendeley.com/documents/?uuid=527050a9-3292-4023-afcb-daa024cf9eee"]}],"mendeley":{"formattedCitation":"(Rebelo et al., 2018)","plainTextFormattedCitation":"(Rebelo et al., 2018)","previouslyFormattedCitation":"(Rebelo et al., 2018)"},"properties":{"noteIndex":0},"schema":"https://github.com/citation-style-language/schema/raw/master/csl-citation.json"}</w:instrText>
            </w:r>
            <w:r>
              <w:rPr>
                <w:b/>
                <w:sz w:val="20"/>
                <w:szCs w:val="20"/>
              </w:rPr>
              <w:fldChar w:fldCharType="separate"/>
            </w:r>
            <w:r>
              <w:rPr>
                <w:sz w:val="20"/>
                <w:szCs w:val="20"/>
              </w:rPr>
              <w:t>(Rebelo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AGATCCTTGGTCTCGGCTTG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mcr-2</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TATCGCTATGTGCTAAAGCCTG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816</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{"citationItems":[{"id":"ITEM-1","itemData":{"DOI":"10.1016/j.ijantimicag.2018.10.022","ISSN":"18727913","PMID":"30395987","abstract":"Plasmid-mediated colistin resistance is increasingly described worldwide in Enterobacteriaceae from animal and human isolates. Diffusion of these resistance traits among carbapenem-resistant enterobacterial isolates is of particular concern as colistin has become the last resort antibiotic for treating human infections with these organisms. Therefore, being able to monitor the presence of these transferable colistin resistance genes (mcr-1 to mcr-5-variants) is crucial. This paper describes the development of a multiplex polymerase chain reaction (PCR) protocol for detection of all currently known transferable colistin resistance genes in Enterobacteriaceae. Five primer pairs were designed to amplify mcr-1, mcr-2, mcr-3, mcr-4 and mcr-5 gene products in a multiplex PCR. This assay was validated retrospectively on colonies of 50 Escherichia coli, 44 Klebsiella pneumoniae and 12 Salmonella enterica isolates of animal and human origin, all well characterized, and validated prospectively on 450 carbapenem-resistant enterobacterial isolates received by the French National Reference Centre. In addition, 82 Aeromonas spp. and 10 Shewanella spp. known to be the progenitors of mcr-3 and mcr-4 alleles, respectively, were screened. Mcr-multiplex PCR assay displayed 100% specificity, sensitivity, negative predictive value and positive predictive value. The assay was able to detect all variants of the different mcr alleles, and was able to detect chromosomally encoded mcr-4-like variants present in two Shewanella bicestrii JAB-1 and Shewanella woodyi S539. In conclusion, a rapid and robust multiplex PCR assay able to detect all known mcr gene families described in Enterobacteriaceae was developed and validated. This type of test is critical for the epidemiological surveillance of plasmid-encoded resistance, especially in carbapenem-resistant bacteria.","author":[{"dropping-particle":"","family":"Jousset","given":"Agnès B.","non-dropping-particle":"","parse-names":false,"suffix":""},{"dropping-particle":"","family":"Bernabeu","given":"Sandrine","non-dropping-particle":"","parse-names":false,"suffix":""},{"dropping-particle":"","family":"Bonnin","given":"Remy A.","non-dropping-particle":"","parse-names":false,"suffix":""},{"dropping-particle":"","family":"Creton","given":"Elodie","non-dropping-particle":"","parse-names":false,"suffix":""},{"dropping-particle":"","family":"Cotellon","given":"Garance","non-dropping-particle":"","parse-names":false,"suffix":""},{"dropping-particle":"","family":"Sauvadet","given":"Aimie","non-dropping-particle":"","parse-names":false,"suffix":""},{"dropping-particle":"","family":"Naas","given":"Thierry","non-dropping-particle":"","parse-names":false,"suffix":""},{"dropping-particle":"","family":"Dortet","given":"Laurent","non-dropping-particle":"","parse-names":false,"suffix":""}],"container-title":"International Journal of Antimicrobial Agents","id":"ITEM-1","issue":"3","issued":{"date-parts":[["2019"]]},"page":"302-309","title":"Development and validation of a multiplex polymerase chain reaction assay for detection of the five families of plasmid-encoded colistin resistance","type":"article-journal","volume":"53"},"uris":["http://www.mendeley.com/documents/?uuid=65f5fead-4fcc-4626-8382-60e05cd6ec4f"]}],"mendeley":{"formattedCitation":"(Jousset et al., 2019)","plainTextFormattedCitation":"(Jousset et al., 2019)","previouslyFormattedCitation":"(Jousset et al., 2019)"},"properties":{"noteIndex":0},"schema":"https://github.com/citation-style-language/schema/raw/master/csl-citation.json"}</w:instrText>
            </w:r>
            <w:r>
              <w:rPr>
                <w:b/>
                <w:sz w:val="20"/>
                <w:szCs w:val="20"/>
              </w:rPr>
              <w:fldChar w:fldCharType="separate"/>
            </w:r>
            <w:r>
              <w:rPr>
                <w:sz w:val="20"/>
                <w:szCs w:val="20"/>
              </w:rPr>
              <w:t>(Jousset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AAAATACTGCGTGGCAGGTAGC</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mcr-3</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AAATAAAAATTGTTCCGCTTATG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929</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{"citationItems":[{"id":"ITEM-1","itemData":{"DOI":"10.2807/1560-7917.ES.2018.23.6.17-00672","ISSN":"15607917","PMID":"29439754","abstract":"Background and aim: Plasmid-mediated colistin resistance mechanisms have been identified worldwide in the past years. A multiplex polymerase chain reaction (PCR) protocol for detection of all currently known transferable colistin resistance genes (mcr-1 to mcr-5, and variants) in Enterobacteriaceae was developed for surveillance or research purposes. Methods: We designed four new primer pairs to amplify mcr-1, mcr-2, mcr-3 and mcr-4 gene products and used the originally described primers for mcr-5 to obtain a stepwise separation of ca 200 bp between ampli-cons. The primer pairs and amplification conditions allow for single or multiple detection of all currently described mcr genes and their variants present in Enterobacteriaceae. The protocol was validated testing 49 European Escherichia coli and Salmonella isolates of animal origin. Results: Multiplex PCR results in bovine and porcine isolates from Spain, Germany, France and Italy showed full concordance with whole genome sequence data. The method was able to detect mcr-1, mcr-3 and mcr-4 as singletons or in different combinations as they were present in the test isolates. One new mcr-4 variant, mcr-4.3, was also identified. Conclusions: This method allows rapid identification of mcr-positive bacteria and overcomes the challenges of phenotypic detection of colistin resistance. The multiplex PCR should be particularly interesting in settings or laboratories with limited resources for performing genetic analysis as it provides information on the mechanism of colistin resistance without requiring genome sequencing.","author":[{"dropping-particle":"","family":"Rebelo","given":"Ana Rita","non-dropping-particle":"","parse-names":false,"suffix":""},{"dropping-particle":"","family":"Bortolaia","given":"Valeria","non-dropping-particle":"","parse-names":false,"suffix":""},{"dropping-particle":"","family":"Kjeldgaard","given":"Jette S.","non-dropping-particle":"","parse-names":false,"suffix":""},{"dropping-particle":"","family":"Pedersen","given":"Susanne K.","non-dropping-particle":"","parse-names":false,"suffix":""},{"dropping-particle":"","family":"Leekitcharoenphon","given":"Pimlapas","non-dropping-particle":"","parse-names":false,"suffix":""},{"dropping-particle":"","family":"Hansen","given":"Inge M.","non-dropping-particle":"","parse-names":false,"suffix":""},{"dropping-particle":"","family":"Guerra","given":"Beatriz","non-dropping-particle":"","parse-names":false,"suffix":""},{"dropping-particle":"","family":"Malorny","given":"Burkhard","non-dropping-particle":"","parse-names":false,"suffix":""},{"dropping-particle":"","family":"Borowiak","given":"Maria","non-dropping-particle":"","parse-names":false,"suffix":""},{"dropping-particle":"","family":"Hammerl","given":"Jens Andre","non-dropping-particle":"","parse-names":false,"suffix":""},{"dropping-particle":"","family":"Battisti","given":"Antonio","non-dropping-particle":"","parse-names":false,"suffix":""},{"dropping-particle":"","family":"Franco","given":"Alessia","non-dropping-particle":"","parse-names":false,"suffix":""},{"dropping-particle":"","family":"Alba","given":"Patricia","non-dropping-particle":"","parse-names":false,"suffix":""},{"dropping-particle":"","family":"Perrin-Guyomard","given":"Agnes","non-dropping-particle":"","parse-names":false,"suffix":""},{"dropping-particle":"","family":"Granier","given":"Sophie A.","non-dropping-particle":"","parse-names":false,"suffix":""},{"dropping-particle":"","family":"Frutos","given":"Cristina","non-dropping-particle":"de","parse-names":false,"suffix":""},{"dropping-particle":"","family":"Escobar","given":"","non-dropping-particle":"","parse-names":false,"suffix":""},{"dropping-particle":"","family":"Malhotra-Kumar","given":"Surbhi","non-dropping-particle":"","parse-names":false,"suffix":""},{"dropping-particle":"","family":"Villa","given":"Laura","non-dropping-particle":"","parse-names":false,"suffix":""},{"dropping-particle":"","family":"Carattoli","given":"Alessandra","non-dropping-particle":"","parse-names":false,"suffix":""},{"dropping-particle":"","family":"Hendriksen","given":"Rene S.","non-dropping-particle":"","parse-names":false,"suffix":""}],"container-title":"Eurosurveillance","id":"ITEM-1","issue":"6","issued":{"date-parts":[["2018"]]},"page":"1-11","title":"Multiplex PCR for detection of plasmid-mediated colistin resistance determinants, mcr-1, mcr-2, mcr-3, mcr-4 and mcr-5 for surveillance purposes","type":"article-journal","volume":"23"},"uris":["http://www.mendeley.com/documents/?uuid=527050a9-3292-4023-afcb-daa024cf9eee"]}],"mendeley":{"formattedCitation":"(Rebelo et al., 2018)","plainTextFormattedCitation":"(Rebelo et al., 2018)","previouslyFormattedCitation":"(Rebelo et al., 2018)"},"properties":{"noteIndex":0},"schema":"https://github.com/citation-style-language/schema/raw/master/csl-citation.json"}</w:instrText>
            </w:r>
            <w:r>
              <w:rPr>
                <w:b/>
                <w:sz w:val="20"/>
                <w:szCs w:val="20"/>
              </w:rPr>
              <w:fldChar w:fldCharType="separate"/>
            </w:r>
            <w:r>
              <w:rPr>
                <w:sz w:val="20"/>
                <w:szCs w:val="20"/>
              </w:rPr>
              <w:t>(Rebelo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AATGGAGATCCCCGTTTTT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mcr-4</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TCACTTTCATCACTGCGTTG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1116</w:t>
            </w:r>
          </w:p>
        </w:tc>
        <w:tc>
          <w:tcPr>
            <w:tcW w:w="432" w:type="pct"/>
            <w:tcBorders>
              <w:top w:val="nil"/>
              <w:left w:val="nil"/>
              <w:bottom w:val="nil"/>
              <w:right w:val="nil"/>
            </w:tcBorders>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{"citationItems":[{"id":"ITEM-1","itemData":{"DOI":"10.2807/1560-7917.ES.2018.23.6.17-00672","ISSN":"15607917","PMID":"29439754","abstract":"Background and aim: Plasmid-mediated colistin resistance mechanisms have been identified worldwide in the past years. A multiplex polymerase chain reaction (PCR) protocol for detection of all currently known transferable colistin resistance genes (mcr-1 to mcr-5, and variants) in Enterobacteriaceae was developed for surveillance or research purposes. Methods: We designed four new primer pairs to amplify mcr-1, mcr-2, mcr-3 and mcr-4 gene products and used the originally described primers for mcr-5 to obtain a stepwise separation of ca 200 bp between ampli-cons. The primer pairs and amplification conditions allow for single or multiple detection of all currently described mcr genes and their variants present in Enterobacteriaceae. The protocol was validated testing 49 European Escherichia coli and Salmonella isolates of animal origin. Results: Multiplex PCR results in bovine and porcine isolates from Spain, Germany, France and Italy showed full concordance with whole genome sequence data. The method was able to detect mcr-1, mcr-3 and mcr-4 as singletons or in different combinations as they were present in the test isolates. One new mcr-4 variant, mcr-4.3, was also identified. Conclusions: This method allows rapid identification of mcr-positive bacteria and overcomes the challenges of phenotypic detection of colistin resistance. The multiplex PCR should be particularly interesting in settings or laboratories with limited resources for performing genetic analysis as it provides information on the mechanism of colistin resistance without requiring genome sequencing.","author":[{"dropping-particle":"","family":"Rebelo","given":"Ana Rita","non-dropping-particle":"","parse-names":false,"suffix":""},{"dropping-particle":"","family":"Bortolaia","given":"Valeria","non-dropping-particle":"","parse-names":false,"suffix":""},{"dropping-particle":"","family":"Kjeldgaard","given":"Jette S.","non-dropping-particle":"","parse-names":false,"suffix":""},{"dropping-particle":"","family":"Pedersen","given":"Susanne K.","non-dropping-particle":"","parse-names":false,"suffix":""},{"dropping-particle":"","family":"Leekitcharoenphon","given":"Pimlapas","non-dropping-particle":"","parse-names":false,"suffix":""},{"dropping-particle":"","family":"Hansen","given":"Inge M.","non-dropping-particle":"","parse-names":false,"suffix":""},{"dropping-particle":"","family":"Guerra","given":"Beatriz","non-dropping-particle":"","parse-names":false,"suffix":""},{"dropping-particle":"","family":"Malorny","given":"Burkhard","non-dropping-particle":"","parse-names":false,"suffix":""},{"dropping-particle":"","family":"Borowiak","given":"Maria","non-dropping-particle":"","parse-names":false,"suffix":""},{"dropping-particle":"","family":"Hammerl","given":"Jens Andre","non-dropping-particle":"","parse-names":false,"suffix":""},{"dropping-particle":"","family":"Battisti","given":"Antonio","non-dropping-particle":"","parse-names":false,"suffix":""},{"dropping-particle":"","family":"Franco","given":"Alessia","non-dropping-particle":"","parse-names":false,"suffix":""},{"dropping-particle":"","family":"Alba","given":"Patricia","non-dropping-particle":"","parse-names":false,"suffix":""},{"dropping-particle":"","family":"Perrin-Guyomard","given":"Agnes","non-dropping-particle":"","parse-names":false,"suffix":""},{"dropping-particle":"","family":"Granier","given":"Sophie A.","non-dropping-particle":"","parse-names":false,"suffix":""},{"dropping-particle":"","family":"Frutos","given":"Cristina","non-dropping-particle":"de","parse-names":false,"suffix":""},{"dropping-particle":"","family":"Escobar","given":"","non-dropping-particle":"","parse-names":false,"suffix":""},{"dropping-particle":"","family":"Malhotra-Kumar","given":"Surbhi","non-dropping-particle":"","parse-names":false,"suffix":""},{"dropping-particle":"","family":"Villa","given":"Laura","non-dropping-particle":"","parse-names":false,"suffix":""},{"dropping-particle":"","family":"Carattoli","given":"Alessandra","non-dropping-particle":"","parse-names":false,"suffix":""},{"dropping-particle":"","family":"Hendriksen","given":"Rene S.","non-dropping-particle":"","parse-names":false,"suffix":""}],"container-title":"Eurosurveillance","id":"ITEM-1","issue":"6","issued":{"date-parts":[["2018"]]},"page":"1-11","title":"Multiplex PCR for detection of plasmid-mediated colistin resistance determinants, mcr-1, mcr-2, mcr-3, mcr-4 and mcr-5 for surveillance purposes","type":"article-journal","volume":"23"},"uris":["http://www.mendeley.com/documents/?uuid=527050a9-3292-4023-afcb-daa024cf9eee"]}],"mendeley":{"formattedCitation":"(Rebelo et al., 2018)","plainTextFormattedCitation":"(Rebelo et al., 2018)","previouslyFormattedCitation":"(Rebelo et al., 2018)"},"properties":{"noteIndex":0},"schema":"https://github.com/citation-style-language/schema/raw/master/csl-citation.json"}</w:instrText>
            </w:r>
            <w:r>
              <w:rPr>
                <w:b/>
                <w:sz w:val="20"/>
                <w:szCs w:val="20"/>
              </w:rPr>
              <w:fldChar w:fldCharType="separate"/>
            </w:r>
            <w:r>
              <w:rPr>
                <w:sz w:val="20"/>
                <w:szCs w:val="20"/>
              </w:rPr>
              <w:t>(Rebelo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TTGGTCCATGACTACCAATG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mcr-5</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ATGCGGTTGTGCATTTATC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1644</w:t>
            </w:r>
          </w:p>
        </w:tc>
        <w:tc>
          <w:tcPr>
            <w:tcW w:w="432" w:type="pct"/>
            <w:tcBorders>
              <w:top w:val="nil"/>
              <w:left w:val="nil"/>
              <w:bottom w:val="nil"/>
              <w:right w:val="nil"/>
            </w:tcBorders>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{"citationItems":[{"id":"ITEM-1","itemData":{"DOI":"10.2807/1560-7917.ES.2018.23.6.17-00672","ISSN":"15607917","PMID":"29439754","abstract":"Background and aim: Plasmid-mediated colistin resistance mechanisms have been identified worldwide in the past years. A multiplex polymerase chain reaction (PCR) protocol for detection of all currently known transferable colistin resistance genes (mcr-1 to mcr-5, and variants) in Enterobacteriaceae was developed for surveillance or research purposes. Methods: We designed four new primer pairs to amplify mcr-1, mcr-2, mcr-3 and mcr-4 gene products and used the originally described primers for mcr-5 to obtain a stepwise separation of ca 200 bp between ampli-cons. The primer pairs and amplification conditions allow for single or multiple detection of all currently described mcr genes and their variants present in Enterobacteriaceae. The protocol was validated testing 49 European Escherichia coli and Salmonella isolates of animal origin. Results: Multiplex PCR results in bovine and porcine isolates from Spain, Germany, France and Italy showed full concordance with whole genome sequence data. The method was able to detect mcr-1, mcr-3 and mcr-4 as singletons or in different combinations as they were present in the test isolates. One new mcr-4 variant, mcr-4.3, was also identified. Conclusions: This method allows rapid identification of mcr-positive bacteria and overcomes the challenges of phenotypic detection of colistin resistance. The multiplex PCR should be particularly interesting in settings or laboratories with limited resources for performing genetic analysis as it provides information on the mechanism of colistin resistance without requiring genome sequencing.","author":[{"dropping-particle":"","family":"Rebelo","given":"Ana Rita","non-dropping-particle":"","parse-names":false,"suffix":""},{"dropping-particle":"","family":"Bortolaia","given":"Valeria","non-dropping-particle":"","parse-names":false,"suffix":""},{"dropping-particle":"","family":"Kjeldgaard","given":"Jette S.","non-dropping-particle":"","parse-names":false,"suffix":""},{"dropping-particle":"","family":"Pedersen","given":"Susanne K.","non-dropping-particle":"","parse-names":false,"suffix":""},{"dropping-particle":"","family":"Leekitcharoenphon","given":"Pimlapas","non-dropping-particle":"","parse-names":false,"suffix":""},{"dropping-particle":"","family":"Hansen","given":"Inge M.","non-dropping-particle":"","parse-names":false,"suffix":""},{"dropping-particle":"","family":"Guerra","given":"Beatriz","non-dropping-particle":"","parse-names":false,"suffix":""},{"dropping-particle":"","family":"Malorny","given":"Burkhard","non-dropping-particle":"","parse-names":false,"suffix":""},{"dropping-particle":"","family":"Borowiak","given":"Maria","non-dropping-particle":"","parse-names":false,"suffix":""},{"dropping-particle":"","family":"Hammerl","given":"Jens Andre","non-dropping-particle":"","parse-names":false,"suffix":""},{"dropping-particle":"","family":"Battisti","given":"Antonio","non-dropping-particle":"","parse-names":false,"suffix":""},{"dropping-particle":"","family":"Franco","given":"Alessia","non-dropping-particle":"","parse-names":false,"suffix":""},{"dropping-particle":"","family":"Alba","given":"Patricia","non-dropping-particle":"","parse-names":false,"suffix":""},{"dropping-particle":"","family":"Perrin-Guyomard","given":"Agnes","non-dropping-particle":"","parse-names":false,"suffix":""},{"dropping-particle":"","family":"Granier","given":"Sophie A.","non-dropping-particle":"","parse-names":false,"suffix":""},{"dropping-particle":"","family":"Frutos","given":"Cristina","non-dropping-particle":"de","parse-names":false,"suffix":""},{"dropping-particle":"","family":"Escobar","given":"","non-dropping-particle":"","parse-names":false,"suffix":""},{"dropping-particle":"","family":"Malhotra-Kumar","given":"Surbhi","non-dropping-particle":"","parse-names":false,"suffix":""},{"dropping-particle":"","family":"Villa","given":"Laura","non-dropping-particle":"","parse-names":false,"suffix":""},{"dropping-particle":"","family":"Carattoli","given":"Alessandra","non-dropping-particle":"","parse-names":false,"suffix":""},{"dropping-particle":"","family":"Hendriksen","given":"Rene S.","non-dropping-particle":"","parse-names":false,"suffix":""}],"container-title":"Eurosurveillance","id":"ITEM-1","issue":"6","issued":{"date-parts":[["2018"]]},"page":"1-11","title":"Multiplex PCR for detection of plasmid-mediated colistin resistance determinants, mcr-1, mcr-2, mcr-3, mcr-4 and mcr-5 for surveillance purposes","type":"article-journal","volume":"23"},"uris":["http://www.mendeley.com/documents/?uuid=527050a9-3292-4023-afcb-daa024cf9eee"]}],"mendeley":{"formattedCitation":"(Rebelo et al., 2018)","plainTextFormattedCitation":"(Rebelo et al., 2018)","previouslyFormattedCitation":"(Rebelo et al., 2018)"},"properties":{"noteIndex":0},"schema":"https://github.com/citation-style-language/schema/raw/master/csl-citation.json"}</w:instrText>
            </w:r>
            <w:r>
              <w:rPr>
                <w:b/>
                <w:sz w:val="20"/>
                <w:szCs w:val="20"/>
              </w:rPr>
              <w:fldChar w:fldCharType="separate"/>
            </w:r>
            <w:r>
              <w:rPr>
                <w:sz w:val="20"/>
                <w:szCs w:val="20"/>
              </w:rPr>
              <w:t>(Rebelo et al., 2018)</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left w:val="nil"/>
              <w:bottom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TCATTGTGGTTGTCCTTTTCTG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tcPr>
          <w:p>
            <w:pPr>
              <w:spacing w:before="0" w:after="0" w:line="240" w:lineRule="atLeast"/>
              <w:jc w:val="center"/>
              <w:rPr>
                <w:sz w:val="20"/>
                <w:szCs w:val="20"/>
              </w:rPr>
            </w:pPr>
          </w:p>
        </w:tc>
        <w:tc>
          <w:tcPr>
            <w:tcW w:w="532" w:type="pct"/>
            <w:tcBorders>
              <w:top w:val="nil"/>
              <w:left w:val="nil"/>
              <w:bottom w:val="nil"/>
              <w:right w:val="nil"/>
            </w:tcBorders>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restart"/>
            <w:tcBorders>
              <w:top w:val="nil"/>
              <w:left w:val="nil"/>
              <w:right w:val="nil"/>
            </w:tcBorders>
          </w:tcPr>
          <w:p>
            <w:pPr>
              <w:spacing w:before="0" w:after="0" w:line="240" w:lineRule="atLeast"/>
              <w:jc w:val="center"/>
              <w:rPr>
                <w:i/>
                <w:sz w:val="20"/>
                <w:szCs w:val="20"/>
              </w:rPr>
            </w:pPr>
            <w:r>
              <w:rPr>
                <w:rFonts w:hint="eastAsia"/>
                <w:iCs/>
                <w:sz w:val="20"/>
                <w:szCs w:val="20"/>
              </w:rPr>
              <w:t>Phenicol resistance gene</w:t>
            </w: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floR</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CACGTTGAGCCTCTATAT</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868</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{"citationItems":[{"id":"ITEM-1","itemData":{"author":[{"dropping-particle":"","family":"Kuang","given":"XH","non-dropping-particle":"","parse-names":false,"suffix":""}],"container-title":"HuaZhong Agricultural University","id":"ITEM-1","issued":{"date-parts":[["2015"]]},"title":"Prevalence and molecular characteristic of resistance and virulence of three different livestock pathogen bacteria in central China","type":"article-journal"},"uris":["http://www.mendeley.com/documents/?uuid=f62f5e6c-8edf-4f0f-b76e-f1d08a3af814"]}],"mendeley":{"formattedCitation":"(Kuang, 2015)","plainTextFormattedCitation":"(Kuang, 2015)","previouslyFormattedCitation":"(XH, 2015)"},"properties":{"noteIndex":0},"schema":"https://github.com/citation-style-language/schema/raw/master/csl-citation.json"}</w:instrText>
            </w:r>
            <w:r>
              <w:rPr>
                <w:b/>
                <w:sz w:val="20"/>
                <w:szCs w:val="20"/>
              </w:rPr>
              <w:fldChar w:fldCharType="separate"/>
            </w:r>
            <w:r>
              <w:rPr>
                <w:sz w:val="20"/>
                <w:szCs w:val="20"/>
              </w:rPr>
              <w:t>(Kuang,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top w:val="nil"/>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ATGCAGAAGTAGAACGCG</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top w:val="nil"/>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cmlA</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TGTCATTTACGGCATACTCG</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435</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{"citationItems":[{"id":"ITEM-1","itemData":{"author":[{"dropping-particle":"","family":"Kuang","given":"XH","non-dropping-particle":"","parse-names":false,"suffix":""}],"container-title":"HuaZhong Agricultural University","id":"ITEM-1","issued":{"date-parts":[["2015"]]},"title":"Prevalence and molecular characteristic of resistance and virulence of three different livestock pathogen bacteria in central China","type":"article-journal"},"uris":["http://www.mendeley.com/documents/?uuid=f62f5e6c-8edf-4f0f-b76e-f1d08a3af814"]}],"mendeley":{"formattedCitation":"(Kuang, 2015)","plainTextFormattedCitation":"(Kuang, 2015)","previouslyFormattedCitation":"(XH, 2015)"},"properties":{"noteIndex":0},"schema":"https://github.com/citation-style-language/schema/raw/master/csl-citation.json"}</w:instrText>
            </w:r>
            <w:r>
              <w:rPr>
                <w:b/>
                <w:sz w:val="20"/>
                <w:szCs w:val="20"/>
              </w:rPr>
              <w:fldChar w:fldCharType="separate"/>
            </w:r>
            <w:r>
              <w:rPr>
                <w:sz w:val="20"/>
                <w:szCs w:val="20"/>
              </w:rPr>
              <w:t>(Kuang, 2015)</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top w:val="nil"/>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nil"/>
              <w:right w:val="nil"/>
            </w:tcBorders>
            <w:vAlign w:val="center"/>
          </w:tcPr>
          <w:p>
            <w:pPr>
              <w:spacing w:before="0" w:after="0" w:line="240" w:lineRule="atLeast"/>
              <w:rPr>
                <w:sz w:val="20"/>
                <w:szCs w:val="20"/>
              </w:rPr>
            </w:pPr>
            <w:r>
              <w:rPr>
                <w:sz w:val="20"/>
                <w:szCs w:val="20"/>
              </w:rPr>
              <w:t>ATCAGGCATCCCATTCCCAT</w:t>
            </w:r>
          </w:p>
        </w:tc>
        <w:tc>
          <w:tcPr>
            <w:tcW w:w="433" w:type="pct"/>
            <w:tcBorders>
              <w:top w:val="nil"/>
              <w:left w:val="nil"/>
              <w:bottom w:val="nil"/>
              <w:right w:val="nil"/>
            </w:tcBorders>
            <w:vAlign w:val="center"/>
          </w:tcPr>
          <w:p>
            <w:pPr>
              <w:spacing w:before="0" w:after="0" w:line="240" w:lineRule="atLeast"/>
              <w:jc w:val="center"/>
              <w:rPr>
                <w:sz w:val="20"/>
                <w:szCs w:val="20"/>
              </w:rPr>
            </w:pPr>
          </w:p>
        </w:tc>
        <w:tc>
          <w:tcPr>
            <w:tcW w:w="432" w:type="pct"/>
            <w:tcBorders>
              <w:top w:val="nil"/>
              <w:left w:val="nil"/>
              <w:bottom w:val="nil"/>
              <w:right w:val="nil"/>
            </w:tcBorders>
            <w:vAlign w:val="center"/>
          </w:tcPr>
          <w:p>
            <w:pPr>
              <w:spacing w:before="0" w:after="0" w:line="240" w:lineRule="atLeast"/>
              <w:jc w:val="center"/>
              <w:rPr>
                <w:sz w:val="20"/>
                <w:szCs w:val="20"/>
              </w:rPr>
            </w:pPr>
          </w:p>
        </w:tc>
        <w:tc>
          <w:tcPr>
            <w:tcW w:w="532" w:type="pct"/>
            <w:tcBorders>
              <w:top w:val="nil"/>
              <w:left w:val="nil"/>
              <w:bottom w:val="nil"/>
              <w:right w:val="nil"/>
            </w:tcBorders>
            <w:vAlign w:val="center"/>
          </w:tcPr>
          <w:p>
            <w:pPr>
              <w:spacing w:before="0" w:after="0" w:line="240" w:lineRule="atLeast"/>
              <w:jc w:val="center"/>
              <w:rPr>
                <w:b/>
                <w:sz w:val="20"/>
                <w:szCs w:val="20"/>
              </w:rPr>
            </w:pP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9" w:type="pct"/>
            <w:vMerge w:val="continue"/>
            <w:tcBorders>
              <w:top w:val="nil"/>
              <w:left w:val="nil"/>
              <w:right w:val="nil"/>
            </w:tcBorders>
          </w:tcPr>
          <w:p>
            <w:pPr>
              <w:spacing w:before="0" w:after="0" w:line="240" w:lineRule="atLeast"/>
              <w:jc w:val="center"/>
              <w:rPr>
                <w:i/>
                <w:sz w:val="20"/>
                <w:szCs w:val="20"/>
              </w:rPr>
            </w:pPr>
          </w:p>
        </w:tc>
        <w:tc>
          <w:tcPr>
            <w:tcW w:w="775" w:type="pct"/>
            <w:tcBorders>
              <w:top w:val="nil"/>
              <w:left w:val="nil"/>
              <w:bottom w:val="nil"/>
              <w:right w:val="nil"/>
            </w:tcBorders>
            <w:vAlign w:val="center"/>
          </w:tcPr>
          <w:p>
            <w:pPr>
              <w:spacing w:before="0" w:after="0" w:line="240" w:lineRule="atLeast"/>
              <w:jc w:val="center"/>
              <w:rPr>
                <w:i/>
                <w:sz w:val="20"/>
                <w:szCs w:val="20"/>
              </w:rPr>
            </w:pPr>
            <w:r>
              <w:rPr>
                <w:rFonts w:hint="eastAsia"/>
                <w:i/>
                <w:sz w:val="20"/>
                <w:szCs w:val="20"/>
              </w:rPr>
              <w:t>Cat1</w:t>
            </w:r>
          </w:p>
        </w:tc>
        <w:tc>
          <w:tcPr>
            <w:tcW w:w="187" w:type="pct"/>
            <w:tcBorders>
              <w:top w:val="nil"/>
              <w:left w:val="nil"/>
              <w:bottom w:val="nil"/>
              <w:right w:val="nil"/>
            </w:tcBorders>
            <w:vAlign w:val="center"/>
          </w:tcPr>
          <w:p>
            <w:pPr>
              <w:spacing w:before="0" w:after="0" w:line="240" w:lineRule="atLeast"/>
              <w:jc w:val="center"/>
              <w:rPr>
                <w:i/>
                <w:sz w:val="20"/>
                <w:szCs w:val="20"/>
              </w:rPr>
            </w:pPr>
            <w:r>
              <w:rPr>
                <w:rFonts w:hint="eastAsia"/>
                <w:iCs/>
                <w:sz w:val="20"/>
                <w:szCs w:val="20"/>
              </w:rPr>
              <w:t>F</w:t>
            </w:r>
          </w:p>
        </w:tc>
        <w:tc>
          <w:tcPr>
            <w:tcW w:w="1912" w:type="pct"/>
            <w:tcBorders>
              <w:top w:val="nil"/>
              <w:left w:val="nil"/>
              <w:bottom w:val="nil"/>
              <w:right w:val="nil"/>
            </w:tcBorders>
            <w:vAlign w:val="center"/>
          </w:tcPr>
          <w:p>
            <w:pPr>
              <w:spacing w:before="0" w:after="0" w:line="240" w:lineRule="atLeast"/>
              <w:textAlignment w:val="center"/>
              <w:rPr>
                <w:sz w:val="20"/>
                <w:szCs w:val="20"/>
              </w:rPr>
            </w:pPr>
            <w:r>
              <w:rPr>
                <w:rFonts w:hint="eastAsia"/>
                <w:sz w:val="20"/>
                <w:szCs w:val="20"/>
              </w:rPr>
              <w:t>AGTTGCTCAATGTACCTATAACC</w:t>
            </w:r>
          </w:p>
        </w:tc>
        <w:tc>
          <w:tcPr>
            <w:tcW w:w="433"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547</w:t>
            </w:r>
          </w:p>
        </w:tc>
        <w:tc>
          <w:tcPr>
            <w:tcW w:w="432" w:type="pct"/>
            <w:tcBorders>
              <w:top w:val="nil"/>
              <w:left w:val="nil"/>
              <w:bottom w:val="nil"/>
              <w:right w:val="nil"/>
            </w:tcBorders>
            <w:vAlign w:val="center"/>
          </w:tcPr>
          <w:p>
            <w:pPr>
              <w:spacing w:before="0" w:after="0" w:line="240" w:lineRule="atLeast"/>
              <w:jc w:val="center"/>
              <w:rPr>
                <w:sz w:val="20"/>
                <w:szCs w:val="20"/>
              </w:rPr>
            </w:pPr>
            <w:r>
              <w:rPr>
                <w:rFonts w:hint="eastAsia"/>
                <w:sz w:val="20"/>
                <w:szCs w:val="20"/>
              </w:rPr>
              <w:t>55</w:t>
            </w:r>
          </w:p>
        </w:tc>
        <w:tc>
          <w:tcPr>
            <w:tcW w:w="532" w:type="pct"/>
            <w:tcBorders>
              <w:top w:val="nil"/>
              <w:left w:val="nil"/>
              <w:bottom w:val="nil"/>
              <w:right w:val="nil"/>
            </w:tcBorders>
            <w:vAlign w:val="center"/>
          </w:tcPr>
          <w:p>
            <w:pPr>
              <w:spacing w:before="0" w:after="0" w:line="240" w:lineRule="atLeast"/>
              <w:jc w:val="center"/>
              <w:rPr>
                <w:b/>
                <w:sz w:val="20"/>
                <w:szCs w:val="20"/>
              </w:rPr>
            </w:pPr>
            <w:r>
              <w:rPr>
                <w:b/>
                <w:sz w:val="20"/>
                <w:szCs w:val="20"/>
              </w:rPr>
              <w:fldChar w:fldCharType="begin" w:fldLock="1"/>
            </w:r>
            <w:r>
              <w:rPr>
                <w:b/>
                <w:sz w:val="20"/>
                <w:szCs w:val="20"/>
              </w:rPr>
              <w:instrText xml:space="preserve">ADDIN CSL_CITATION {"citationItems":[{"id":"ITEM-1","itemData":{"DOI":"10.1016/j.actatropica.2018.11.003","ISSN":"18736254","PMID":"30408462","abstract":"Salmonella enterica is a leading cause of human gastroenteritis in both developed and developing countries, causing significant economic losses on humans and animals worldwide. There are several routes for contracting salmonellosis, but the consumption of contaminated foods is by far the most frequent cause of human infections. This study aimed to assess the prevalence and resistance determinants of S. enterica isolates obtained from meat. Swab samples from meat were cultured for the identification of Salmonella spp., and 239 presumptive S. enterica isolates were recovered, purified and kept in glycerol stocks. The S. enterica. confirmed by polymerase chain reaction (PCR) were further tested against 15 antimicrobials using the disc-diffusion method on Muller-Hinton agar and the genotypic antimicrobial resistance determinants by PCR. Resistance among tetracyclines, bêta-lactams, and 3rd generation cephalosporins was found to be most frequent with a noticeable rise in the number of multi-drug resistance ranging from two to seven antimicrobials. A total of 20 resistance determinants were assessed with their prevalence and distributions obtained as follows; [aminoglycosides: aadA (89%), aacC2 (100%), aphA1 (38%), aphA2 (0%) and strA (7%)], [β-lactams: (ampC 100%), blaTEM, (33%), blaZ (17%) and blaOXA (10%)], [Chloramphenicol: catI (9%), catII (7%), and cmIA1 (10%)] and [tetracyclines: tetA (57%), tetB (30%), tetC (11%), tetD (73%), tetK (20%) and tetM, (43%)], and [sulfonamides: sulI (82%), sulII (7%)]. The findings signify a high prevalence of multidrug-resistant (MDR) S. enterica isolates and resistance determinants indicating increased public health risks associated with the consumption of contaminated meat.","author":[{"dropping-particle":"","family":"Jaja","given":"Ishmael Festus","non-dropping-particle":"","parse-names":false,"suffix":""},{"dropping-particle":"","family":"Bhembe","given":"Nolwazi Londiwe","non-dropping-particle":"","parse-names":false,"suffix":""},{"dropping-particle":"","family":"Green","given":"Ezekiel","non-dropping-particle":"","parse-names":false,"suffix":""},{"dropping-particle":"","family":"Oguttu","given":"James","non-dropping-particle":"","parse-names":false,"suffix":""},{"dropping-particle":"","family":"Muchenje","given":"Voster","non-dropping-particle":"","parse-names":false,"suffix":""}],"container-title":"Acta Tropica","id":"ITEM-1","issued":{"date-parts":[["2019"]]},"page":"129-136","publisher":"Elsevier B.V.","title":"Molecular characterisation of antibiotic-resistant Salmonella enterica isolates recovered from meat in South Africa","type":"article-journal","volume":"190"},"uris":["http://www.mendeley.com/documents/?uuid=362c68e5-8210-4e5f-8cdd-c4d40ac7ce40"]}],"mendeley":{"formattedCitation":"(Jaja et al., 2019)","plainTextFormattedCitation":"(Jaja et al., 2019)","previouslyFormattedCitation":"(Jaja et al., 2019)"},"properties":{"noteIndex":0},"schema":"https://github.com/citation-style-language/schema/raw/master/csl-citation.json"}</w:instrText>
            </w:r>
            <w:r>
              <w:rPr>
                <w:b/>
                <w:sz w:val="20"/>
                <w:szCs w:val="20"/>
              </w:rPr>
              <w:fldChar w:fldCharType="separate"/>
            </w:r>
            <w:r>
              <w:rPr>
                <w:sz w:val="20"/>
                <w:szCs w:val="20"/>
              </w:rPr>
              <w:t>(Jaja et al., 2019)</w:t>
            </w:r>
            <w:r>
              <w:rPr>
                <w:b/>
                <w:sz w:val="20"/>
                <w:szCs w:val="20"/>
              </w:rPr>
              <w:fldChar w:fldCharType="end"/>
            </w:r>
          </w:p>
        </w:tc>
      </w:tr>
      <w:tr>
        <w:tblPrEx>
          <w:tblBorders>
            <w:top w:val="single" w:color="000000" w:sz="4"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29" w:type="pct"/>
            <w:vMerge w:val="continue"/>
            <w:tcBorders>
              <w:top w:val="nil"/>
              <w:left w:val="nil"/>
              <w:bottom w:val="single" w:color="auto" w:sz="4" w:space="0"/>
              <w:right w:val="nil"/>
            </w:tcBorders>
          </w:tcPr>
          <w:p>
            <w:pPr>
              <w:spacing w:before="0" w:after="0" w:line="240" w:lineRule="atLeast"/>
              <w:jc w:val="center"/>
              <w:rPr>
                <w:i/>
                <w:sz w:val="20"/>
                <w:szCs w:val="20"/>
              </w:rPr>
            </w:pPr>
          </w:p>
        </w:tc>
        <w:tc>
          <w:tcPr>
            <w:tcW w:w="775" w:type="pct"/>
            <w:tcBorders>
              <w:top w:val="nil"/>
              <w:left w:val="nil"/>
              <w:bottom w:val="single" w:color="auto" w:sz="4" w:space="0"/>
              <w:right w:val="nil"/>
            </w:tcBorders>
            <w:vAlign w:val="center"/>
          </w:tcPr>
          <w:p>
            <w:pPr>
              <w:spacing w:before="0" w:after="0" w:line="240" w:lineRule="atLeast"/>
              <w:jc w:val="center"/>
              <w:rPr>
                <w:i/>
                <w:sz w:val="20"/>
                <w:szCs w:val="20"/>
              </w:rPr>
            </w:pPr>
          </w:p>
        </w:tc>
        <w:tc>
          <w:tcPr>
            <w:tcW w:w="187" w:type="pct"/>
            <w:tcBorders>
              <w:top w:val="nil"/>
              <w:left w:val="nil"/>
              <w:bottom w:val="single" w:color="auto" w:sz="4" w:space="0"/>
              <w:right w:val="nil"/>
            </w:tcBorders>
            <w:vAlign w:val="center"/>
          </w:tcPr>
          <w:p>
            <w:pPr>
              <w:spacing w:before="0" w:after="0" w:line="240" w:lineRule="atLeast"/>
              <w:jc w:val="center"/>
              <w:rPr>
                <w:i/>
                <w:sz w:val="20"/>
                <w:szCs w:val="20"/>
              </w:rPr>
            </w:pPr>
            <w:r>
              <w:rPr>
                <w:rFonts w:hint="eastAsia"/>
                <w:iCs/>
                <w:sz w:val="20"/>
                <w:szCs w:val="20"/>
              </w:rPr>
              <w:t>R</w:t>
            </w:r>
          </w:p>
        </w:tc>
        <w:tc>
          <w:tcPr>
            <w:tcW w:w="1912" w:type="pct"/>
            <w:tcBorders>
              <w:top w:val="nil"/>
              <w:left w:val="nil"/>
              <w:bottom w:val="single" w:color="auto" w:sz="4" w:space="0"/>
              <w:right w:val="nil"/>
            </w:tcBorders>
            <w:vAlign w:val="center"/>
          </w:tcPr>
          <w:p>
            <w:pPr>
              <w:spacing w:before="0" w:after="0" w:line="240" w:lineRule="atLeast"/>
              <w:textAlignment w:val="center"/>
              <w:rPr>
                <w:sz w:val="20"/>
                <w:szCs w:val="20"/>
              </w:rPr>
            </w:pPr>
            <w:r>
              <w:rPr>
                <w:rFonts w:hint="eastAsia"/>
                <w:sz w:val="20"/>
                <w:szCs w:val="20"/>
              </w:rPr>
              <w:t>TTGTAATTAAGCATTCTGCC</w:t>
            </w:r>
          </w:p>
        </w:tc>
        <w:tc>
          <w:tcPr>
            <w:tcW w:w="433" w:type="pct"/>
            <w:tcBorders>
              <w:top w:val="nil"/>
              <w:left w:val="nil"/>
              <w:bottom w:val="single" w:color="auto" w:sz="4" w:space="0"/>
              <w:right w:val="nil"/>
            </w:tcBorders>
            <w:vAlign w:val="center"/>
          </w:tcPr>
          <w:p>
            <w:pPr>
              <w:spacing w:before="0" w:after="0" w:line="240" w:lineRule="atLeast"/>
              <w:jc w:val="center"/>
              <w:rPr>
                <w:sz w:val="20"/>
                <w:szCs w:val="20"/>
              </w:rPr>
            </w:pPr>
          </w:p>
        </w:tc>
        <w:tc>
          <w:tcPr>
            <w:tcW w:w="432" w:type="pct"/>
            <w:tcBorders>
              <w:top w:val="nil"/>
              <w:left w:val="nil"/>
              <w:bottom w:val="single" w:color="auto" w:sz="4" w:space="0"/>
              <w:right w:val="nil"/>
            </w:tcBorders>
          </w:tcPr>
          <w:p>
            <w:pPr>
              <w:spacing w:before="0" w:after="0" w:line="240" w:lineRule="atLeast"/>
              <w:jc w:val="center"/>
              <w:rPr>
                <w:sz w:val="20"/>
                <w:szCs w:val="20"/>
              </w:rPr>
            </w:pPr>
          </w:p>
        </w:tc>
        <w:tc>
          <w:tcPr>
            <w:tcW w:w="532" w:type="pct"/>
            <w:tcBorders>
              <w:top w:val="nil"/>
              <w:left w:val="nil"/>
              <w:bottom w:val="single" w:color="auto" w:sz="4" w:space="0"/>
              <w:right w:val="nil"/>
            </w:tcBorders>
          </w:tcPr>
          <w:p>
            <w:pPr>
              <w:spacing w:before="0" w:after="0" w:line="240" w:lineRule="atLeast"/>
              <w:jc w:val="center"/>
              <w:rPr>
                <w:b/>
                <w:sz w:val="20"/>
                <w:szCs w:val="20"/>
              </w:rPr>
            </w:pPr>
          </w:p>
        </w:tc>
      </w:tr>
    </w:tbl>
    <w:p>
      <w:pPr>
        <w:pStyle w:val="53"/>
        <w:rPr>
          <w:sz w:val="24"/>
          <w:szCs w:val="24"/>
          <w:lang w:val="en-US"/>
        </w:rPr>
      </w:pPr>
      <w:r>
        <w:rPr>
          <w:rFonts w:hint="eastAsia" w:eastAsia="宋体"/>
          <w:sz w:val="24"/>
          <w:szCs w:val="24"/>
          <w:vertAlign w:val="superscript"/>
          <w:lang w:val="en-US" w:eastAsia="zh-CN"/>
        </w:rPr>
        <w:t>a</w:t>
      </w:r>
      <w:r>
        <w:rPr>
          <w:sz w:val="24"/>
          <w:szCs w:val="24"/>
          <w:lang w:val="en-US"/>
        </w:rPr>
        <w:t xml:space="preserve"> Forward, F; Reverse, R.</w:t>
      </w:r>
    </w:p>
    <w:p>
      <w:pPr>
        <w:pStyle w:val="53"/>
        <w:rPr>
          <w:sz w:val="24"/>
          <w:szCs w:val="24"/>
          <w:lang w:val="en-US"/>
        </w:rPr>
      </w:pPr>
      <w:r>
        <w:rPr>
          <w:rFonts w:hint="eastAsia" w:eastAsia="宋体"/>
          <w:sz w:val="24"/>
          <w:szCs w:val="24"/>
          <w:vertAlign w:val="superscript"/>
          <w:lang w:val="en-US" w:eastAsia="zh-CN"/>
        </w:rPr>
        <w:t xml:space="preserve">b </w:t>
      </w:r>
      <w:r>
        <w:rPr>
          <w:sz w:val="24"/>
          <w:szCs w:val="24"/>
          <w:lang w:val="en-US"/>
        </w:rPr>
        <w:t xml:space="preserve">Amplicon length, AL. </w:t>
      </w:r>
    </w:p>
    <w:p>
      <w:pPr>
        <w:pStyle w:val="53"/>
      </w:pPr>
      <w:r>
        <w:rPr>
          <w:rFonts w:hint="eastAsia" w:eastAsia="宋体"/>
          <w:sz w:val="24"/>
          <w:szCs w:val="24"/>
          <w:vertAlign w:val="superscript"/>
          <w:lang w:val="en-US" w:eastAsia="zh-CN"/>
        </w:rPr>
        <w:t xml:space="preserve">c </w:t>
      </w:r>
      <w:r>
        <w:rPr>
          <w:sz w:val="24"/>
          <w:szCs w:val="24"/>
          <w:lang w:val="en-US"/>
        </w:rPr>
        <w:t>Annealing temperature, AT.</w:t>
      </w:r>
    </w:p>
    <w:p/>
    <w:p/>
    <w:p/>
    <w:p>
      <w:pPr>
        <w:jc w:val="both"/>
        <w:rPr>
          <w:b/>
          <w:szCs w:val="24"/>
        </w:rPr>
        <w:sectPr>
          <w:type w:val="continuous"/>
          <w:pgSz w:w="11906" w:h="16838"/>
          <w:pgMar w:top="1440" w:right="1800" w:bottom="1440" w:left="1800" w:header="851" w:footer="992" w:gutter="0"/>
          <w:cols w:space="720" w:num="1"/>
          <w:docGrid w:type="lines" w:linePitch="312" w:charSpace="0"/>
        </w:sectPr>
      </w:pPr>
    </w:p>
    <w:p>
      <w:pPr>
        <w:jc w:val="both"/>
        <w:rPr>
          <w:rFonts w:eastAsia="黑体"/>
          <w:iCs/>
          <w:szCs w:val="24"/>
        </w:rPr>
      </w:pPr>
      <w:r>
        <w:rPr>
          <w:b/>
          <w:szCs w:val="24"/>
        </w:rPr>
        <w:t>T</w:t>
      </w:r>
      <w:r>
        <w:rPr>
          <w:rFonts w:hint="eastAsia"/>
          <w:b/>
          <w:szCs w:val="24"/>
          <w:lang w:eastAsia="zh-CN"/>
        </w:rPr>
        <w:t>able S3</w:t>
      </w:r>
      <w:r>
        <w:rPr>
          <w:bCs/>
          <w:szCs w:val="24"/>
        </w:rPr>
        <w:t xml:space="preserve"> </w:t>
      </w:r>
      <w:r>
        <w:rPr>
          <w:szCs w:val="24"/>
        </w:rPr>
        <w:t>The</w:t>
      </w:r>
      <w:r>
        <w:rPr>
          <w:rFonts w:hint="eastAsia"/>
          <w:szCs w:val="24"/>
        </w:rPr>
        <w:t xml:space="preserve"> prevalence of </w:t>
      </w:r>
      <w:r>
        <w:rPr>
          <w:rFonts w:hint="eastAsia" w:eastAsia="宋体" w:cs="Times New Roman"/>
          <w:i/>
          <w:iCs/>
          <w:color w:val="000000"/>
          <w:lang w:eastAsia="zh-CN"/>
        </w:rPr>
        <w:t xml:space="preserve">K. </w:t>
      </w:r>
      <w:r>
        <w:rPr>
          <w:rFonts w:cs="Times New Roman"/>
          <w:i/>
          <w:iCs/>
          <w:color w:val="000000"/>
        </w:rPr>
        <w:t>pneumoniae</w:t>
      </w:r>
      <w:r>
        <w:rPr>
          <w:rFonts w:hint="eastAsia"/>
          <w:szCs w:val="24"/>
        </w:rPr>
        <w:t xml:space="preserve"> in different sample types in five farms</w:t>
      </w:r>
    </w:p>
    <w:tbl>
      <w:tblPr>
        <w:tblStyle w:val="20"/>
        <w:tblW w:w="14164" w:type="dxa"/>
        <w:jc w:val="center"/>
        <w:tblLayout w:type="fixed"/>
        <w:tblCellMar>
          <w:top w:w="0" w:type="dxa"/>
          <w:left w:w="0" w:type="dxa"/>
          <w:bottom w:w="0" w:type="dxa"/>
          <w:right w:w="0" w:type="dxa"/>
        </w:tblCellMar>
      </w:tblPr>
      <w:tblGrid>
        <w:gridCol w:w="1446"/>
        <w:gridCol w:w="734"/>
        <w:gridCol w:w="613"/>
        <w:gridCol w:w="920"/>
        <w:gridCol w:w="656"/>
        <w:gridCol w:w="610"/>
        <w:gridCol w:w="825"/>
        <w:gridCol w:w="642"/>
        <w:gridCol w:w="614"/>
        <w:gridCol w:w="833"/>
        <w:gridCol w:w="643"/>
        <w:gridCol w:w="644"/>
        <w:gridCol w:w="802"/>
        <w:gridCol w:w="659"/>
        <w:gridCol w:w="611"/>
        <w:gridCol w:w="820"/>
        <w:gridCol w:w="653"/>
        <w:gridCol w:w="644"/>
        <w:gridCol w:w="795"/>
      </w:tblGrid>
      <w:tr>
        <w:tblPrEx>
          <w:tblCellMar>
            <w:top w:w="0" w:type="dxa"/>
            <w:left w:w="0" w:type="dxa"/>
            <w:bottom w:w="0" w:type="dxa"/>
            <w:right w:w="0" w:type="dxa"/>
          </w:tblCellMar>
        </w:tblPrEx>
        <w:trPr>
          <w:trHeight w:val="312" w:hRule="atLeast"/>
          <w:jc w:val="center"/>
        </w:trPr>
        <w:tc>
          <w:tcPr>
            <w:tcW w:w="1446" w:type="dxa"/>
            <w:vMerge w:val="restart"/>
            <w:tcBorders>
              <w:top w:val="single" w:color="auto" w:sz="4" w:space="0"/>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Type of sample</w:t>
            </w:r>
          </w:p>
        </w:tc>
        <w:tc>
          <w:tcPr>
            <w:tcW w:w="2267"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Farm A</w:t>
            </w:r>
          </w:p>
        </w:tc>
        <w:tc>
          <w:tcPr>
            <w:tcW w:w="2091"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Farm B</w:t>
            </w:r>
          </w:p>
        </w:tc>
        <w:tc>
          <w:tcPr>
            <w:tcW w:w="2089"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Farm C</w:t>
            </w:r>
          </w:p>
        </w:tc>
        <w:tc>
          <w:tcPr>
            <w:tcW w:w="2089"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Farm D</w:t>
            </w:r>
          </w:p>
        </w:tc>
        <w:tc>
          <w:tcPr>
            <w:tcW w:w="2090"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Farm E</w:t>
            </w:r>
          </w:p>
        </w:tc>
        <w:tc>
          <w:tcPr>
            <w:tcW w:w="2092" w:type="dxa"/>
            <w:gridSpan w:val="3"/>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Total</w:t>
            </w:r>
          </w:p>
        </w:tc>
      </w:tr>
      <w:tr>
        <w:tblPrEx>
          <w:tblCellMar>
            <w:top w:w="0" w:type="dxa"/>
            <w:left w:w="0" w:type="dxa"/>
            <w:bottom w:w="0" w:type="dxa"/>
            <w:right w:w="0" w:type="dxa"/>
          </w:tblCellMar>
        </w:tblPrEx>
        <w:trPr>
          <w:trHeight w:val="299" w:hRule="atLeast"/>
          <w:jc w:val="center"/>
        </w:trPr>
        <w:tc>
          <w:tcPr>
            <w:tcW w:w="1446" w:type="dxa"/>
            <w:vMerge w:val="continue"/>
            <w:tcBorders>
              <w:top w:val="single" w:color="auto" w:sz="4" w:space="0"/>
              <w:left w:val="nil"/>
              <w:bottom w:val="nil"/>
              <w:right w:val="nil"/>
            </w:tcBorders>
            <w:vAlign w:val="center"/>
          </w:tcPr>
          <w:p>
            <w:pPr>
              <w:spacing w:before="0" w:after="0" w:line="240" w:lineRule="atLeast"/>
              <w:jc w:val="center"/>
              <w:rPr>
                <w:b/>
                <w:sz w:val="18"/>
                <w:szCs w:val="18"/>
              </w:rPr>
            </w:pPr>
          </w:p>
        </w:tc>
        <w:tc>
          <w:tcPr>
            <w:tcW w:w="734"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13"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920"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c>
          <w:tcPr>
            <w:tcW w:w="656"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10"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825"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c>
          <w:tcPr>
            <w:tcW w:w="642"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14"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833"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c>
          <w:tcPr>
            <w:tcW w:w="643"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44"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802"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c>
          <w:tcPr>
            <w:tcW w:w="659"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11"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820"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c>
          <w:tcPr>
            <w:tcW w:w="653"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 samples</w:t>
            </w:r>
          </w:p>
        </w:tc>
        <w:tc>
          <w:tcPr>
            <w:tcW w:w="644"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No.</w:t>
            </w:r>
          </w:p>
          <w:p>
            <w:pPr>
              <w:spacing w:before="0" w:after="0" w:line="240" w:lineRule="atLeast"/>
              <w:jc w:val="center"/>
              <w:textAlignment w:val="center"/>
              <w:rPr>
                <w:b/>
                <w:sz w:val="18"/>
                <w:szCs w:val="18"/>
              </w:rPr>
            </w:pPr>
            <w:r>
              <w:rPr>
                <w:b/>
                <w:sz w:val="18"/>
                <w:szCs w:val="18"/>
              </w:rPr>
              <w:t>isolates</w:t>
            </w:r>
          </w:p>
        </w:tc>
        <w:tc>
          <w:tcPr>
            <w:tcW w:w="795" w:type="dxa"/>
            <w:tcBorders>
              <w:top w:val="single" w:color="auto" w:sz="4" w:space="0"/>
              <w:left w:val="nil"/>
              <w:bottom w:val="single" w:color="auto" w:sz="4" w:space="0"/>
              <w:right w:val="nil"/>
            </w:tcBorders>
            <w:noWrap/>
            <w:tcMar>
              <w:top w:w="12" w:type="dxa"/>
              <w:left w:w="12" w:type="dxa"/>
              <w:bottom w:w="0" w:type="dxa"/>
              <w:right w:w="12" w:type="dxa"/>
            </w:tcMar>
            <w:vAlign w:val="center"/>
          </w:tcPr>
          <w:p>
            <w:pPr>
              <w:spacing w:before="0" w:after="0" w:line="240" w:lineRule="atLeast"/>
              <w:jc w:val="center"/>
              <w:textAlignment w:val="center"/>
              <w:rPr>
                <w:b/>
                <w:sz w:val="18"/>
                <w:szCs w:val="18"/>
              </w:rPr>
            </w:pPr>
            <w:r>
              <w:rPr>
                <w:b/>
                <w:sz w:val="18"/>
                <w:szCs w:val="18"/>
              </w:rPr>
              <w:t>Proportion (%)</w:t>
            </w:r>
          </w:p>
        </w:tc>
      </w:tr>
      <w:tr>
        <w:tblPrEx>
          <w:tblCellMar>
            <w:top w:w="0" w:type="dxa"/>
            <w:left w:w="0" w:type="dxa"/>
            <w:bottom w:w="0" w:type="dxa"/>
            <w:right w:w="0" w:type="dxa"/>
          </w:tblCellMar>
        </w:tblPrEx>
        <w:trPr>
          <w:trHeight w:val="459" w:hRule="atLeast"/>
          <w:jc w:val="center"/>
        </w:trPr>
        <w:tc>
          <w:tcPr>
            <w:tcW w:w="1446" w:type="dxa"/>
            <w:tcBorders>
              <w:top w:val="single" w:color="auto" w:sz="4" w:space="0"/>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milk of healthy cow</w:t>
            </w:r>
          </w:p>
        </w:tc>
        <w:tc>
          <w:tcPr>
            <w:tcW w:w="734"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613"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920"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12.50</w:t>
            </w:r>
          </w:p>
        </w:tc>
        <w:tc>
          <w:tcPr>
            <w:tcW w:w="656"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610"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825"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12.50</w:t>
            </w:r>
          </w:p>
        </w:tc>
        <w:tc>
          <w:tcPr>
            <w:tcW w:w="642"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31</w:t>
            </w:r>
          </w:p>
        </w:tc>
        <w:tc>
          <w:tcPr>
            <w:tcW w:w="614"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10</w:t>
            </w:r>
          </w:p>
        </w:tc>
        <w:tc>
          <w:tcPr>
            <w:tcW w:w="833"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32.26</w:t>
            </w:r>
          </w:p>
        </w:tc>
        <w:tc>
          <w:tcPr>
            <w:tcW w:w="643"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w:t>
            </w:r>
          </w:p>
        </w:tc>
        <w:tc>
          <w:tcPr>
            <w:tcW w:w="644"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802"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58.33</w:t>
            </w:r>
          </w:p>
        </w:tc>
        <w:tc>
          <w:tcPr>
            <w:tcW w:w="659"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37</w:t>
            </w:r>
          </w:p>
        </w:tc>
        <w:tc>
          <w:tcPr>
            <w:tcW w:w="611"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820"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13.51</w:t>
            </w:r>
          </w:p>
        </w:tc>
        <w:tc>
          <w:tcPr>
            <w:tcW w:w="653"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96</w:t>
            </w:r>
          </w:p>
        </w:tc>
        <w:tc>
          <w:tcPr>
            <w:tcW w:w="644"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w:t>
            </w:r>
          </w:p>
        </w:tc>
        <w:tc>
          <w:tcPr>
            <w:tcW w:w="795" w:type="dxa"/>
            <w:tcBorders>
              <w:top w:val="single" w:color="auto" w:sz="4" w:space="0"/>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25.00</w:t>
            </w:r>
          </w:p>
        </w:tc>
      </w:tr>
      <w:tr>
        <w:tblPrEx>
          <w:tblCellMar>
            <w:top w:w="0" w:type="dxa"/>
            <w:left w:w="0" w:type="dxa"/>
            <w:bottom w:w="0" w:type="dxa"/>
            <w:right w:w="0" w:type="dxa"/>
          </w:tblCellMar>
        </w:tblPrEx>
        <w:trPr>
          <w:trHeight w:val="444"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milk of SCM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22.22</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21.05</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62.50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9.09</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49</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24.49</w:t>
            </w:r>
          </w:p>
        </w:tc>
      </w:tr>
      <w:tr>
        <w:tblPrEx>
          <w:tblCellMar>
            <w:top w:w="0" w:type="dxa"/>
            <w:left w:w="0" w:type="dxa"/>
            <w:bottom w:w="0" w:type="dxa"/>
            <w:right w:w="0" w:type="dxa"/>
          </w:tblCellMar>
        </w:tblPrEx>
        <w:trPr>
          <w:trHeight w:val="444"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milk of 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15.79</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8.33</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46.51</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52</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19.23</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138</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35</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25.36</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Tank-milk</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100.00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14.29</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swab of healthy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12.50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26.32</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31</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41.94</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8.11</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95</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22</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23.16</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swab of SCM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42.86</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52.63</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39</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Nipple swab of 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18</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22.22</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22</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6</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27.27</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38</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34.21</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78</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23</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29.49</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Anal swab of healthy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9.52</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31</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12</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38.71</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24.32</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97</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23</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23.71</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Anal swab of SCM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26.32</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27.27</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24.24</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Anal swab of CM cow</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18</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11.11</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24</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6</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25.00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38</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13</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34.21</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80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26.25</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Milk cup swab</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14.29</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19</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15.79</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Feed from the health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14.29</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28.57</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7</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100.00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47.83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Feed from the CM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Feed stored in the warehouse</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100.00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Bedding from the healthy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28.57</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71.43</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34.78</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Bedding from the CM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Beeding stored in the warehouse</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100.00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Faeces from the healthy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28.57</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28.57</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85.71</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23</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47.83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Faeces from the CM bar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16.67</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Air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9</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22.22</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62.50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14.29</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26</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9</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34.62</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Drinking water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12.50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5</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71.43</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18</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6</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33.33</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Spray water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12.50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100.00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12</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16.67</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nil"/>
              <w:right w:val="nil"/>
            </w:tcBorders>
            <w:noWrap/>
            <w:tcMar>
              <w:top w:w="12" w:type="dxa"/>
              <w:left w:w="12" w:type="dxa"/>
              <w:bottom w:w="0" w:type="dxa"/>
              <w:right w:w="12" w:type="dxa"/>
            </w:tcMar>
            <w:vAlign w:val="center"/>
          </w:tcPr>
          <w:p>
            <w:pPr>
              <w:spacing w:before="0" w:after="0" w:line="240" w:lineRule="atLeast"/>
              <w:jc w:val="center"/>
              <w:textAlignment w:val="center"/>
              <w:rPr>
                <w:color w:val="000000"/>
                <w:sz w:val="18"/>
                <w:szCs w:val="18"/>
              </w:rPr>
            </w:pPr>
            <w:r>
              <w:rPr>
                <w:color w:val="000000"/>
                <w:sz w:val="18"/>
                <w:szCs w:val="18"/>
              </w:rPr>
              <w:t>Washing water</w:t>
            </w:r>
          </w:p>
        </w:tc>
        <w:tc>
          <w:tcPr>
            <w:tcW w:w="73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w:t>
            </w:r>
          </w:p>
        </w:tc>
        <w:tc>
          <w:tcPr>
            <w:tcW w:w="61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9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6"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w:t>
            </w:r>
          </w:p>
        </w:tc>
        <w:tc>
          <w:tcPr>
            <w:tcW w:w="61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3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4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02"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9"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w:t>
            </w:r>
          </w:p>
        </w:tc>
        <w:tc>
          <w:tcPr>
            <w:tcW w:w="611"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820"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c>
          <w:tcPr>
            <w:tcW w:w="653"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w:t>
            </w:r>
          </w:p>
        </w:tc>
        <w:tc>
          <w:tcPr>
            <w:tcW w:w="644"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w:t>
            </w:r>
          </w:p>
        </w:tc>
        <w:tc>
          <w:tcPr>
            <w:tcW w:w="795" w:type="dxa"/>
            <w:tcBorders>
              <w:top w:val="nil"/>
              <w:left w:val="nil"/>
              <w:bottom w:val="nil"/>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0.00</w:t>
            </w:r>
          </w:p>
        </w:tc>
      </w:tr>
      <w:tr>
        <w:tblPrEx>
          <w:tblCellMar>
            <w:top w:w="0" w:type="dxa"/>
            <w:left w:w="0" w:type="dxa"/>
            <w:bottom w:w="0" w:type="dxa"/>
            <w:right w:w="0" w:type="dxa"/>
          </w:tblCellMar>
        </w:tblPrEx>
        <w:trPr>
          <w:trHeight w:val="348" w:hRule="atLeast"/>
          <w:jc w:val="center"/>
        </w:trPr>
        <w:tc>
          <w:tcPr>
            <w:tcW w:w="1446" w:type="dxa"/>
            <w:tcBorders>
              <w:top w:val="nil"/>
              <w:left w:val="nil"/>
              <w:bottom w:val="single" w:color="000000" w:sz="8" w:space="0"/>
              <w:right w:val="nil"/>
            </w:tcBorders>
            <w:tcMar>
              <w:top w:w="12" w:type="dxa"/>
              <w:left w:w="12" w:type="dxa"/>
              <w:bottom w:w="0" w:type="dxa"/>
              <w:right w:w="12" w:type="dxa"/>
            </w:tcMar>
            <w:vAlign w:val="center"/>
          </w:tcPr>
          <w:p>
            <w:pPr>
              <w:spacing w:before="0" w:after="0" w:line="240" w:lineRule="atLeast"/>
              <w:jc w:val="center"/>
              <w:textAlignment w:val="center"/>
              <w:rPr>
                <w:bCs/>
                <w:sz w:val="18"/>
                <w:szCs w:val="18"/>
              </w:rPr>
            </w:pPr>
            <w:r>
              <w:rPr>
                <w:bCs/>
                <w:sz w:val="18"/>
                <w:szCs w:val="18"/>
              </w:rPr>
              <w:t>Total</w:t>
            </w:r>
          </w:p>
        </w:tc>
        <w:tc>
          <w:tcPr>
            <w:tcW w:w="734" w:type="dxa"/>
            <w:tcBorders>
              <w:top w:val="nil"/>
              <w:left w:val="nil"/>
              <w:bottom w:val="single" w:color="000000" w:sz="8" w:space="0"/>
              <w:right w:val="nil"/>
            </w:tcBorders>
            <w:tcMar>
              <w:top w:w="12" w:type="dxa"/>
              <w:left w:w="12" w:type="dxa"/>
              <w:bottom w:w="0" w:type="dxa"/>
              <w:right w:w="12" w:type="dxa"/>
            </w:tcMar>
            <w:vAlign w:val="center"/>
          </w:tcPr>
          <w:p>
            <w:pPr>
              <w:pStyle w:val="17"/>
              <w:spacing w:before="0" w:beforeAutospacing="0" w:after="0" w:afterAutospacing="0" w:line="240" w:lineRule="atLeast"/>
              <w:jc w:val="center"/>
              <w:rPr>
                <w:bCs/>
                <w:sz w:val="18"/>
                <w:szCs w:val="18"/>
              </w:rPr>
            </w:pPr>
            <w:r>
              <w:rPr>
                <w:color w:val="000000"/>
                <w:sz w:val="18"/>
                <w:szCs w:val="18"/>
              </w:rPr>
              <w:t>109</w:t>
            </w:r>
          </w:p>
        </w:tc>
        <w:tc>
          <w:tcPr>
            <w:tcW w:w="613" w:type="dxa"/>
            <w:tcBorders>
              <w:top w:val="nil"/>
              <w:left w:val="nil"/>
              <w:bottom w:val="single" w:color="000000" w:sz="8" w:space="0"/>
              <w:right w:val="nil"/>
            </w:tcBorders>
            <w:tcMar>
              <w:top w:w="12" w:type="dxa"/>
              <w:left w:w="12" w:type="dxa"/>
              <w:bottom w:w="0" w:type="dxa"/>
              <w:right w:w="12" w:type="dxa"/>
            </w:tcMar>
            <w:vAlign w:val="center"/>
          </w:tcPr>
          <w:p>
            <w:pPr>
              <w:pStyle w:val="17"/>
              <w:spacing w:before="0" w:beforeAutospacing="0" w:after="0" w:afterAutospacing="0" w:line="240" w:lineRule="atLeast"/>
              <w:jc w:val="center"/>
              <w:rPr>
                <w:bCs/>
                <w:sz w:val="18"/>
                <w:szCs w:val="18"/>
              </w:rPr>
            </w:pPr>
            <w:r>
              <w:rPr>
                <w:color w:val="000000"/>
                <w:sz w:val="18"/>
                <w:szCs w:val="18"/>
              </w:rPr>
              <w:t>18</w:t>
            </w:r>
          </w:p>
        </w:tc>
        <w:tc>
          <w:tcPr>
            <w:tcW w:w="920"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sz w:val="18"/>
                <w:szCs w:val="18"/>
              </w:rPr>
            </w:pPr>
            <w:r>
              <w:rPr>
                <w:color w:val="000000"/>
                <w:sz w:val="18"/>
                <w:szCs w:val="18"/>
              </w:rPr>
              <w:t>16.51</w:t>
            </w:r>
            <w:r>
              <w:rPr>
                <w:rFonts w:hint="eastAsia"/>
                <w:color w:val="000000"/>
                <w:sz w:val="18"/>
                <w:szCs w:val="18"/>
                <w:vertAlign w:val="superscript"/>
              </w:rPr>
              <w:t>a</w:t>
            </w:r>
          </w:p>
        </w:tc>
        <w:tc>
          <w:tcPr>
            <w:tcW w:w="656"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179</w:t>
            </w:r>
          </w:p>
        </w:tc>
        <w:tc>
          <w:tcPr>
            <w:tcW w:w="610"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37</w:t>
            </w:r>
          </w:p>
        </w:tc>
        <w:tc>
          <w:tcPr>
            <w:tcW w:w="825"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20.67</w:t>
            </w:r>
            <w:r>
              <w:rPr>
                <w:rFonts w:hint="eastAsia"/>
                <w:color w:val="000000"/>
                <w:sz w:val="18"/>
                <w:szCs w:val="18"/>
                <w:vertAlign w:val="superscript"/>
              </w:rPr>
              <w:t>ab</w:t>
            </w:r>
          </w:p>
        </w:tc>
        <w:tc>
          <w:tcPr>
            <w:tcW w:w="642"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338</w:t>
            </w:r>
          </w:p>
        </w:tc>
        <w:tc>
          <w:tcPr>
            <w:tcW w:w="614"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114</w:t>
            </w:r>
          </w:p>
        </w:tc>
        <w:tc>
          <w:tcPr>
            <w:tcW w:w="833"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bCs/>
                <w:color w:val="000000"/>
                <w:sz w:val="18"/>
                <w:szCs w:val="18"/>
              </w:rPr>
            </w:pPr>
            <w:r>
              <w:rPr>
                <w:color w:val="000000"/>
                <w:sz w:val="18"/>
                <w:szCs w:val="18"/>
              </w:rPr>
              <w:t>33.73</w:t>
            </w:r>
            <w:r>
              <w:rPr>
                <w:rFonts w:hint="eastAsia"/>
                <w:color w:val="000000"/>
                <w:sz w:val="18"/>
                <w:szCs w:val="18"/>
                <w:vertAlign w:val="superscript"/>
              </w:rPr>
              <w:t>c</w:t>
            </w:r>
          </w:p>
        </w:tc>
        <w:tc>
          <w:tcPr>
            <w:tcW w:w="643"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72</w:t>
            </w:r>
          </w:p>
        </w:tc>
        <w:tc>
          <w:tcPr>
            <w:tcW w:w="644"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22</w:t>
            </w:r>
          </w:p>
        </w:tc>
        <w:tc>
          <w:tcPr>
            <w:tcW w:w="802"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30.56</w:t>
            </w:r>
            <w:r>
              <w:rPr>
                <w:rFonts w:hint="eastAsia"/>
                <w:color w:val="000000"/>
                <w:sz w:val="18"/>
                <w:szCs w:val="18"/>
                <w:vertAlign w:val="superscript"/>
              </w:rPr>
              <w:t>bc</w:t>
            </w:r>
          </w:p>
        </w:tc>
        <w:tc>
          <w:tcPr>
            <w:tcW w:w="659"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189</w:t>
            </w:r>
          </w:p>
        </w:tc>
        <w:tc>
          <w:tcPr>
            <w:tcW w:w="611"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48</w:t>
            </w:r>
          </w:p>
        </w:tc>
        <w:tc>
          <w:tcPr>
            <w:tcW w:w="820"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25.40</w:t>
            </w:r>
            <w:r>
              <w:rPr>
                <w:rFonts w:hint="eastAsia"/>
                <w:color w:val="000000"/>
                <w:sz w:val="18"/>
                <w:szCs w:val="18"/>
                <w:vertAlign w:val="superscript"/>
              </w:rPr>
              <w:t>abd</w:t>
            </w:r>
          </w:p>
        </w:tc>
        <w:tc>
          <w:tcPr>
            <w:tcW w:w="653"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887</w:t>
            </w:r>
          </w:p>
        </w:tc>
        <w:tc>
          <w:tcPr>
            <w:tcW w:w="644"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239</w:t>
            </w:r>
          </w:p>
        </w:tc>
        <w:tc>
          <w:tcPr>
            <w:tcW w:w="795" w:type="dxa"/>
            <w:tcBorders>
              <w:top w:val="nil"/>
              <w:left w:val="nil"/>
              <w:bottom w:val="single" w:color="000000" w:sz="8" w:space="0"/>
              <w:right w:val="nil"/>
            </w:tcBorders>
            <w:noWrap/>
            <w:tcMar>
              <w:top w:w="12" w:type="dxa"/>
              <w:left w:w="12" w:type="dxa"/>
              <w:bottom w:w="0" w:type="dxa"/>
              <w:right w:w="12" w:type="dxa"/>
            </w:tcMar>
            <w:vAlign w:val="center"/>
          </w:tcPr>
          <w:p>
            <w:pPr>
              <w:pStyle w:val="17"/>
              <w:spacing w:before="0" w:beforeAutospacing="0" w:after="0" w:afterAutospacing="0" w:line="240" w:lineRule="atLeast"/>
              <w:jc w:val="center"/>
              <w:rPr>
                <w:color w:val="000000"/>
                <w:sz w:val="18"/>
                <w:szCs w:val="18"/>
              </w:rPr>
            </w:pPr>
            <w:r>
              <w:rPr>
                <w:color w:val="000000"/>
                <w:sz w:val="18"/>
                <w:szCs w:val="18"/>
              </w:rPr>
              <w:t>26.94</w:t>
            </w:r>
          </w:p>
        </w:tc>
      </w:tr>
    </w:tbl>
    <w:p>
      <w:pPr>
        <w:rPr>
          <w:rFonts w:eastAsia="黑体"/>
          <w:szCs w:val="21"/>
        </w:rPr>
        <w:sectPr>
          <w:type w:val="continuous"/>
          <w:pgSz w:w="16838" w:h="11906" w:orient="landscape"/>
          <w:pgMar w:top="1800" w:right="1440" w:bottom="1800" w:left="1440" w:header="851" w:footer="992" w:gutter="0"/>
          <w:cols w:space="720" w:num="1"/>
          <w:docGrid w:type="lines" w:linePitch="312" w:charSpace="0"/>
        </w:sectPr>
      </w:pPr>
      <w:r>
        <w:rPr>
          <w:rFonts w:hint="eastAsia" w:eastAsia="黑体"/>
          <w:szCs w:val="21"/>
        </w:rPr>
        <w:t xml:space="preserve">Note: </w:t>
      </w:r>
      <w:r>
        <w:rPr>
          <w:rFonts w:eastAsia="黑体"/>
          <w:szCs w:val="21"/>
        </w:rPr>
        <w:t>The different letter (a/b/c/d) indicated significant difference, and the same letter indicate no significant difference.</w:t>
      </w:r>
    </w:p>
    <w:p/>
    <w:p/>
    <w:p/>
    <w:p/>
    <w:p/>
    <w:p/>
    <w:p>
      <w:pPr>
        <w:spacing w:line="360" w:lineRule="auto"/>
        <w:jc w:val="both"/>
        <w:rPr>
          <w:rFonts w:eastAsia="宋体" w:cs="Times New Roman"/>
          <w:szCs w:val="24"/>
          <w:lang w:eastAsia="zh-CN"/>
        </w:rPr>
      </w:pPr>
      <w:r>
        <w:rPr>
          <w:rFonts w:cs="Times New Roman"/>
          <w:b/>
          <w:bCs/>
          <w:color w:val="000000"/>
        </w:rPr>
        <w:t xml:space="preserve">Table </w:t>
      </w:r>
      <w:r>
        <w:rPr>
          <w:rFonts w:hint="eastAsia" w:eastAsia="宋体" w:cs="Times New Roman"/>
          <w:b/>
          <w:bCs/>
          <w:color w:val="000000"/>
          <w:lang w:eastAsia="zh-CN"/>
        </w:rPr>
        <w:t>S4</w:t>
      </w:r>
      <w:r>
        <w:rPr>
          <w:rFonts w:cs="Times New Roman"/>
          <w:color w:val="000000"/>
        </w:rPr>
        <w:t xml:space="preserve"> MIC distribution of 239</w:t>
      </w:r>
      <w:r>
        <w:rPr>
          <w:rFonts w:hint="eastAsia" w:eastAsia="宋体" w:cs="Times New Roman"/>
          <w:color w:val="000000"/>
          <w:lang w:eastAsia="zh-CN"/>
        </w:rPr>
        <w:t xml:space="preserve"> </w:t>
      </w:r>
      <w:r>
        <w:rPr>
          <w:rFonts w:hint="eastAsia" w:eastAsia="宋体" w:cs="Times New Roman"/>
          <w:i/>
          <w:iCs/>
          <w:color w:val="000000"/>
          <w:lang w:eastAsia="zh-CN"/>
        </w:rPr>
        <w:t xml:space="preserve">K. </w:t>
      </w:r>
      <w:r>
        <w:rPr>
          <w:rFonts w:cs="Times New Roman"/>
          <w:i/>
          <w:iCs/>
          <w:color w:val="000000"/>
        </w:rPr>
        <w:t>pneumoniae</w:t>
      </w:r>
      <w:r>
        <w:rPr>
          <w:rFonts w:cs="Times New Roman"/>
          <w:color w:val="000000"/>
        </w:rPr>
        <w:t xml:space="preserve"> to 1</w:t>
      </w:r>
      <w:r>
        <w:rPr>
          <w:rFonts w:hint="eastAsia" w:cs="Times New Roman"/>
          <w:color w:val="000000"/>
        </w:rPr>
        <w:t>7</w:t>
      </w:r>
      <w:r>
        <w:rPr>
          <w:rFonts w:cs="Times New Roman"/>
          <w:color w:val="000000"/>
        </w:rPr>
        <w:t xml:space="preserve"> </w:t>
      </w:r>
      <w:r>
        <w:rPr>
          <w:rFonts w:cs="Times New Roman"/>
        </w:rPr>
        <w:t>antimicrobials</w:t>
      </w:r>
    </w:p>
    <w:tbl>
      <w:tblPr>
        <w:tblStyle w:val="20"/>
        <w:tblW w:w="4772" w:type="pct"/>
        <w:tblInd w:w="457" w:type="dxa"/>
        <w:tblLayout w:type="autofit"/>
        <w:tblCellMar>
          <w:top w:w="0" w:type="dxa"/>
          <w:left w:w="0" w:type="dxa"/>
          <w:bottom w:w="0" w:type="dxa"/>
          <w:right w:w="0" w:type="dxa"/>
        </w:tblCellMar>
      </w:tblPr>
      <w:tblGrid>
        <w:gridCol w:w="1318"/>
        <w:gridCol w:w="1636"/>
        <w:gridCol w:w="660"/>
        <w:gridCol w:w="524"/>
        <w:gridCol w:w="377"/>
        <w:gridCol w:w="340"/>
        <w:gridCol w:w="265"/>
        <w:gridCol w:w="281"/>
        <w:gridCol w:w="281"/>
        <w:gridCol w:w="265"/>
        <w:gridCol w:w="326"/>
        <w:gridCol w:w="318"/>
        <w:gridCol w:w="489"/>
        <w:gridCol w:w="503"/>
        <w:gridCol w:w="527"/>
        <w:gridCol w:w="1021"/>
        <w:gridCol w:w="747"/>
        <w:gridCol w:w="774"/>
        <w:gridCol w:w="816"/>
        <w:gridCol w:w="907"/>
        <w:gridCol w:w="985"/>
      </w:tblGrid>
      <w:tr>
        <w:tblPrEx>
          <w:tblCellMar>
            <w:top w:w="0" w:type="dxa"/>
            <w:left w:w="0" w:type="dxa"/>
            <w:bottom w:w="0" w:type="dxa"/>
            <w:right w:w="0" w:type="dxa"/>
          </w:tblCellMar>
        </w:tblPrEx>
        <w:trPr>
          <w:trHeight w:val="255" w:hRule="atLeast"/>
        </w:trPr>
        <w:tc>
          <w:tcPr>
            <w:tcW w:w="483" w:type="pct"/>
            <w:vMerge w:val="restar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bCs/>
                <w:sz w:val="20"/>
                <w:szCs w:val="20"/>
                <w:vertAlign w:val="superscript"/>
                <w:lang w:eastAsia="zh-CN"/>
              </w:rPr>
            </w:pPr>
            <w:r>
              <w:rPr>
                <w:rFonts w:eastAsia="宋体" w:cs="Times New Roman"/>
                <w:b/>
                <w:bCs/>
                <w:sz w:val="20"/>
                <w:szCs w:val="20"/>
                <w:lang w:eastAsia="zh-CN"/>
              </w:rPr>
              <w:t>Antimicrobials</w:t>
            </w:r>
          </w:p>
        </w:tc>
        <w:tc>
          <w:tcPr>
            <w:tcW w:w="615" w:type="pct"/>
            <w:vMerge w:val="restart"/>
            <w:tcBorders>
              <w:top w:val="single" w:color="auto" w:sz="4" w:space="0"/>
              <w:left w:val="nil"/>
              <w:bottom w:val="single" w:color="auto" w:sz="4" w:space="0"/>
              <w:right w:val="nil"/>
            </w:tcBorders>
            <w:tcMar>
              <w:top w:w="20" w:type="dxa"/>
              <w:left w:w="20" w:type="dxa"/>
              <w:bottom w:w="72" w:type="dxa"/>
              <w:right w:w="20" w:type="dxa"/>
            </w:tcMar>
            <w:vAlign w:val="center"/>
          </w:tcPr>
          <w:p>
            <w:pPr>
              <w:widowControl w:val="0"/>
              <w:spacing w:before="0" w:after="0"/>
              <w:jc w:val="center"/>
              <w:rPr>
                <w:rFonts w:eastAsia="宋体" w:cs="Times New Roman"/>
                <w:b/>
                <w:bCs/>
                <w:kern w:val="2"/>
                <w:sz w:val="20"/>
                <w:szCs w:val="20"/>
                <w:lang w:eastAsia="zh-CN"/>
              </w:rPr>
            </w:pPr>
            <w:r>
              <w:rPr>
                <w:rFonts w:eastAsia="宋体" w:cs="Times New Roman"/>
                <w:b/>
                <w:bCs/>
                <w:kern w:val="2"/>
                <w:sz w:val="20"/>
                <w:szCs w:val="20"/>
                <w:lang w:eastAsia="zh-CN"/>
              </w:rPr>
              <w:t>Range of antibiotic concentration (µ</w:t>
            </w:r>
            <w:r>
              <w:rPr>
                <w:rFonts w:hint="eastAsia" w:eastAsia="宋体" w:cs="Times New Roman"/>
                <w:b/>
                <w:bCs/>
                <w:kern w:val="2"/>
                <w:sz w:val="20"/>
                <w:szCs w:val="20"/>
                <w:lang w:eastAsia="zh-CN"/>
              </w:rPr>
              <w:t>g/mL</w:t>
            </w:r>
            <w:r>
              <w:rPr>
                <w:rFonts w:eastAsia="宋体" w:cs="Times New Roman"/>
                <w:b/>
                <w:bCs/>
                <w:kern w:val="2"/>
                <w:sz w:val="20"/>
                <w:szCs w:val="20"/>
                <w:lang w:eastAsia="zh-CN"/>
              </w:rPr>
              <w:t>）</w:t>
            </w:r>
          </w:p>
        </w:tc>
        <w:tc>
          <w:tcPr>
            <w:tcW w:w="2304" w:type="pct"/>
            <w:gridSpan w:val="14"/>
            <w:tcBorders>
              <w:top w:val="single" w:color="auto" w:sz="4" w:space="0"/>
              <w:left w:val="nil"/>
              <w:bottom w:val="single" w:color="auto" w:sz="4" w:space="0"/>
              <w:right w:val="nil"/>
            </w:tcBorders>
            <w:tcMar>
              <w:top w:w="20" w:type="dxa"/>
              <w:left w:w="20" w:type="dxa"/>
              <w:bottom w:w="72" w:type="dxa"/>
              <w:right w:w="20" w:type="dxa"/>
            </w:tcMar>
            <w:vAlign w:val="center"/>
          </w:tcPr>
          <w:p>
            <w:pPr>
              <w:widowControl w:val="0"/>
              <w:spacing w:before="0" w:after="0"/>
              <w:jc w:val="center"/>
              <w:rPr>
                <w:rFonts w:eastAsia="宋体" w:cs="Times New Roman"/>
                <w:bCs/>
                <w:kern w:val="2"/>
                <w:sz w:val="20"/>
                <w:szCs w:val="20"/>
                <w:vertAlign w:val="superscript"/>
                <w:lang w:eastAsia="zh-CN"/>
              </w:rPr>
            </w:pPr>
            <w:r>
              <w:rPr>
                <w:rFonts w:hint="eastAsia" w:eastAsia="宋体" w:cs="Times New Roman"/>
                <w:b/>
                <w:color w:val="auto"/>
                <w:kern w:val="2"/>
                <w:sz w:val="20"/>
                <w:szCs w:val="20"/>
                <w:lang w:eastAsia="zh-CN"/>
              </w:rPr>
              <w:t>Number of isolates with different MICs</w:t>
            </w:r>
          </w:p>
        </w:tc>
        <w:tc>
          <w:tcPr>
            <w:tcW w:w="282" w:type="pc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0" w:after="0"/>
              <w:jc w:val="center"/>
              <w:rPr>
                <w:rFonts w:eastAsia="宋体" w:cs="Times New Roman"/>
                <w:b/>
                <w:bCs/>
                <w:color w:val="000000"/>
                <w:kern w:val="2"/>
                <w:sz w:val="20"/>
                <w:szCs w:val="20"/>
                <w:lang w:eastAsia="zh-CN"/>
              </w:rPr>
            </w:pPr>
            <w:r>
              <w:rPr>
                <w:rFonts w:eastAsia="宋体" w:cs="Times New Roman"/>
                <w:b/>
                <w:bCs/>
                <w:kern w:val="2"/>
                <w:sz w:val="20"/>
                <w:szCs w:val="20"/>
                <w:lang w:eastAsia="zh-CN"/>
              </w:rPr>
              <w:t>S</w:t>
            </w:r>
          </w:p>
        </w:tc>
        <w:tc>
          <w:tcPr>
            <w:tcW w:w="292" w:type="pc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0" w:after="0"/>
              <w:jc w:val="center"/>
              <w:rPr>
                <w:rFonts w:eastAsia="宋体" w:cs="Times New Roman"/>
                <w:b/>
                <w:bCs/>
                <w:color w:val="000000"/>
                <w:kern w:val="2"/>
                <w:sz w:val="20"/>
                <w:szCs w:val="20"/>
                <w:lang w:eastAsia="zh-CN"/>
              </w:rPr>
            </w:pPr>
            <w:r>
              <w:rPr>
                <w:rFonts w:eastAsia="宋体" w:cs="Times New Roman"/>
                <w:b/>
                <w:bCs/>
                <w:color w:val="000000"/>
                <w:kern w:val="2"/>
                <w:sz w:val="20"/>
                <w:szCs w:val="20"/>
                <w:lang w:eastAsia="zh-CN"/>
              </w:rPr>
              <w:t>I</w:t>
            </w:r>
          </w:p>
        </w:tc>
        <w:tc>
          <w:tcPr>
            <w:tcW w:w="308" w:type="pc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0" w:after="0"/>
              <w:jc w:val="center"/>
              <w:rPr>
                <w:rFonts w:eastAsia="宋体" w:cs="Times New Roman"/>
                <w:b/>
                <w:bCs/>
                <w:kern w:val="2"/>
                <w:sz w:val="20"/>
                <w:szCs w:val="20"/>
                <w:lang w:eastAsia="zh-CN"/>
              </w:rPr>
            </w:pPr>
            <w:r>
              <w:rPr>
                <w:rFonts w:eastAsia="宋体" w:cs="Times New Roman"/>
                <w:b/>
                <w:bCs/>
                <w:kern w:val="2"/>
                <w:sz w:val="20"/>
                <w:szCs w:val="20"/>
                <w:lang w:eastAsia="zh-CN"/>
              </w:rPr>
              <w:t>R</w:t>
            </w:r>
          </w:p>
        </w:tc>
        <w:tc>
          <w:tcPr>
            <w:tcW w:w="342" w:type="pct"/>
            <w:vMerge w:val="restar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0" w:after="0"/>
              <w:jc w:val="center"/>
              <w:rPr>
                <w:rFonts w:eastAsia="宋体" w:cs="Times New Roman"/>
                <w:b/>
                <w:bCs/>
                <w:color w:val="000000"/>
                <w:kern w:val="2"/>
                <w:sz w:val="20"/>
                <w:szCs w:val="20"/>
                <w:lang w:eastAsia="zh-CN"/>
              </w:rPr>
            </w:pPr>
            <w:r>
              <w:rPr>
                <w:rFonts w:eastAsia="宋体" w:cs="Times New Roman"/>
                <w:b/>
                <w:bCs/>
                <w:color w:val="000000"/>
                <w:kern w:val="2"/>
                <w:sz w:val="20"/>
                <w:szCs w:val="20"/>
                <w:lang w:eastAsia="zh-CN"/>
              </w:rPr>
              <w:t>MIC</w:t>
            </w:r>
            <w:r>
              <w:rPr>
                <w:rFonts w:eastAsia="宋体" w:cs="Times New Roman"/>
                <w:b/>
                <w:bCs/>
                <w:color w:val="000000"/>
                <w:kern w:val="2"/>
                <w:sz w:val="20"/>
                <w:szCs w:val="20"/>
                <w:vertAlign w:val="subscript"/>
                <w:lang w:eastAsia="zh-CN"/>
              </w:rPr>
              <w:t>50</w:t>
            </w:r>
          </w:p>
          <w:p>
            <w:pPr>
              <w:spacing w:before="0" w:after="0"/>
              <w:jc w:val="center"/>
              <w:rPr>
                <w:rFonts w:eastAsia="宋体" w:cs="Times New Roman"/>
                <w:b/>
                <w:bCs/>
                <w:color w:val="000000"/>
                <w:kern w:val="2"/>
                <w:sz w:val="20"/>
                <w:szCs w:val="20"/>
                <w:lang w:eastAsia="zh-CN"/>
              </w:rPr>
            </w:pPr>
            <w:r>
              <w:rPr>
                <w:rFonts w:eastAsia="宋体" w:cs="Times New Roman"/>
                <w:b/>
                <w:bCs/>
                <w:kern w:val="2"/>
                <w:sz w:val="20"/>
                <w:szCs w:val="20"/>
                <w:lang w:eastAsia="zh-CN"/>
              </w:rPr>
              <w:t>(µ</w:t>
            </w:r>
            <w:r>
              <w:rPr>
                <w:rFonts w:hint="eastAsia" w:eastAsia="宋体" w:cs="Times New Roman"/>
                <w:b/>
                <w:bCs/>
                <w:kern w:val="2"/>
                <w:sz w:val="20"/>
                <w:szCs w:val="20"/>
                <w:lang w:eastAsia="zh-CN"/>
              </w:rPr>
              <w:t>g/mL</w:t>
            </w:r>
            <w:r>
              <w:rPr>
                <w:rFonts w:eastAsia="宋体" w:cs="Times New Roman"/>
                <w:b/>
                <w:bCs/>
                <w:kern w:val="2"/>
                <w:sz w:val="20"/>
                <w:szCs w:val="20"/>
                <w:lang w:eastAsia="zh-CN"/>
              </w:rPr>
              <w:t>)</w:t>
            </w:r>
          </w:p>
        </w:tc>
        <w:tc>
          <w:tcPr>
            <w:tcW w:w="371" w:type="pct"/>
            <w:vMerge w:val="restart"/>
            <w:tcBorders>
              <w:top w:val="single" w:color="auto" w:sz="4" w:space="0"/>
              <w:left w:val="nil"/>
              <w:bottom w:val="single" w:color="auto" w:sz="4" w:space="0"/>
              <w:right w:val="nil"/>
            </w:tcBorders>
            <w:tcMar>
              <w:top w:w="20" w:type="dxa"/>
              <w:left w:w="20" w:type="dxa"/>
              <w:bottom w:w="72" w:type="dxa"/>
              <w:right w:w="20" w:type="dxa"/>
            </w:tcMar>
            <w:vAlign w:val="center"/>
          </w:tcPr>
          <w:p>
            <w:pPr>
              <w:spacing w:before="0" w:after="0"/>
              <w:jc w:val="center"/>
              <w:rPr>
                <w:rFonts w:eastAsia="宋体" w:cs="Times New Roman"/>
                <w:b/>
                <w:bCs/>
                <w:color w:val="000000"/>
                <w:kern w:val="2"/>
                <w:sz w:val="20"/>
                <w:szCs w:val="20"/>
                <w:lang w:eastAsia="zh-CN"/>
              </w:rPr>
            </w:pPr>
            <w:r>
              <w:rPr>
                <w:rFonts w:eastAsia="宋体" w:cs="Times New Roman"/>
                <w:b/>
                <w:bCs/>
                <w:color w:val="000000"/>
                <w:kern w:val="2"/>
                <w:sz w:val="20"/>
                <w:szCs w:val="20"/>
                <w:lang w:eastAsia="zh-CN"/>
              </w:rPr>
              <w:t>MIC</w:t>
            </w:r>
            <w:r>
              <w:rPr>
                <w:rFonts w:eastAsia="宋体" w:cs="Times New Roman"/>
                <w:b/>
                <w:bCs/>
                <w:color w:val="000000"/>
                <w:kern w:val="2"/>
                <w:sz w:val="20"/>
                <w:szCs w:val="20"/>
                <w:vertAlign w:val="subscript"/>
                <w:lang w:eastAsia="zh-CN"/>
              </w:rPr>
              <w:t>90</w:t>
            </w:r>
          </w:p>
          <w:p>
            <w:pPr>
              <w:spacing w:before="0" w:after="0"/>
              <w:jc w:val="center"/>
              <w:rPr>
                <w:rFonts w:eastAsia="宋体" w:cs="Times New Roman"/>
                <w:b/>
                <w:bCs/>
                <w:color w:val="000000"/>
                <w:kern w:val="2"/>
                <w:sz w:val="20"/>
                <w:szCs w:val="20"/>
                <w:lang w:eastAsia="zh-CN"/>
              </w:rPr>
            </w:pPr>
            <w:r>
              <w:rPr>
                <w:rFonts w:eastAsia="宋体" w:cs="Times New Roman"/>
                <w:b/>
                <w:bCs/>
                <w:kern w:val="2"/>
                <w:sz w:val="20"/>
                <w:szCs w:val="20"/>
                <w:lang w:eastAsia="zh-CN"/>
              </w:rPr>
              <w:t>(µ</w:t>
            </w:r>
            <w:r>
              <w:rPr>
                <w:rFonts w:hint="eastAsia" w:eastAsia="宋体" w:cs="Times New Roman"/>
                <w:b/>
                <w:bCs/>
                <w:kern w:val="2"/>
                <w:sz w:val="20"/>
                <w:szCs w:val="20"/>
                <w:lang w:eastAsia="zh-CN"/>
              </w:rPr>
              <w:t>g/mL</w:t>
            </w:r>
            <w:r>
              <w:rPr>
                <w:rFonts w:eastAsia="宋体" w:cs="Times New Roman"/>
                <w:b/>
                <w:bCs/>
                <w:kern w:val="2"/>
                <w:sz w:val="20"/>
                <w:szCs w:val="20"/>
                <w:lang w:eastAsia="zh-CN"/>
              </w:rPr>
              <w:t>)</w:t>
            </w:r>
          </w:p>
        </w:tc>
      </w:tr>
      <w:tr>
        <w:tblPrEx>
          <w:tblCellMar>
            <w:top w:w="0" w:type="dxa"/>
            <w:left w:w="0" w:type="dxa"/>
            <w:bottom w:w="0" w:type="dxa"/>
            <w:right w:w="0" w:type="dxa"/>
          </w:tblCellMar>
        </w:tblPrEx>
        <w:trPr>
          <w:trHeight w:val="182" w:hRule="atLeast"/>
        </w:trPr>
        <w:tc>
          <w:tcPr>
            <w:tcW w:w="483" w:type="pct"/>
            <w:vMerge w:val="continue"/>
            <w:tcBorders>
              <w:top w:val="single" w:color="auto" w:sz="4" w:space="0"/>
              <w:left w:val="nil"/>
              <w:bottom w:val="single" w:color="auto" w:sz="4" w:space="0"/>
              <w:right w:val="nil"/>
            </w:tcBorders>
            <w:vAlign w:val="center"/>
          </w:tcPr>
          <w:p>
            <w:pPr>
              <w:spacing w:before="0" w:after="0"/>
              <w:rPr>
                <w:rFonts w:eastAsia="宋体" w:cs="Times New Roman"/>
                <w:bCs/>
                <w:sz w:val="20"/>
                <w:szCs w:val="20"/>
                <w:vertAlign w:val="superscript"/>
                <w:lang w:eastAsia="zh-CN"/>
              </w:rPr>
            </w:pPr>
          </w:p>
        </w:tc>
        <w:tc>
          <w:tcPr>
            <w:tcW w:w="615" w:type="pct"/>
            <w:vMerge w:val="continue"/>
            <w:tcBorders>
              <w:top w:val="single" w:color="auto" w:sz="4" w:space="0"/>
              <w:left w:val="nil"/>
              <w:bottom w:val="single" w:color="auto" w:sz="4" w:space="0"/>
              <w:right w:val="nil"/>
            </w:tcBorders>
            <w:vAlign w:val="center"/>
          </w:tcPr>
          <w:p>
            <w:pPr>
              <w:spacing w:before="0" w:after="0"/>
              <w:rPr>
                <w:rFonts w:eastAsia="宋体" w:cs="Times New Roman"/>
                <w:bCs/>
                <w:kern w:val="2"/>
                <w:sz w:val="20"/>
                <w:szCs w:val="20"/>
                <w:lang w:eastAsia="zh-CN"/>
              </w:rPr>
            </w:pPr>
          </w:p>
        </w:tc>
        <w:tc>
          <w:tcPr>
            <w:tcW w:w="250"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0.125</w:t>
            </w:r>
          </w:p>
        </w:tc>
        <w:tc>
          <w:tcPr>
            <w:tcW w:w="199"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0.25</w:t>
            </w:r>
          </w:p>
        </w:tc>
        <w:tc>
          <w:tcPr>
            <w:tcW w:w="144" w:type="pct"/>
            <w:tcBorders>
              <w:top w:val="nil"/>
              <w:left w:val="nil"/>
              <w:bottom w:val="single" w:color="000000"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0.5</w:t>
            </w:r>
          </w:p>
        </w:tc>
        <w:tc>
          <w:tcPr>
            <w:tcW w:w="104"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1</w:t>
            </w:r>
          </w:p>
        </w:tc>
        <w:tc>
          <w:tcPr>
            <w:tcW w:w="90"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2</w:t>
            </w:r>
          </w:p>
        </w:tc>
        <w:tc>
          <w:tcPr>
            <w:tcW w:w="108"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4</w:t>
            </w:r>
          </w:p>
        </w:tc>
        <w:tc>
          <w:tcPr>
            <w:tcW w:w="108"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8</w:t>
            </w:r>
          </w:p>
        </w:tc>
        <w:tc>
          <w:tcPr>
            <w:tcW w:w="92"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16</w:t>
            </w:r>
          </w:p>
        </w:tc>
        <w:tc>
          <w:tcPr>
            <w:tcW w:w="125"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32</w:t>
            </w:r>
          </w:p>
        </w:tc>
        <w:tc>
          <w:tcPr>
            <w:tcW w:w="122"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64</w:t>
            </w:r>
          </w:p>
        </w:tc>
        <w:tc>
          <w:tcPr>
            <w:tcW w:w="186"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128</w:t>
            </w:r>
          </w:p>
        </w:tc>
        <w:tc>
          <w:tcPr>
            <w:tcW w:w="191"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256</w:t>
            </w:r>
          </w:p>
        </w:tc>
        <w:tc>
          <w:tcPr>
            <w:tcW w:w="200"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512</w:t>
            </w:r>
          </w:p>
        </w:tc>
        <w:tc>
          <w:tcPr>
            <w:tcW w:w="377"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
                <w:sz w:val="20"/>
                <w:szCs w:val="20"/>
                <w:lang w:eastAsia="zh-CN"/>
              </w:rPr>
            </w:pPr>
            <w:r>
              <w:rPr>
                <w:rFonts w:eastAsia="宋体" w:cs="Times New Roman"/>
                <w:b/>
                <w:color w:val="000000"/>
                <w:sz w:val="20"/>
                <w:szCs w:val="20"/>
                <w:lang w:eastAsia="zh-CN"/>
              </w:rPr>
              <w:t>1024</w:t>
            </w:r>
          </w:p>
        </w:tc>
        <w:tc>
          <w:tcPr>
            <w:tcW w:w="282" w:type="pct"/>
            <w:tcBorders>
              <w:top w:val="nil"/>
              <w:left w:val="nil"/>
              <w:bottom w:val="single" w:color="auto" w:sz="4" w:space="0"/>
              <w:right w:val="nil"/>
            </w:tcBorders>
            <w:tcMar>
              <w:top w:w="20" w:type="dxa"/>
              <w:left w:w="20" w:type="dxa"/>
              <w:bottom w:w="72" w:type="dxa"/>
              <w:right w:w="20" w:type="dxa"/>
            </w:tcMar>
            <w:vAlign w:val="center"/>
          </w:tcPr>
          <w:p>
            <w:pPr>
              <w:widowControl w:val="0"/>
              <w:spacing w:before="0" w:after="0"/>
              <w:jc w:val="center"/>
              <w:rPr>
                <w:rFonts w:eastAsia="宋体" w:cs="Times New Roman"/>
                <w:b/>
                <w:kern w:val="2"/>
                <w:sz w:val="20"/>
                <w:szCs w:val="20"/>
                <w:lang w:eastAsia="zh-CN"/>
              </w:rPr>
            </w:pPr>
            <w:r>
              <w:rPr>
                <w:rFonts w:eastAsia="宋体" w:cs="Times New Roman"/>
                <w:b/>
                <w:kern w:val="2"/>
                <w:sz w:val="20"/>
                <w:szCs w:val="20"/>
                <w:lang w:eastAsia="zh-CN"/>
              </w:rPr>
              <w:t>%</w:t>
            </w:r>
          </w:p>
        </w:tc>
        <w:tc>
          <w:tcPr>
            <w:tcW w:w="292" w:type="pct"/>
            <w:tcBorders>
              <w:top w:val="nil"/>
              <w:left w:val="nil"/>
              <w:bottom w:val="single" w:color="auto" w:sz="4" w:space="0"/>
              <w:right w:val="nil"/>
            </w:tcBorders>
            <w:tcMar>
              <w:top w:w="20" w:type="dxa"/>
              <w:left w:w="20" w:type="dxa"/>
              <w:bottom w:w="72" w:type="dxa"/>
              <w:right w:w="20" w:type="dxa"/>
            </w:tcMar>
            <w:vAlign w:val="center"/>
          </w:tcPr>
          <w:p>
            <w:pPr>
              <w:spacing w:before="0" w:after="0"/>
              <w:jc w:val="center"/>
              <w:textAlignment w:val="center"/>
              <w:rPr>
                <w:rFonts w:eastAsia="宋体" w:cs="Times New Roman"/>
                <w:b/>
                <w:color w:val="000000"/>
                <w:kern w:val="2"/>
                <w:sz w:val="20"/>
                <w:szCs w:val="20"/>
                <w:lang w:eastAsia="zh-CN"/>
              </w:rPr>
            </w:pPr>
            <w:r>
              <w:rPr>
                <w:rFonts w:eastAsia="宋体" w:cs="Times New Roman"/>
                <w:b/>
                <w:kern w:val="2"/>
                <w:sz w:val="20"/>
                <w:szCs w:val="20"/>
                <w:lang w:eastAsia="zh-CN"/>
              </w:rPr>
              <w:t>%</w:t>
            </w:r>
          </w:p>
        </w:tc>
        <w:tc>
          <w:tcPr>
            <w:tcW w:w="308" w:type="pct"/>
            <w:tcBorders>
              <w:top w:val="nil"/>
              <w:left w:val="nil"/>
              <w:bottom w:val="single" w:color="auto" w:sz="4" w:space="0"/>
              <w:right w:val="nil"/>
            </w:tcBorders>
            <w:tcMar>
              <w:top w:w="20" w:type="dxa"/>
              <w:left w:w="20" w:type="dxa"/>
              <w:bottom w:w="72" w:type="dxa"/>
              <w:right w:w="20" w:type="dxa"/>
            </w:tcMar>
            <w:vAlign w:val="center"/>
          </w:tcPr>
          <w:p>
            <w:pPr>
              <w:widowControl w:val="0"/>
              <w:spacing w:before="0" w:after="0"/>
              <w:jc w:val="center"/>
              <w:rPr>
                <w:rFonts w:eastAsia="宋体" w:cs="Times New Roman"/>
                <w:b/>
                <w:kern w:val="2"/>
                <w:sz w:val="20"/>
                <w:szCs w:val="20"/>
                <w:lang w:eastAsia="zh-CN"/>
              </w:rPr>
            </w:pPr>
            <w:r>
              <w:rPr>
                <w:rFonts w:eastAsia="宋体" w:cs="Times New Roman"/>
                <w:b/>
                <w:kern w:val="2"/>
                <w:sz w:val="20"/>
                <w:szCs w:val="20"/>
                <w:lang w:eastAsia="zh-CN"/>
              </w:rPr>
              <w:t>%</w:t>
            </w:r>
          </w:p>
        </w:tc>
        <w:tc>
          <w:tcPr>
            <w:tcW w:w="342" w:type="pct"/>
            <w:vMerge w:val="continue"/>
            <w:tcBorders>
              <w:top w:val="single" w:color="auto" w:sz="4" w:space="0"/>
              <w:left w:val="nil"/>
              <w:bottom w:val="single" w:color="auto" w:sz="4" w:space="0"/>
              <w:right w:val="nil"/>
            </w:tcBorders>
            <w:vAlign w:val="center"/>
          </w:tcPr>
          <w:p>
            <w:pPr>
              <w:spacing w:before="0" w:after="0"/>
              <w:rPr>
                <w:rFonts w:eastAsia="宋体" w:cs="Times New Roman"/>
                <w:color w:val="000000"/>
                <w:kern w:val="2"/>
                <w:sz w:val="20"/>
                <w:szCs w:val="20"/>
                <w:lang w:eastAsia="zh-CN"/>
              </w:rPr>
            </w:pPr>
          </w:p>
        </w:tc>
        <w:tc>
          <w:tcPr>
            <w:tcW w:w="371" w:type="pct"/>
            <w:vMerge w:val="continue"/>
            <w:tcBorders>
              <w:top w:val="single" w:color="auto" w:sz="4" w:space="0"/>
              <w:left w:val="nil"/>
              <w:bottom w:val="single" w:color="auto" w:sz="4" w:space="0"/>
              <w:right w:val="nil"/>
            </w:tcBorders>
            <w:vAlign w:val="center"/>
          </w:tcPr>
          <w:p>
            <w:pPr>
              <w:spacing w:before="0" w:after="0"/>
              <w:rPr>
                <w:rFonts w:eastAsia="宋体" w:cs="Times New Roman"/>
                <w:color w:val="000000"/>
                <w:kern w:val="2"/>
                <w:sz w:val="20"/>
                <w:szCs w:val="20"/>
                <w:lang w:eastAsia="zh-CN"/>
              </w:rPr>
            </w:pPr>
          </w:p>
        </w:tc>
      </w:tr>
      <w:tr>
        <w:tblPrEx>
          <w:tblCellMar>
            <w:top w:w="0" w:type="dxa"/>
            <w:left w:w="0" w:type="dxa"/>
            <w:bottom w:w="0" w:type="dxa"/>
            <w:right w:w="0" w:type="dxa"/>
          </w:tblCellMar>
        </w:tblPrEx>
        <w:trPr>
          <w:trHeight w:val="225" w:hRule="atLeast"/>
        </w:trPr>
        <w:tc>
          <w:tcPr>
            <w:tcW w:w="483" w:type="pct"/>
            <w:tcBorders>
              <w:top w:val="single" w:color="auto" w:sz="4" w:space="0"/>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AMP</w:t>
            </w:r>
          </w:p>
        </w:tc>
        <w:tc>
          <w:tcPr>
            <w:tcW w:w="615" w:type="pct"/>
            <w:tcBorders>
              <w:top w:val="single" w:color="auto" w:sz="4" w:space="0"/>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single" w:color="000000"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44" w:type="pct"/>
            <w:tcBorders>
              <w:top w:val="single" w:color="000000" w:sz="4" w:space="0"/>
              <w:left w:val="single" w:color="000000" w:sz="12" w:space="0"/>
              <w:bottom w:val="nil"/>
              <w:right w:val="double" w:color="000000" w:sz="12" w:space="0"/>
            </w:tcBorders>
            <w:tcMar>
              <w:top w:w="20" w:type="dxa"/>
              <w:left w:w="20" w:type="dxa"/>
              <w:bottom w:w="72" w:type="dxa"/>
              <w:right w:w="20" w:type="dxa"/>
            </w:tcMar>
            <w:vAlign w:val="center"/>
          </w:tcPr>
          <w:p>
            <w:pPr>
              <w:widowControl w:val="0"/>
              <w:spacing w:before="0" w:after="0"/>
              <w:rPr>
                <w:rFonts w:eastAsia="宋体" w:cs="Times New Roman"/>
                <w:kern w:val="2"/>
                <w:sz w:val="20"/>
                <w:szCs w:val="20"/>
                <w:lang w:eastAsia="zh-CN"/>
              </w:rPr>
            </w:pPr>
          </w:p>
        </w:tc>
        <w:tc>
          <w:tcPr>
            <w:tcW w:w="104" w:type="pct"/>
            <w:tcBorders>
              <w:top w:val="nil"/>
              <w:left w:val="double" w:color="000000"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14</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67</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83</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71</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0</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0</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100</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64</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＞128</w:t>
            </w:r>
          </w:p>
        </w:tc>
      </w:tr>
      <w:tr>
        <w:tblPrEx>
          <w:tblCellMar>
            <w:top w:w="0" w:type="dxa"/>
            <w:left w:w="0" w:type="dxa"/>
            <w:bottom w:w="0" w:type="dxa"/>
            <w:right w:w="0" w:type="dxa"/>
          </w:tblCellMar>
        </w:tblPrEx>
        <w:trPr>
          <w:trHeight w:val="90"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AMC</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0.25/0.12~128/64</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vertAlign w:val="superscript"/>
                <w:lang w:eastAsia="zh-CN"/>
              </w:rPr>
            </w:pPr>
            <w:r>
              <w:rPr>
                <w:rFonts w:eastAsia="宋体" w:cs="Times New Roman"/>
                <w:bCs/>
                <w:sz w:val="20"/>
                <w:szCs w:val="20"/>
                <w:lang w:eastAsia="zh-CN"/>
              </w:rPr>
              <w:t>5</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13</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112</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47</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c>
          <w:tcPr>
            <w:tcW w:w="108"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21</w:t>
            </w:r>
          </w:p>
        </w:tc>
        <w:tc>
          <w:tcPr>
            <w:tcW w:w="92"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sz w:val="20"/>
                <w:szCs w:val="20"/>
                <w:lang w:eastAsia="zh-CN"/>
              </w:rPr>
            </w:pPr>
            <w:r>
              <w:rPr>
                <w:rFonts w:eastAsia="宋体" w:cs="Times New Roman"/>
                <w:bCs/>
                <w:color w:val="000000"/>
                <w:sz w:val="20"/>
                <w:szCs w:val="20"/>
                <w:lang w:eastAsia="zh-CN"/>
              </w:rPr>
              <w:t>19</w:t>
            </w:r>
          </w:p>
        </w:tc>
        <w:tc>
          <w:tcPr>
            <w:tcW w:w="125" w:type="pct"/>
            <w:tcBorders>
              <w:top w:val="nil"/>
              <w:left w:val="double" w:color="auto" w:sz="12" w:space="0"/>
              <w:bottom w:val="nil"/>
              <w:right w:val="nil"/>
            </w:tcBorders>
            <w:tcMar>
              <w:top w:w="20" w:type="dxa"/>
              <w:left w:w="20" w:type="dxa"/>
              <w:bottom w:w="72" w:type="dxa"/>
              <w:right w:w="20" w:type="dxa"/>
            </w:tcMar>
            <w:vAlign w:val="center"/>
          </w:tcPr>
          <w:p>
            <w:pPr>
              <w:widowControl w:val="0"/>
              <w:spacing w:before="0" w:after="0"/>
              <w:jc w:val="center"/>
              <w:rPr>
                <w:rFonts w:eastAsia="宋体" w:cs="Times New Roman"/>
                <w:kern w:val="2"/>
                <w:sz w:val="20"/>
                <w:szCs w:val="20"/>
                <w:lang w:eastAsia="zh-CN"/>
              </w:rPr>
            </w:pPr>
            <w:r>
              <w:rPr>
                <w:rFonts w:eastAsia="宋体" w:cs="Times New Roman"/>
                <w:kern w:val="2"/>
                <w:sz w:val="20"/>
                <w:szCs w:val="20"/>
                <w:lang w:eastAsia="zh-CN"/>
              </w:rPr>
              <w:t>4</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89.54</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7.95</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2.51</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1/0.5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CEF</w:t>
            </w:r>
            <w:r>
              <w:rPr>
                <w:rFonts w:eastAsia="宋体" w:cs="Times New Roman"/>
                <w:bCs/>
                <w:color w:val="000000"/>
                <w:sz w:val="20"/>
                <w:szCs w:val="20"/>
                <w:vertAlign w:val="superscript"/>
                <w:lang w:eastAsia="zh-CN"/>
              </w:rPr>
              <w:t>c</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15</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90"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18</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88</w:t>
            </w:r>
          </w:p>
        </w:tc>
        <w:tc>
          <w:tcPr>
            <w:tcW w:w="108"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sz w:val="20"/>
                <w:szCs w:val="20"/>
                <w:lang w:eastAsia="zh-CN"/>
              </w:rPr>
            </w:pPr>
            <w:r>
              <w:rPr>
                <w:rFonts w:eastAsia="宋体" w:cs="Times New Roman"/>
                <w:bCs/>
                <w:color w:val="000000"/>
                <w:sz w:val="20"/>
                <w:szCs w:val="20"/>
                <w:lang w:eastAsia="zh-CN"/>
              </w:rPr>
              <w:t>57</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11</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4</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25</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15.90</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36.82</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47.28</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EFT</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68</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101</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33</w:t>
            </w:r>
          </w:p>
        </w:tc>
        <w:tc>
          <w:tcPr>
            <w:tcW w:w="90"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108"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7</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15</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85.77</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1.26</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12.97</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color w:val="000000"/>
                <w:sz w:val="20"/>
                <w:szCs w:val="20"/>
                <w:lang w:eastAsia="zh-CN"/>
              </w:rPr>
            </w:pPr>
            <w:r>
              <w:rPr>
                <w:rFonts w:eastAsia="宋体" w:cs="Times New Roman"/>
                <w:bCs/>
                <w:color w:val="000000"/>
                <w:sz w:val="20"/>
                <w:szCs w:val="20"/>
                <w:lang w:eastAsia="zh-CN"/>
              </w:rPr>
              <w:t>CRO</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color w:val="000000"/>
                <w:sz w:val="20"/>
                <w:szCs w:val="20"/>
                <w:lang w:eastAsia="zh-CN"/>
              </w:rPr>
            </w:pPr>
            <w:r>
              <w:rPr>
                <w:rFonts w:eastAsia="宋体" w:cs="Times New Roman"/>
                <w:bCs/>
                <w:color w:val="000000"/>
                <w:sz w:val="20"/>
                <w:szCs w:val="20"/>
                <w:lang w:eastAsia="zh-CN"/>
              </w:rPr>
              <w:t>201</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4"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90"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8"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4</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4</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18</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84.94</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sz w:val="20"/>
                <w:szCs w:val="20"/>
                <w:lang w:eastAsia="zh-CN"/>
              </w:rPr>
            </w:pPr>
            <w:r>
              <w:rPr>
                <w:rFonts w:eastAsia="宋体" w:cs="Times New Roman"/>
                <w:color w:val="000000"/>
                <w:sz w:val="20"/>
                <w:szCs w:val="20"/>
                <w:lang w:eastAsia="zh-CN"/>
              </w:rPr>
              <w:t>0.42</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sz w:val="20"/>
                <w:szCs w:val="20"/>
                <w:lang w:eastAsia="zh-CN"/>
              </w:rPr>
            </w:pPr>
            <w:r>
              <w:rPr>
                <w:rFonts w:eastAsia="宋体" w:cs="Times New Roman"/>
                <w:color w:val="000000"/>
                <w:sz w:val="20"/>
                <w:szCs w:val="20"/>
                <w:lang w:eastAsia="zh-CN"/>
              </w:rPr>
              <w:t>14.64</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color w:val="000000"/>
                <w:sz w:val="20"/>
                <w:szCs w:val="20"/>
                <w:lang w:eastAsia="zh-CN"/>
              </w:rPr>
            </w:pPr>
            <w:r>
              <w:rPr>
                <w:rFonts w:eastAsia="宋体" w:cs="Times New Roman"/>
                <w:bCs/>
                <w:color w:val="000000"/>
                <w:sz w:val="20"/>
                <w:szCs w:val="20"/>
                <w:lang w:eastAsia="zh-CN"/>
              </w:rPr>
              <w:t>≤0.25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color w:val="000000"/>
                <w:sz w:val="20"/>
                <w:szCs w:val="20"/>
                <w:lang w:eastAsia="zh-CN"/>
              </w:rPr>
            </w:pPr>
            <w:r>
              <w:rPr>
                <w:rFonts w:eastAsia="宋体" w:cs="Times New Roman"/>
                <w:bCs/>
                <w:color w:val="000000"/>
                <w:sz w:val="20"/>
                <w:szCs w:val="20"/>
                <w:lang w:eastAsia="zh-CN"/>
              </w:rPr>
              <w:t>32</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MEM</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237</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4"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90"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8"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99.16</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0.42</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0.42</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≤0.25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≤0.25</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STR</w:t>
            </w:r>
            <w:r>
              <w:rPr>
                <w:rFonts w:eastAsia="宋体" w:cs="Times New Roman"/>
                <w:bCs/>
                <w:color w:val="000000"/>
                <w:sz w:val="20"/>
                <w:szCs w:val="20"/>
                <w:vertAlign w:val="superscript"/>
                <w:lang w:eastAsia="zh-CN"/>
              </w:rPr>
              <w:t>d</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28</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4</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77</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14</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w:t>
            </w:r>
          </w:p>
        </w:tc>
        <w:tc>
          <w:tcPr>
            <w:tcW w:w="92"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9</w:t>
            </w:r>
          </w:p>
        </w:tc>
        <w:tc>
          <w:tcPr>
            <w:tcW w:w="125"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sz w:val="20"/>
                <w:szCs w:val="20"/>
                <w:lang w:eastAsia="zh-CN"/>
              </w:rPr>
            </w:pPr>
            <w:r>
              <w:rPr>
                <w:rFonts w:eastAsia="宋体" w:cs="Times New Roman"/>
                <w:bCs/>
                <w:color w:val="000000"/>
                <w:sz w:val="20"/>
                <w:szCs w:val="20"/>
                <w:lang w:eastAsia="zh-CN"/>
              </w:rPr>
              <w:t>13</w:t>
            </w:r>
          </w:p>
        </w:tc>
        <w:tc>
          <w:tcPr>
            <w:tcW w:w="12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13</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59</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64.44</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5.44</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30.13</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&gt;128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KAN</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0.5~256</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30</w:t>
            </w:r>
            <w:r>
              <w:rPr>
                <w:rFonts w:hint="eastAsia" w:eastAsia="宋体" w:cs="Times New Roman"/>
                <w:bCs/>
                <w:sz w:val="20"/>
                <w:szCs w:val="20"/>
                <w:vertAlign w:val="superscript"/>
                <w:lang w:eastAsia="zh-CN"/>
              </w:rPr>
              <w:t>b</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86</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45</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29</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w:t>
            </w:r>
          </w:p>
        </w:tc>
        <w:tc>
          <w:tcPr>
            <w:tcW w:w="92"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w:t>
            </w:r>
          </w:p>
        </w:tc>
        <w:tc>
          <w:tcPr>
            <w:tcW w:w="125"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w:t>
            </w:r>
          </w:p>
        </w:tc>
        <w:tc>
          <w:tcPr>
            <w:tcW w:w="12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10</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vertAlign w:val="superscript"/>
                <w:lang w:eastAsia="zh-CN"/>
              </w:rPr>
            </w:pPr>
            <w:r>
              <w:rPr>
                <w:rFonts w:eastAsia="宋体" w:cs="Times New Roman"/>
                <w:bCs/>
                <w:color w:val="000000"/>
                <w:sz w:val="20"/>
                <w:szCs w:val="20"/>
                <w:lang w:eastAsia="zh-CN"/>
              </w:rPr>
              <w:t>21</w:t>
            </w:r>
            <w:r>
              <w:rPr>
                <w:rFonts w:hint="eastAsia" w:eastAsia="宋体" w:cs="Times New Roman"/>
                <w:bCs/>
                <w:color w:val="000000"/>
                <w:sz w:val="20"/>
                <w:szCs w:val="20"/>
                <w:vertAlign w:val="superscript"/>
                <w:lang w:eastAsia="zh-CN"/>
              </w:rPr>
              <w:t>a</w:t>
            </w: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83.26</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1.67</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15.06</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GEN</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138</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24</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10</w:t>
            </w:r>
          </w:p>
        </w:tc>
        <w:tc>
          <w:tcPr>
            <w:tcW w:w="108"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w:t>
            </w:r>
          </w:p>
        </w:tc>
        <w:tc>
          <w:tcPr>
            <w:tcW w:w="9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19</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24</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76.57</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1.67</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21.76</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≤0.25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32</w:t>
            </w:r>
          </w:p>
        </w:tc>
      </w:tr>
      <w:tr>
        <w:tblPrEx>
          <w:tblCellMar>
            <w:top w:w="0" w:type="dxa"/>
            <w:left w:w="0" w:type="dxa"/>
            <w:bottom w:w="0" w:type="dxa"/>
            <w:right w:w="0" w:type="dxa"/>
          </w:tblCellMar>
        </w:tblPrEx>
        <w:trPr>
          <w:trHeight w:val="399"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TET</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64</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77</w:t>
            </w:r>
          </w:p>
        </w:tc>
        <w:tc>
          <w:tcPr>
            <w:tcW w:w="108"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28</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9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9</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22</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26</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72.80</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2.09</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25.10</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DOX</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18</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20</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62</w:t>
            </w:r>
          </w:p>
        </w:tc>
        <w:tc>
          <w:tcPr>
            <w:tcW w:w="108"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16</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72</w:t>
            </w:r>
          </w:p>
        </w:tc>
        <w:tc>
          <w:tcPr>
            <w:tcW w:w="9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38</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10</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49.37</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30.13</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20.50</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FFC</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83</w:t>
            </w:r>
          </w:p>
        </w:tc>
        <w:tc>
          <w:tcPr>
            <w:tcW w:w="108"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82</w:t>
            </w:r>
          </w:p>
        </w:tc>
        <w:tc>
          <w:tcPr>
            <w:tcW w:w="108"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c>
          <w:tcPr>
            <w:tcW w:w="92"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38</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73.22</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6.69</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20.50</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&gt;128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CT</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112</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36</w:t>
            </w: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74</w:t>
            </w:r>
          </w:p>
        </w:tc>
        <w:tc>
          <w:tcPr>
            <w:tcW w:w="90" w:type="pct"/>
            <w:tcBorders>
              <w:top w:val="nil"/>
              <w:left w:val="nil"/>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w:t>
            </w:r>
          </w:p>
        </w:tc>
        <w:tc>
          <w:tcPr>
            <w:tcW w:w="108"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kern w:val="2"/>
                <w:sz w:val="20"/>
                <w:szCs w:val="20"/>
                <w:lang w:eastAsia="zh-CN"/>
              </w:rPr>
              <w:t>99.58</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0 </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0.42</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RFX</w:t>
            </w:r>
            <w:r>
              <w:rPr>
                <w:rFonts w:eastAsia="宋体" w:cs="Times New Roman"/>
                <w:bCs/>
                <w:color w:val="000000"/>
                <w:sz w:val="20"/>
                <w:szCs w:val="20"/>
                <w:vertAlign w:val="superscript"/>
                <w:lang w:eastAsia="zh-CN"/>
              </w:rPr>
              <w:t>e</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r>
              <w:rPr>
                <w:rFonts w:hint="eastAsia" w:eastAsia="宋体" w:cs="Times New Roman"/>
                <w:bCs/>
                <w:sz w:val="20"/>
                <w:szCs w:val="20"/>
                <w:vertAlign w:val="superscript"/>
                <w:lang w:eastAsia="zh-CN"/>
              </w:rPr>
              <w:t>b</w:t>
            </w: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4</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28</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89</w:t>
            </w:r>
          </w:p>
        </w:tc>
        <w:tc>
          <w:tcPr>
            <w:tcW w:w="122" w:type="pct"/>
            <w:tcBorders>
              <w:top w:val="nil"/>
              <w:left w:val="nil"/>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73</w:t>
            </w:r>
          </w:p>
        </w:tc>
        <w:tc>
          <w:tcPr>
            <w:tcW w:w="186"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39</w:t>
            </w:r>
            <w:r>
              <w:rPr>
                <w:rFonts w:eastAsia="宋体" w:cs="Times New Roman"/>
                <w:bCs/>
                <w:color w:val="000000"/>
                <w:sz w:val="20"/>
                <w:szCs w:val="20"/>
                <w:vertAlign w:val="superscript"/>
                <w:lang w:eastAsia="zh-CN"/>
              </w:rPr>
              <w:t>a</w:t>
            </w: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widowControl w:val="0"/>
              <w:spacing w:before="0" w:after="0"/>
              <w:jc w:val="center"/>
              <w:rPr>
                <w:rFonts w:eastAsia="宋体" w:cs="Times New Roman"/>
                <w:bCs/>
                <w:kern w:val="2"/>
                <w:sz w:val="20"/>
                <w:szCs w:val="20"/>
                <w:lang w:eastAsia="zh-CN"/>
              </w:rPr>
            </w:pPr>
            <w:r>
              <w:rPr>
                <w:rFonts w:eastAsia="宋体" w:cs="Times New Roman"/>
                <w:color w:val="000000"/>
                <w:kern w:val="2"/>
                <w:sz w:val="20"/>
                <w:szCs w:val="20"/>
                <w:lang w:eastAsia="zh-CN"/>
              </w:rPr>
              <w:t>-</w:t>
            </w:r>
          </w:p>
        </w:tc>
        <w:tc>
          <w:tcPr>
            <w:tcW w:w="292" w:type="pct"/>
            <w:tcBorders>
              <w:top w:val="nil"/>
              <w:left w:val="nil"/>
              <w:bottom w:val="nil"/>
              <w:right w:val="nil"/>
            </w:tcBorders>
            <w:tcMar>
              <w:top w:w="20" w:type="dxa"/>
              <w:left w:w="20" w:type="dxa"/>
              <w:bottom w:w="72" w:type="dxa"/>
              <w:right w:w="20" w:type="dxa"/>
            </w:tcMar>
            <w:vAlign w:val="center"/>
          </w:tcPr>
          <w:p>
            <w:pPr>
              <w:widowControl w:val="0"/>
              <w:spacing w:before="0" w:after="0"/>
              <w:jc w:val="center"/>
              <w:rPr>
                <w:rFonts w:eastAsia="宋体" w:cs="Times New Roman"/>
                <w:color w:val="000000"/>
                <w:kern w:val="2"/>
                <w:sz w:val="20"/>
                <w:szCs w:val="20"/>
                <w:lang w:eastAsia="zh-CN"/>
              </w:rPr>
            </w:pPr>
            <w:r>
              <w:rPr>
                <w:rFonts w:eastAsia="宋体" w:cs="Times New Roman"/>
                <w:color w:val="000000"/>
                <w:kern w:val="2"/>
                <w:sz w:val="20"/>
                <w:szCs w:val="20"/>
                <w:lang w:eastAsia="zh-CN"/>
              </w:rPr>
              <w:t>-</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kern w:val="2"/>
                <w:sz w:val="20"/>
                <w:szCs w:val="20"/>
                <w:lang w:eastAsia="zh-CN"/>
              </w:rPr>
              <w:t>16.32</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32</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128</w:t>
            </w:r>
          </w:p>
        </w:tc>
      </w:tr>
      <w:tr>
        <w:tblPrEx>
          <w:tblCellMar>
            <w:top w:w="0" w:type="dxa"/>
            <w:left w:w="0" w:type="dxa"/>
            <w:bottom w:w="0" w:type="dxa"/>
            <w:right w:w="0" w:type="dxa"/>
          </w:tblCellMar>
        </w:tblPrEx>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CIP</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0.25~128</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sing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169</w:t>
            </w:r>
            <w:r>
              <w:rPr>
                <w:rFonts w:hint="eastAsia" w:eastAsia="宋体" w:cs="Times New Roman"/>
                <w:bCs/>
                <w:sz w:val="20"/>
                <w:szCs w:val="20"/>
                <w:vertAlign w:val="superscript"/>
                <w:lang w:eastAsia="zh-CN"/>
              </w:rPr>
              <w:t>b</w:t>
            </w:r>
          </w:p>
        </w:tc>
        <w:tc>
          <w:tcPr>
            <w:tcW w:w="144" w:type="pct"/>
            <w:tcBorders>
              <w:top w:val="nil"/>
              <w:left w:val="single" w:color="auto" w:sz="12" w:space="0"/>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41</w:t>
            </w:r>
          </w:p>
        </w:tc>
        <w:tc>
          <w:tcPr>
            <w:tcW w:w="104"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10</w:t>
            </w: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6</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5</w:t>
            </w: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8</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sz w:val="20"/>
                <w:szCs w:val="20"/>
                <w:lang w:eastAsia="zh-CN"/>
              </w:rPr>
              <w:t>70.71</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17.15</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12.55</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≤0.25</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w:t>
            </w:r>
          </w:p>
        </w:tc>
      </w:tr>
      <w:tr>
        <w:trPr>
          <w:trHeight w:val="255" w:hRule="atLeast"/>
        </w:trPr>
        <w:tc>
          <w:tcPr>
            <w:tcW w:w="483"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SOX</w:t>
            </w:r>
          </w:p>
        </w:tc>
        <w:tc>
          <w:tcPr>
            <w:tcW w:w="61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2~1024</w:t>
            </w:r>
          </w:p>
        </w:tc>
        <w:tc>
          <w:tcPr>
            <w:tcW w:w="25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9"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4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4"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90"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08"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2</w:t>
            </w:r>
          </w:p>
        </w:tc>
        <w:tc>
          <w:tcPr>
            <w:tcW w:w="9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w:t>
            </w:r>
          </w:p>
        </w:tc>
        <w:tc>
          <w:tcPr>
            <w:tcW w:w="125"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2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86"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w:t>
            </w:r>
          </w:p>
        </w:tc>
        <w:tc>
          <w:tcPr>
            <w:tcW w:w="191" w:type="pct"/>
            <w:tcBorders>
              <w:top w:val="nil"/>
              <w:left w:val="nil"/>
              <w:bottom w:val="nil"/>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3</w:t>
            </w:r>
          </w:p>
        </w:tc>
        <w:tc>
          <w:tcPr>
            <w:tcW w:w="200" w:type="pct"/>
            <w:tcBorders>
              <w:top w:val="nil"/>
              <w:left w:val="double" w:color="auto" w:sz="12" w:space="0"/>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p>
        </w:tc>
        <w:tc>
          <w:tcPr>
            <w:tcW w:w="377"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vertAlign w:val="superscript"/>
                <w:lang w:eastAsia="zh-CN"/>
              </w:rPr>
            </w:pPr>
            <w:r>
              <w:rPr>
                <w:rFonts w:eastAsia="宋体" w:cs="Times New Roman"/>
                <w:bCs/>
                <w:color w:val="000000"/>
                <w:sz w:val="20"/>
                <w:szCs w:val="20"/>
                <w:lang w:eastAsia="zh-CN"/>
              </w:rPr>
              <w:t>224</w:t>
            </w:r>
            <w:r>
              <w:rPr>
                <w:rFonts w:hint="eastAsia" w:eastAsia="宋体" w:cs="Times New Roman"/>
                <w:bCs/>
                <w:color w:val="000000"/>
                <w:sz w:val="20"/>
                <w:szCs w:val="20"/>
                <w:vertAlign w:val="superscript"/>
                <w:lang w:eastAsia="zh-CN"/>
              </w:rPr>
              <w:t>a</w:t>
            </w:r>
          </w:p>
        </w:tc>
        <w:tc>
          <w:tcPr>
            <w:tcW w:w="28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sz w:val="20"/>
                <w:szCs w:val="20"/>
                <w:lang w:eastAsia="zh-CN"/>
              </w:rPr>
              <w:t>5.44</w:t>
            </w:r>
          </w:p>
        </w:tc>
        <w:tc>
          <w:tcPr>
            <w:tcW w:w="292"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w:t>
            </w:r>
          </w:p>
        </w:tc>
        <w:tc>
          <w:tcPr>
            <w:tcW w:w="308" w:type="pct"/>
            <w:tcBorders>
              <w:top w:val="nil"/>
              <w:left w:val="nil"/>
              <w:bottom w:val="nil"/>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94.56</w:t>
            </w:r>
          </w:p>
        </w:tc>
        <w:tc>
          <w:tcPr>
            <w:tcW w:w="342"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&gt;1024</w:t>
            </w:r>
          </w:p>
        </w:tc>
        <w:tc>
          <w:tcPr>
            <w:tcW w:w="371" w:type="pct"/>
            <w:tcBorders>
              <w:top w:val="nil"/>
              <w:left w:val="nil"/>
              <w:bottom w:val="nil"/>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&gt;1024</w:t>
            </w:r>
          </w:p>
        </w:tc>
      </w:tr>
      <w:tr>
        <w:tblPrEx>
          <w:tblCellMar>
            <w:top w:w="0" w:type="dxa"/>
            <w:left w:w="0" w:type="dxa"/>
            <w:bottom w:w="0" w:type="dxa"/>
            <w:right w:w="0" w:type="dxa"/>
          </w:tblCellMar>
        </w:tblPrEx>
        <w:trPr>
          <w:trHeight w:val="255" w:hRule="atLeast"/>
        </w:trPr>
        <w:tc>
          <w:tcPr>
            <w:tcW w:w="483"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SXT</w:t>
            </w:r>
          </w:p>
        </w:tc>
        <w:tc>
          <w:tcPr>
            <w:tcW w:w="615"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color w:val="000000"/>
                <w:sz w:val="20"/>
                <w:szCs w:val="20"/>
                <w:lang w:eastAsia="zh-CN"/>
              </w:rPr>
            </w:pPr>
            <w:r>
              <w:rPr>
                <w:rFonts w:eastAsia="宋体" w:cs="Times New Roman"/>
                <w:bCs/>
                <w:color w:val="000000"/>
                <w:sz w:val="20"/>
                <w:szCs w:val="20"/>
                <w:lang w:eastAsia="zh-CN"/>
              </w:rPr>
              <w:t>0.12/2.4~64/1216</w:t>
            </w:r>
          </w:p>
        </w:tc>
        <w:tc>
          <w:tcPr>
            <w:tcW w:w="250"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vertAlign w:val="superscript"/>
                <w:lang w:eastAsia="zh-CN"/>
              </w:rPr>
            </w:pPr>
            <w:r>
              <w:rPr>
                <w:rFonts w:eastAsia="宋体" w:cs="Times New Roman"/>
                <w:bCs/>
                <w:color w:val="000000"/>
                <w:sz w:val="20"/>
                <w:szCs w:val="20"/>
                <w:lang w:eastAsia="zh-CN"/>
              </w:rPr>
              <w:t>121</w:t>
            </w:r>
            <w:r>
              <w:rPr>
                <w:rFonts w:hint="eastAsia" w:eastAsia="宋体" w:cs="Times New Roman"/>
                <w:bCs/>
                <w:color w:val="000000"/>
                <w:sz w:val="20"/>
                <w:szCs w:val="20"/>
                <w:vertAlign w:val="superscript"/>
                <w:lang w:eastAsia="zh-CN"/>
              </w:rPr>
              <w:t>b</w:t>
            </w:r>
          </w:p>
        </w:tc>
        <w:tc>
          <w:tcPr>
            <w:tcW w:w="199"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45</w:t>
            </w:r>
          </w:p>
        </w:tc>
        <w:tc>
          <w:tcPr>
            <w:tcW w:w="144"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17</w:t>
            </w:r>
          </w:p>
        </w:tc>
        <w:tc>
          <w:tcPr>
            <w:tcW w:w="104"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7</w:t>
            </w:r>
          </w:p>
        </w:tc>
        <w:tc>
          <w:tcPr>
            <w:tcW w:w="90" w:type="pct"/>
            <w:tcBorders>
              <w:top w:val="nil"/>
              <w:left w:val="nil"/>
              <w:bottom w:val="single" w:color="auto" w:sz="4" w:space="0"/>
              <w:right w:val="double" w:color="auto" w:sz="12" w:space="0"/>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108" w:type="pct"/>
            <w:tcBorders>
              <w:top w:val="nil"/>
              <w:left w:val="double" w:color="auto" w:sz="12" w:space="0"/>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2</w:t>
            </w:r>
          </w:p>
        </w:tc>
        <w:tc>
          <w:tcPr>
            <w:tcW w:w="108"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1</w:t>
            </w:r>
          </w:p>
        </w:tc>
        <w:tc>
          <w:tcPr>
            <w:tcW w:w="92"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sz w:val="20"/>
                <w:szCs w:val="20"/>
                <w:lang w:eastAsia="zh-CN"/>
              </w:rPr>
              <w:t>3</w:t>
            </w:r>
          </w:p>
        </w:tc>
        <w:tc>
          <w:tcPr>
            <w:tcW w:w="125"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22"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42</w:t>
            </w:r>
            <w:r>
              <w:rPr>
                <w:rFonts w:eastAsia="宋体" w:cs="Times New Roman"/>
                <w:bCs/>
                <w:color w:val="000000"/>
                <w:sz w:val="20"/>
                <w:szCs w:val="20"/>
                <w:vertAlign w:val="superscript"/>
                <w:lang w:eastAsia="zh-CN"/>
              </w:rPr>
              <w:t>a</w:t>
            </w:r>
          </w:p>
        </w:tc>
        <w:tc>
          <w:tcPr>
            <w:tcW w:w="186"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191"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00"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377"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p>
        </w:tc>
        <w:tc>
          <w:tcPr>
            <w:tcW w:w="282" w:type="pct"/>
            <w:tcBorders>
              <w:top w:val="nil"/>
              <w:left w:val="nil"/>
              <w:bottom w:val="single" w:color="auto" w:sz="4" w:space="0"/>
              <w:right w:val="nil"/>
            </w:tcBorders>
            <w:tcMar>
              <w:top w:w="20" w:type="dxa"/>
              <w:left w:w="20" w:type="dxa"/>
              <w:bottom w:w="72" w:type="dxa"/>
              <w:right w:w="20" w:type="dxa"/>
            </w:tcMar>
            <w:vAlign w:val="center"/>
          </w:tcPr>
          <w:p>
            <w:pPr>
              <w:spacing w:before="0" w:after="0"/>
              <w:jc w:val="center"/>
              <w:textAlignment w:val="center"/>
              <w:rPr>
                <w:rFonts w:eastAsia="宋体" w:cs="Times New Roman"/>
                <w:bCs/>
                <w:kern w:val="2"/>
                <w:sz w:val="20"/>
                <w:szCs w:val="20"/>
                <w:lang w:eastAsia="zh-CN"/>
              </w:rPr>
            </w:pPr>
            <w:r>
              <w:rPr>
                <w:rFonts w:eastAsia="宋体" w:cs="Times New Roman"/>
                <w:color w:val="000000"/>
                <w:sz w:val="20"/>
                <w:szCs w:val="20"/>
                <w:lang w:eastAsia="zh-CN"/>
              </w:rPr>
              <w:t>79.92</w:t>
            </w:r>
          </w:p>
        </w:tc>
        <w:tc>
          <w:tcPr>
            <w:tcW w:w="292" w:type="pct"/>
            <w:tcBorders>
              <w:top w:val="nil"/>
              <w:left w:val="nil"/>
              <w:bottom w:val="single" w:color="auto" w:sz="4" w:space="0"/>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0</w:t>
            </w:r>
          </w:p>
        </w:tc>
        <w:tc>
          <w:tcPr>
            <w:tcW w:w="308" w:type="pct"/>
            <w:tcBorders>
              <w:top w:val="nil"/>
              <w:left w:val="nil"/>
              <w:bottom w:val="single" w:color="auto" w:sz="4" w:space="0"/>
              <w:right w:val="nil"/>
            </w:tcBorders>
            <w:tcMar>
              <w:top w:w="20" w:type="dxa"/>
              <w:left w:w="20" w:type="dxa"/>
              <w:bottom w:w="72" w:type="dxa"/>
              <w:right w:w="20" w:type="dxa"/>
            </w:tcMar>
            <w:vAlign w:val="center"/>
          </w:tcPr>
          <w:p>
            <w:pPr>
              <w:spacing w:before="0" w:after="0"/>
              <w:jc w:val="center"/>
              <w:textAlignment w:val="center"/>
              <w:rPr>
                <w:rFonts w:eastAsia="宋体" w:cs="Times New Roman"/>
                <w:color w:val="000000"/>
                <w:kern w:val="2"/>
                <w:sz w:val="20"/>
                <w:szCs w:val="20"/>
                <w:lang w:eastAsia="zh-CN"/>
              </w:rPr>
            </w:pPr>
            <w:r>
              <w:rPr>
                <w:rFonts w:eastAsia="宋体" w:cs="Times New Roman"/>
                <w:color w:val="000000"/>
                <w:sz w:val="20"/>
                <w:szCs w:val="20"/>
                <w:lang w:eastAsia="zh-CN"/>
              </w:rPr>
              <w:t>20.08</w:t>
            </w:r>
          </w:p>
        </w:tc>
        <w:tc>
          <w:tcPr>
            <w:tcW w:w="342"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≤0.12/2.4</w:t>
            </w:r>
          </w:p>
        </w:tc>
        <w:tc>
          <w:tcPr>
            <w:tcW w:w="371" w:type="pct"/>
            <w:tcBorders>
              <w:top w:val="nil"/>
              <w:left w:val="nil"/>
              <w:bottom w:val="single" w:color="auto" w:sz="4" w:space="0"/>
              <w:right w:val="nil"/>
            </w:tcBorders>
            <w:tcMar>
              <w:top w:w="20" w:type="dxa"/>
              <w:left w:w="20" w:type="dxa"/>
              <w:bottom w:w="72" w:type="dxa"/>
              <w:right w:w="20" w:type="dxa"/>
            </w:tcMar>
            <w:vAlign w:val="center"/>
          </w:tcPr>
          <w:p>
            <w:pPr>
              <w:spacing w:before="100" w:beforeAutospacing="1" w:after="100" w:afterAutospacing="1"/>
              <w:jc w:val="center"/>
              <w:rPr>
                <w:rFonts w:eastAsia="宋体" w:cs="Times New Roman"/>
                <w:bCs/>
                <w:sz w:val="20"/>
                <w:szCs w:val="20"/>
                <w:lang w:eastAsia="zh-CN"/>
              </w:rPr>
            </w:pPr>
            <w:r>
              <w:rPr>
                <w:rFonts w:eastAsia="宋体" w:cs="Times New Roman"/>
                <w:bCs/>
                <w:color w:val="000000"/>
                <w:sz w:val="20"/>
                <w:szCs w:val="20"/>
                <w:lang w:eastAsia="zh-CN"/>
              </w:rPr>
              <w:t>64/1216</w:t>
            </w:r>
          </w:p>
        </w:tc>
      </w:tr>
    </w:tbl>
    <w:p>
      <w:pPr>
        <w:rPr>
          <w:rFonts w:cs="Times New Roman"/>
          <w:color w:val="000000"/>
        </w:rPr>
        <w:sectPr>
          <w:type w:val="continuous"/>
          <w:pgSz w:w="16838" w:h="11906" w:orient="landscape"/>
          <w:pgMar w:top="1800" w:right="1440" w:bottom="1800" w:left="1440" w:header="851" w:footer="992" w:gutter="0"/>
          <w:cols w:space="720" w:num="1"/>
          <w:docGrid w:type="lines" w:linePitch="326" w:charSpace="0"/>
        </w:sectPr>
      </w:pPr>
    </w:p>
    <w:p>
      <w:pPr>
        <w:pStyle w:val="17"/>
        <w:spacing w:before="145" w:beforeAutospacing="0" w:after="145" w:afterAutospacing="0" w:line="360" w:lineRule="auto"/>
        <w:rPr>
          <w:color w:val="000000"/>
        </w:rPr>
      </w:pPr>
      <w:r>
        <w:rPr>
          <w:color w:val="000000"/>
        </w:rPr>
        <w:t xml:space="preserve">Note: AMP=ampicillin; AMC=amoxicillin/clavulanic acid; CEF=cephalothin; EFT=ceftiofur; CRO=ceftriaxone; MEM=meropenem; STR=streptomycin; KAN=kanamycin; GEN=gentamicin; TET=tetracycline; DOX=doxycycline; FFC=florfenicol; CT=colistin; RFX=rifaximin; CIP=ciprofloxacin; SOX=sulfisoxazole; SXT=sulfamethoxazole/trimethoprim. </w:t>
      </w:r>
    </w:p>
    <w:p>
      <w:pPr>
        <w:pStyle w:val="17"/>
        <w:spacing w:before="145" w:beforeAutospacing="0" w:after="145" w:afterAutospacing="0" w:line="360" w:lineRule="auto"/>
        <w:rPr>
          <w:rFonts w:eastAsia="宋体"/>
          <w:color w:val="auto"/>
          <w:lang w:eastAsia="zh-CN"/>
        </w:rPr>
      </w:pPr>
      <w:r>
        <w:rPr>
          <w:rFonts w:hint="eastAsia"/>
          <w:color w:val="auto"/>
        </w:rPr>
        <w:t>The left side of the single vertical line</w:t>
      </w:r>
      <w:r>
        <w:rPr>
          <w:rFonts w:hint="eastAsia" w:eastAsia="宋体"/>
          <w:color w:val="auto"/>
          <w:lang w:eastAsia="zh-CN"/>
        </w:rPr>
        <w:t xml:space="preserve"> (</w:t>
      </w:r>
      <w:r>
        <w:rPr>
          <w:rFonts w:eastAsia="宋体"/>
          <w:color w:val="auto"/>
          <w:lang w:eastAsia="zh-CN"/>
        </w:rPr>
        <w:t>“</w:t>
      </w:r>
      <w:r>
        <w:rPr>
          <w:rFonts w:eastAsia="微软雅黑"/>
          <w:color w:val="auto"/>
        </w:rPr>
        <w:t>│</w:t>
      </w:r>
      <w:r>
        <w:rPr>
          <w:rFonts w:eastAsia="微软雅黑"/>
          <w:color w:val="auto"/>
          <w:lang w:eastAsia="zh-CN"/>
        </w:rPr>
        <w:t>”</w:t>
      </w:r>
      <w:r>
        <w:rPr>
          <w:rFonts w:hint="eastAsia" w:eastAsia="宋体"/>
          <w:color w:val="auto"/>
          <w:lang w:eastAsia="zh-CN"/>
        </w:rPr>
        <w:t>)</w:t>
      </w:r>
      <w:r>
        <w:rPr>
          <w:rFonts w:hint="eastAsia"/>
          <w:color w:val="auto"/>
        </w:rPr>
        <w:t xml:space="preserve"> in the distribution</w:t>
      </w:r>
      <w:r>
        <w:rPr>
          <w:rFonts w:hint="eastAsia" w:eastAsia="宋体"/>
          <w:color w:val="auto"/>
          <w:lang w:eastAsia="zh-CN"/>
        </w:rPr>
        <w:t xml:space="preserve"> of </w:t>
      </w:r>
      <w:r>
        <w:rPr>
          <w:rFonts w:hint="eastAsia"/>
          <w:color w:val="auto"/>
        </w:rPr>
        <w:t>MIC</w:t>
      </w:r>
      <w:r>
        <w:rPr>
          <w:rFonts w:hint="eastAsia" w:eastAsia="宋体"/>
          <w:color w:val="auto"/>
          <w:lang w:eastAsia="zh-CN"/>
        </w:rPr>
        <w:t xml:space="preserve">s </w:t>
      </w:r>
      <w:r>
        <w:rPr>
          <w:rFonts w:hint="eastAsia"/>
          <w:color w:val="auto"/>
        </w:rPr>
        <w:t>indicates the sensitivity range</w:t>
      </w:r>
      <w:r>
        <w:rPr>
          <w:rFonts w:hint="eastAsia" w:eastAsia="宋体"/>
          <w:color w:val="auto"/>
          <w:lang w:eastAsia="zh-CN"/>
        </w:rPr>
        <w:t xml:space="preserve">. </w:t>
      </w:r>
    </w:p>
    <w:p>
      <w:pPr>
        <w:pStyle w:val="17"/>
        <w:spacing w:before="145" w:beforeAutospacing="0" w:after="145" w:afterAutospacing="0" w:line="360" w:lineRule="auto"/>
        <w:rPr>
          <w:rFonts w:eastAsia="宋体"/>
          <w:color w:val="auto"/>
          <w:lang w:eastAsia="zh-CN"/>
        </w:rPr>
      </w:pPr>
      <w:r>
        <w:rPr>
          <w:rFonts w:eastAsia="宋体"/>
          <w:color w:val="auto"/>
          <w:lang w:eastAsia="zh-CN"/>
        </w:rPr>
        <w:t xml:space="preserve">The right side of the double vertical line </w:t>
      </w:r>
      <w:r>
        <w:rPr>
          <w:rFonts w:hint="eastAsia" w:eastAsia="宋体"/>
          <w:color w:val="auto"/>
          <w:lang w:eastAsia="zh-CN"/>
        </w:rPr>
        <w:t xml:space="preserve"> (</w:t>
      </w:r>
      <w:r>
        <w:rPr>
          <w:rFonts w:eastAsia="宋体"/>
          <w:color w:val="auto"/>
          <w:lang w:eastAsia="zh-CN"/>
        </w:rPr>
        <w:t>“</w:t>
      </w:r>
      <w:bookmarkStart w:id="0" w:name="OLE_LINK1"/>
      <w:r>
        <w:rPr>
          <w:rFonts w:eastAsia="微软雅黑"/>
          <w:color w:val="auto"/>
        </w:rPr>
        <w:t>│</w:t>
      </w:r>
      <w:bookmarkEnd w:id="0"/>
      <w:r>
        <w:rPr>
          <w:rFonts w:eastAsia="微软雅黑"/>
          <w:color w:val="auto"/>
        </w:rPr>
        <w:t>│</w:t>
      </w:r>
      <w:r>
        <w:rPr>
          <w:rFonts w:eastAsia="微软雅黑"/>
          <w:color w:val="auto"/>
          <w:lang w:eastAsia="zh-CN"/>
        </w:rPr>
        <w:t>”</w:t>
      </w:r>
      <w:r>
        <w:rPr>
          <w:rFonts w:hint="eastAsia" w:eastAsia="宋体"/>
          <w:color w:val="auto"/>
          <w:lang w:eastAsia="zh-CN"/>
        </w:rPr>
        <w:t xml:space="preserve">) </w:t>
      </w:r>
      <w:r>
        <w:rPr>
          <w:rFonts w:eastAsia="宋体"/>
          <w:color w:val="auto"/>
          <w:lang w:eastAsia="zh-CN"/>
        </w:rPr>
        <w:t>in the distribution of MIC</w:t>
      </w:r>
      <w:r>
        <w:rPr>
          <w:rFonts w:hint="eastAsia" w:eastAsia="宋体"/>
          <w:color w:val="auto"/>
          <w:lang w:eastAsia="zh-CN"/>
        </w:rPr>
        <w:t>s</w:t>
      </w:r>
      <w:r>
        <w:rPr>
          <w:rFonts w:eastAsia="宋体"/>
          <w:color w:val="auto"/>
          <w:lang w:eastAsia="zh-CN"/>
        </w:rPr>
        <w:t xml:space="preserve"> indicates the</w:t>
      </w:r>
      <w:r>
        <w:rPr>
          <w:rFonts w:hint="eastAsia" w:eastAsia="宋体"/>
          <w:color w:val="auto"/>
          <w:lang w:eastAsia="zh-CN"/>
        </w:rPr>
        <w:t xml:space="preserve"> </w:t>
      </w:r>
      <w:r>
        <w:rPr>
          <w:rFonts w:eastAsia="宋体"/>
          <w:color w:val="auto"/>
          <w:lang w:eastAsia="zh-CN"/>
        </w:rPr>
        <w:t>resistance range</w:t>
      </w:r>
      <w:r>
        <w:rPr>
          <w:rFonts w:hint="eastAsia" w:eastAsia="宋体"/>
          <w:color w:val="auto"/>
          <w:lang w:eastAsia="zh-CN"/>
        </w:rPr>
        <w:t>.</w:t>
      </w:r>
    </w:p>
    <w:p>
      <w:pPr>
        <w:pStyle w:val="17"/>
        <w:spacing w:before="145" w:beforeAutospacing="0" w:after="145" w:afterAutospacing="0" w:line="360" w:lineRule="auto"/>
        <w:rPr>
          <w:color w:val="000000"/>
        </w:rPr>
      </w:pPr>
      <w:r>
        <w:rPr>
          <w:color w:val="000000"/>
        </w:rPr>
        <w:t>a: Including higher than this tested concentration MIC value.</w:t>
      </w:r>
    </w:p>
    <w:p>
      <w:pPr>
        <w:pStyle w:val="17"/>
        <w:spacing w:before="145" w:beforeAutospacing="0" w:after="145" w:afterAutospacing="0"/>
        <w:rPr>
          <w:color w:val="000000"/>
        </w:rPr>
      </w:pPr>
      <w:r>
        <w:rPr>
          <w:color w:val="000000"/>
        </w:rPr>
        <w:t xml:space="preserve">b: Including lower than this tested concentration MIC value. </w:t>
      </w:r>
    </w:p>
    <w:p>
      <w:pPr>
        <w:pStyle w:val="17"/>
        <w:spacing w:before="145" w:beforeAutospacing="0" w:after="145" w:afterAutospacing="0"/>
        <w:rPr>
          <w:color w:val="000000"/>
        </w:rPr>
      </w:pPr>
      <w:r>
        <w:rPr>
          <w:color w:val="000000"/>
        </w:rPr>
        <w:t xml:space="preserve">c: No CLSI interpretative criteria for </w:t>
      </w:r>
      <w:r>
        <w:rPr>
          <w:rFonts w:hint="eastAsia"/>
          <w:color w:val="000000"/>
        </w:rPr>
        <w:t>cephalothin</w:t>
      </w:r>
      <w:r>
        <w:rPr>
          <w:color w:val="000000"/>
        </w:rPr>
        <w:t xml:space="preserve"> currently available, refer to resistance breakpoint of </w:t>
      </w:r>
      <w:r>
        <w:rPr>
          <w:rFonts w:hint="eastAsia"/>
          <w:color w:val="000000"/>
        </w:rPr>
        <w:t>c</w:t>
      </w:r>
      <w:r>
        <w:rPr>
          <w:color w:val="000000"/>
        </w:rPr>
        <w:t>eftiofur.</w:t>
      </w:r>
    </w:p>
    <w:p>
      <w:pPr>
        <w:pStyle w:val="17"/>
        <w:spacing w:before="145" w:beforeAutospacing="0" w:after="145" w:afterAutospacing="0"/>
        <w:rPr>
          <w:color w:val="000000"/>
        </w:rPr>
      </w:pPr>
      <w:r>
        <w:rPr>
          <w:color w:val="000000"/>
        </w:rPr>
        <w:t>d: No CLSI interpretative criteria for streptomycin currently available, refer to</w:t>
      </w:r>
      <w:r>
        <w:rPr>
          <w:rFonts w:hint="eastAsia"/>
          <w:color w:val="000000"/>
        </w:rPr>
        <w:t xml:space="preserve"> </w:t>
      </w:r>
      <w:r>
        <w:rPr>
          <w:color w:val="000000"/>
        </w:rPr>
        <w:t xml:space="preserve">resistance breakpoint of </w:t>
      </w:r>
      <w:r>
        <w:rPr>
          <w:rFonts w:hint="eastAsia"/>
          <w:color w:val="000000"/>
        </w:rPr>
        <w:t>g</w:t>
      </w:r>
      <w:r>
        <w:rPr>
          <w:color w:val="000000"/>
        </w:rPr>
        <w:t xml:space="preserve">entamicin. </w:t>
      </w:r>
    </w:p>
    <w:p>
      <w:pPr>
        <w:pStyle w:val="17"/>
        <w:spacing w:before="145" w:beforeAutospacing="0" w:after="145" w:afterAutospacing="0"/>
        <w:rPr>
          <w:color w:val="000000"/>
        </w:rPr>
      </w:pPr>
      <w:r>
        <w:rPr>
          <w:color w:val="000000"/>
        </w:rPr>
        <w:t xml:space="preserve">e: No CLSI interpretative criteria for rifaximin currently available, refer to the establishment of the critical </w:t>
      </w:r>
      <w:r>
        <w:rPr>
          <w:rFonts w:hint="eastAsia"/>
          <w:color w:val="000000"/>
        </w:rPr>
        <w:t>v</w:t>
      </w:r>
      <w:r>
        <w:rPr>
          <w:color w:val="000000"/>
        </w:rPr>
        <w:t xml:space="preserve">alue of wild strains. </w:t>
      </w:r>
    </w:p>
    <w:p>
      <w:pPr>
        <w:pStyle w:val="17"/>
        <w:spacing w:before="145" w:beforeAutospacing="0" w:after="145" w:afterAutospacing="0"/>
      </w:pPr>
      <w:r>
        <w:rPr>
          <w:color w:val="000000"/>
        </w:rPr>
        <w:t>S: Sensitive; I: Intermediary; R: Resistance.</w:t>
      </w:r>
      <w:r>
        <w:rPr>
          <w:rFonts w:hint="eastAsia"/>
        </w:rPr>
        <w:t xml:space="preserve">  </w:t>
      </w: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p>
    <w:p>
      <w:pPr>
        <w:pStyle w:val="17"/>
        <w:spacing w:before="145" w:beforeAutospacing="0" w:after="145" w:afterAutospacing="0"/>
      </w:pPr>
      <w:r>
        <w:rPr>
          <w:rFonts w:hint="eastAsia" w:eastAsia="宋体"/>
          <w:b/>
          <w:bCs/>
          <w:color w:val="000000"/>
          <w:lang w:eastAsia="zh-CN"/>
        </w:rPr>
        <w:t xml:space="preserve">Table S5 </w:t>
      </w:r>
      <w:r>
        <w:rPr>
          <w:color w:val="000000"/>
        </w:rPr>
        <w:t>The frequency of the phenotypic multidrug-resistance and the antibiotic-resistance genes among the retrieved strains (</w:t>
      </w:r>
      <w:r>
        <w:rPr>
          <w:rStyle w:val="26"/>
          <w:i w:val="0"/>
          <w:iCs w:val="0"/>
          <w:color w:val="000000"/>
        </w:rPr>
        <w:t>n</w:t>
      </w:r>
      <w:r>
        <w:rPr>
          <w:color w:val="000000"/>
        </w:rPr>
        <w:t> = </w:t>
      </w:r>
      <w:r>
        <w:rPr>
          <w:rFonts w:hint="eastAsia" w:eastAsia="宋体"/>
          <w:color w:val="000000"/>
          <w:lang w:eastAsia="zh-CN"/>
        </w:rPr>
        <w:t>105</w:t>
      </w:r>
      <w:r>
        <w:rPr>
          <w:color w:val="000000"/>
        </w:rPr>
        <w:t>)</w:t>
      </w:r>
    </w:p>
    <w:tbl>
      <w:tblPr>
        <w:tblStyle w:val="20"/>
        <w:tblW w:w="0" w:type="auto"/>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965"/>
        <w:gridCol w:w="536"/>
        <w:gridCol w:w="1292"/>
        <w:gridCol w:w="5341"/>
        <w:gridCol w:w="599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blHeader/>
          <w:jc w:val="center"/>
        </w:trPr>
        <w:tc>
          <w:tcPr>
            <w:tcW w:w="0" w:type="auto"/>
            <w:tcBorders>
              <w:top w:val="single" w:color="auto" w:sz="4" w:space="0"/>
              <w:left w:val="nil"/>
              <w:bottom w:val="single" w:color="auto" w:sz="4" w:space="0"/>
              <w:right w:val="nil"/>
            </w:tcBorders>
            <w:shd w:val="clear" w:color="auto" w:fill="auto"/>
            <w:tcMar>
              <w:top w:w="42" w:type="dxa"/>
              <w:left w:w="84" w:type="dxa"/>
              <w:bottom w:w="42" w:type="dxa"/>
              <w:right w:w="84" w:type="dxa"/>
            </w:tcMar>
            <w:vAlign w:val="center"/>
          </w:tcPr>
          <w:p>
            <w:pPr>
              <w:spacing w:line="344" w:lineRule="atLeast"/>
              <w:jc w:val="center"/>
              <w:textAlignment w:val="top"/>
              <w:rPr>
                <w:rFonts w:cs="Times New Roman"/>
                <w:b/>
                <w:bCs/>
                <w:sz w:val="21"/>
                <w:szCs w:val="21"/>
              </w:rPr>
            </w:pPr>
            <w:r>
              <w:rPr>
                <w:rFonts w:eastAsia="宋体" w:cs="Times New Roman"/>
                <w:b/>
                <w:bCs/>
                <w:sz w:val="21"/>
                <w:szCs w:val="21"/>
                <w:lang w:eastAsia="zh-CN" w:bidi="ar"/>
              </w:rPr>
              <w:t>No. of strains</w:t>
            </w:r>
          </w:p>
        </w:tc>
        <w:tc>
          <w:tcPr>
            <w:tcW w:w="0" w:type="auto"/>
            <w:tcBorders>
              <w:top w:val="single" w:color="auto" w:sz="4" w:space="0"/>
              <w:left w:val="nil"/>
              <w:bottom w:val="single" w:color="auto" w:sz="4" w:space="0"/>
              <w:right w:val="nil"/>
            </w:tcBorders>
            <w:shd w:val="clear" w:color="auto" w:fill="auto"/>
            <w:tcMar>
              <w:top w:w="42" w:type="dxa"/>
              <w:left w:w="84" w:type="dxa"/>
              <w:bottom w:w="42" w:type="dxa"/>
              <w:right w:w="84" w:type="dxa"/>
            </w:tcMar>
            <w:vAlign w:val="center"/>
          </w:tcPr>
          <w:p>
            <w:pPr>
              <w:spacing w:line="344" w:lineRule="atLeast"/>
              <w:jc w:val="center"/>
              <w:textAlignment w:val="top"/>
              <w:rPr>
                <w:rFonts w:cs="Times New Roman"/>
                <w:b/>
                <w:bCs/>
                <w:sz w:val="21"/>
                <w:szCs w:val="21"/>
              </w:rPr>
            </w:pPr>
            <w:r>
              <w:rPr>
                <w:rFonts w:eastAsia="宋体" w:cs="Times New Roman"/>
                <w:b/>
                <w:bCs/>
                <w:sz w:val="21"/>
                <w:szCs w:val="21"/>
                <w:lang w:eastAsia="zh-CN" w:bidi="ar"/>
              </w:rPr>
              <w:t>%</w:t>
            </w:r>
          </w:p>
        </w:tc>
        <w:tc>
          <w:tcPr>
            <w:tcW w:w="0" w:type="auto"/>
            <w:tcBorders>
              <w:top w:val="single" w:color="auto" w:sz="4" w:space="0"/>
              <w:left w:val="nil"/>
              <w:bottom w:val="single" w:color="auto" w:sz="4" w:space="0"/>
              <w:right w:val="nil"/>
            </w:tcBorders>
            <w:shd w:val="clear" w:color="auto" w:fill="auto"/>
            <w:tcMar>
              <w:top w:w="42" w:type="dxa"/>
              <w:left w:w="84" w:type="dxa"/>
              <w:bottom w:w="42" w:type="dxa"/>
              <w:right w:w="84" w:type="dxa"/>
            </w:tcMar>
            <w:vAlign w:val="center"/>
          </w:tcPr>
          <w:p>
            <w:pPr>
              <w:spacing w:line="344" w:lineRule="atLeast"/>
              <w:jc w:val="center"/>
              <w:textAlignment w:val="top"/>
              <w:rPr>
                <w:rFonts w:cs="Times New Roman"/>
                <w:b/>
                <w:bCs/>
                <w:sz w:val="21"/>
                <w:szCs w:val="21"/>
              </w:rPr>
            </w:pPr>
            <w:r>
              <w:rPr>
                <w:rFonts w:eastAsia="宋体" w:cs="Times New Roman"/>
                <w:b/>
                <w:bCs/>
                <w:sz w:val="21"/>
                <w:szCs w:val="21"/>
                <w:lang w:eastAsia="zh-CN" w:bidi="ar"/>
              </w:rPr>
              <w:t>Type of resistance</w:t>
            </w:r>
          </w:p>
        </w:tc>
        <w:tc>
          <w:tcPr>
            <w:tcW w:w="5341" w:type="dxa"/>
            <w:tcBorders>
              <w:top w:val="single" w:color="auto" w:sz="4" w:space="0"/>
              <w:left w:val="nil"/>
              <w:bottom w:val="single" w:color="auto" w:sz="4" w:space="0"/>
              <w:right w:val="nil"/>
            </w:tcBorders>
            <w:shd w:val="clear" w:color="auto" w:fill="auto"/>
            <w:tcMar>
              <w:top w:w="42" w:type="dxa"/>
              <w:left w:w="84" w:type="dxa"/>
              <w:bottom w:w="42" w:type="dxa"/>
              <w:right w:w="84" w:type="dxa"/>
            </w:tcMar>
            <w:vAlign w:val="center"/>
          </w:tcPr>
          <w:p>
            <w:pPr>
              <w:spacing w:line="344" w:lineRule="atLeast"/>
              <w:jc w:val="center"/>
              <w:textAlignment w:val="top"/>
              <w:rPr>
                <w:rFonts w:cs="Times New Roman"/>
                <w:b/>
                <w:bCs/>
                <w:sz w:val="21"/>
                <w:szCs w:val="21"/>
              </w:rPr>
            </w:pPr>
            <w:r>
              <w:rPr>
                <w:rFonts w:eastAsia="宋体" w:cs="Times New Roman"/>
                <w:b/>
                <w:bCs/>
                <w:sz w:val="21"/>
                <w:szCs w:val="21"/>
                <w:lang w:eastAsia="zh-CN" w:bidi="ar"/>
              </w:rPr>
              <w:t>Phenotypic multidrug resistance</w:t>
            </w:r>
          </w:p>
        </w:tc>
        <w:tc>
          <w:tcPr>
            <w:tcW w:w="5992" w:type="dxa"/>
            <w:tcBorders>
              <w:top w:val="single" w:color="auto" w:sz="4" w:space="0"/>
              <w:left w:val="nil"/>
              <w:bottom w:val="single" w:color="auto" w:sz="4" w:space="0"/>
              <w:right w:val="nil"/>
            </w:tcBorders>
            <w:shd w:val="clear" w:color="auto" w:fill="auto"/>
            <w:tcMar>
              <w:top w:w="42" w:type="dxa"/>
              <w:left w:w="84" w:type="dxa"/>
              <w:bottom w:w="42" w:type="dxa"/>
              <w:right w:w="84" w:type="dxa"/>
            </w:tcMar>
            <w:vAlign w:val="center"/>
          </w:tcPr>
          <w:p>
            <w:pPr>
              <w:spacing w:before="0" w:after="0"/>
              <w:jc w:val="center"/>
              <w:textAlignment w:val="top"/>
              <w:rPr>
                <w:rFonts w:cs="Times New Roman"/>
                <w:b/>
                <w:bCs/>
                <w:i/>
                <w:iCs/>
                <w:sz w:val="21"/>
                <w:szCs w:val="21"/>
              </w:rPr>
            </w:pPr>
            <w:r>
              <w:rPr>
                <w:rFonts w:eastAsia="宋体" w:cs="Times New Roman"/>
                <w:b/>
                <w:bCs/>
                <w:sz w:val="21"/>
                <w:szCs w:val="21"/>
                <w:lang w:eastAsia="zh-CN" w:bidi="ar"/>
              </w:rPr>
              <w:t>The antibiotic resistance genes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3" w:hRule="atLeast"/>
          <w:jc w:val="center"/>
        </w:trPr>
        <w:tc>
          <w:tcPr>
            <w:tcW w:w="0" w:type="auto"/>
            <w:tcBorders>
              <w:top w:val="single" w:color="auto" w:sz="4" w:space="0"/>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11</w:t>
            </w:r>
          </w:p>
        </w:tc>
        <w:tc>
          <w:tcPr>
            <w:tcW w:w="0" w:type="auto"/>
            <w:tcBorders>
              <w:top w:val="single" w:color="auto" w:sz="4" w:space="0"/>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10.4</w:t>
            </w:r>
          </w:p>
        </w:tc>
        <w:tc>
          <w:tcPr>
            <w:tcW w:w="0" w:type="auto"/>
            <w:tcBorders>
              <w:top w:val="single" w:color="auto" w:sz="4" w:space="0"/>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MDR</w:t>
            </w:r>
          </w:p>
        </w:tc>
        <w:tc>
          <w:tcPr>
            <w:tcW w:w="5341" w:type="dxa"/>
            <w:tcBorders>
              <w:top w:val="single" w:color="auto" w:sz="4" w:space="0"/>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cs="Times New Roman"/>
                <w:sz w:val="21"/>
                <w:szCs w:val="21"/>
                <w:lang w:eastAsia="zh-CN"/>
              </w:rPr>
            </w:pPr>
            <w:r>
              <w:rPr>
                <w:rFonts w:eastAsia="宋体" w:cs="Times New Roman"/>
                <w:sz w:val="21"/>
                <w:szCs w:val="21"/>
                <w:lang w:eastAsia="zh-CN" w:bidi="ar"/>
              </w:rPr>
              <w:t>Aminoglycosides: streptomycin, gentamicin</w:t>
            </w:r>
          </w:p>
          <w:p>
            <w:pPr>
              <w:spacing w:before="0" w:after="0"/>
              <w:textAlignment w:val="top"/>
              <w:rPr>
                <w:rFonts w:cs="Times New Roman"/>
                <w:sz w:val="21"/>
                <w:szCs w:val="21"/>
              </w:rPr>
            </w:pPr>
            <w:r>
              <w:rPr>
                <w:rFonts w:eastAsia="宋体" w:cs="Times New Roman"/>
                <w:sz w:val="21"/>
                <w:szCs w:val="21"/>
                <w:lang w:eastAsia="zh-CN" w:bidi="ar"/>
              </w:rPr>
              <w:t>Sulfonamides: sulfisoxazole</w:t>
            </w:r>
          </w:p>
        </w:tc>
        <w:tc>
          <w:tcPr>
            <w:tcW w:w="5992" w:type="dxa"/>
            <w:tcBorders>
              <w:top w:val="single" w:color="auto" w:sz="4" w:space="0"/>
              <w:left w:val="nil"/>
              <w:bottom w:val="nil"/>
              <w:right w:val="nil"/>
            </w:tcBorders>
            <w:shd w:val="clear" w:color="auto" w:fill="auto"/>
            <w:tcMar>
              <w:top w:w="42" w:type="dxa"/>
              <w:left w:w="84" w:type="dxa"/>
              <w:bottom w:w="42" w:type="dxa"/>
              <w:right w:w="84" w:type="dxa"/>
            </w:tcMar>
          </w:tcPr>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aacC2, sul1, sul2, qnrB, ereA, mphA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aadA1, aacC2, sul1, sul2, qnrB, mphA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aadA1, aacC2, aacA4, sul1, sul2, qnrB, qnrD, mphA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blaOXA-1, strA, aadA1, aadA2, aacC2, aacA4, sul1, sul2, sul3, aac(6')-Ib-cr, qnrS, tetA, floR, cmlA </w:t>
            </w:r>
            <w:r>
              <w:rPr>
                <w:rFonts w:eastAsia="宋体" w:cs="Times New Roman"/>
                <w:color w:val="000000"/>
                <w:sz w:val="21"/>
                <w:szCs w:val="21"/>
                <w:lang w:eastAsia="zh-CN" w:bidi="ar"/>
              </w:rPr>
              <w:t>(n=1)</w:t>
            </w:r>
          </w:p>
          <w:p>
            <w:pPr>
              <w:spacing w:before="0" w:after="0"/>
              <w:textAlignment w:val="center"/>
              <w:rPr>
                <w:rFonts w:eastAsia="宋体" w:cs="Times New Roman"/>
                <w:color w:val="000000"/>
                <w:sz w:val="21"/>
                <w:szCs w:val="21"/>
                <w:lang w:eastAsia="zh-CN" w:bidi="ar"/>
              </w:rPr>
            </w:pPr>
            <w:r>
              <w:rPr>
                <w:rFonts w:eastAsia="宋体" w:cs="Times New Roman"/>
                <w:i/>
                <w:iCs/>
                <w:color w:val="000000"/>
                <w:sz w:val="21"/>
                <w:szCs w:val="21"/>
                <w:lang w:eastAsia="zh-CN" w:bidi="ar"/>
              </w:rPr>
              <w:t xml:space="preserve">blaTEM, blaSHV, strA, strB, aacC2, sul1, sul2, qnrB, mphA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aadA1, aacC2, aacA4, sul1, sul2, qnrB, mphA, floR </w:t>
            </w:r>
            <w:r>
              <w:rPr>
                <w:rFonts w:eastAsia="宋体" w:cs="Times New Roman"/>
                <w:color w:val="000000"/>
                <w:sz w:val="21"/>
                <w:szCs w:val="21"/>
                <w:lang w:eastAsia="zh-CN" w:bidi="ar"/>
              </w:rPr>
              <w:t>(n=2)</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strA, strB, aadA1, aacC2, aacA4, sul1, sul2, qnrB, mphA, floR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aadA1, aacC2, sul1, sul2, qnrB, mphA, floR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eastAsia="zh-CN" w:bidi="ar"/>
              </w:rPr>
            </w:pPr>
            <w:r>
              <w:rPr>
                <w:rFonts w:eastAsia="宋体" w:cs="Times New Roman"/>
                <w:i/>
                <w:iCs/>
                <w:color w:val="000000"/>
                <w:sz w:val="21"/>
                <w:szCs w:val="21"/>
                <w:lang w:eastAsia="zh-CN" w:bidi="ar"/>
              </w:rPr>
              <w:t xml:space="preserve">blaTEM, blaSHV, strA, strB, aacC2, sul1, sul2, qnrB, mphA, cmlA </w:t>
            </w:r>
            <w:r>
              <w:rPr>
                <w:rFonts w:eastAsia="宋体" w:cs="Times New Roman"/>
                <w:color w:val="000000"/>
                <w:sz w:val="21"/>
                <w:szCs w:val="21"/>
                <w:lang w:eastAsia="zh-CN" w:bidi="ar"/>
              </w:rPr>
              <w:t>(n=1)</w:t>
            </w:r>
          </w:p>
          <w:p>
            <w:pPr>
              <w:spacing w:before="0" w:after="0"/>
              <w:textAlignment w:val="center"/>
              <w:rPr>
                <w:rFonts w:eastAsia="宋体" w:cs="Times New Roman"/>
                <w:i/>
                <w:iCs/>
                <w:color w:val="000000"/>
                <w:sz w:val="21"/>
                <w:szCs w:val="21"/>
                <w:lang w:bidi="ar"/>
              </w:rPr>
            </w:pPr>
            <w:r>
              <w:rPr>
                <w:rFonts w:eastAsia="宋体" w:cs="Times New Roman"/>
                <w:i/>
                <w:iCs/>
                <w:color w:val="000000"/>
                <w:sz w:val="21"/>
                <w:szCs w:val="21"/>
                <w:lang w:eastAsia="zh-CN" w:bidi="ar"/>
              </w:rPr>
              <w:t xml:space="preserve">blaTEM, blaSHV, strA, strB, aacC2, sul1, sul2, aac(6')-Ib-cr, qnrB, mphA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4</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rPr>
            </w:pPr>
            <w:r>
              <w:rPr>
                <w:rFonts w:eastAsia="宋体" w:cs="Times New Roman"/>
                <w:sz w:val="21"/>
                <w:szCs w:val="21"/>
                <w:lang w:eastAsia="zh-CN"/>
              </w:rPr>
              <w:t>3.81</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rPr>
            </w:pPr>
            <w:r>
              <w:rPr>
                <w:rFonts w:eastAsia="宋体" w:cs="Times New Roman"/>
                <w:sz w:val="21"/>
                <w:szCs w:val="21"/>
                <w:lang w:eastAsia="zh-CN"/>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cs="Times New Roman"/>
                <w:sz w:val="21"/>
                <w:szCs w:val="21"/>
                <w:lang w:eastAsia="zh-CN"/>
              </w:rPr>
            </w:pPr>
            <w:r>
              <w:rPr>
                <w:rFonts w:eastAsia="宋体" w:cs="Times New Roman"/>
                <w:sz w:val="21"/>
                <w:szCs w:val="21"/>
                <w:lang w:eastAsia="zh-CN" w:bidi="ar"/>
              </w:rPr>
              <w:t>Aminoglycosides: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i/>
                <w:iCs/>
                <w:sz w:val="21"/>
                <w:szCs w:val="21"/>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4</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rPr>
            </w:pPr>
            <w:r>
              <w:rPr>
                <w:rFonts w:eastAsia="宋体" w:cs="Times New Roman"/>
                <w:sz w:val="21"/>
                <w:szCs w:val="21"/>
                <w:lang w:eastAsia="zh-CN"/>
              </w:rPr>
              <w:t>3.81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cs="Times New Roman"/>
                <w:sz w:val="21"/>
                <w:szCs w:val="21"/>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cs="Times New Roman"/>
                <w:sz w:val="21"/>
                <w:szCs w:val="21"/>
              </w:rPr>
            </w:pPr>
            <w:r>
              <w:rPr>
                <w:rFonts w:cs="Times New Roman"/>
                <w:i/>
                <w:iCs/>
                <w:sz w:val="21"/>
                <w:szCs w:val="21"/>
              </w:rPr>
              <w:t>blaTEM</w:t>
            </w:r>
            <w:r>
              <w:rPr>
                <w:rFonts w:hint="eastAsia" w:eastAsia="宋体" w:cs="Times New Roman"/>
                <w:i/>
                <w:iCs/>
                <w:sz w:val="21"/>
                <w:szCs w:val="21"/>
                <w:lang w:eastAsia="zh-CN"/>
              </w:rPr>
              <w:t xml:space="preserve">, </w:t>
            </w:r>
            <w:r>
              <w:rPr>
                <w:rFonts w:cs="Times New Roman"/>
                <w:i/>
                <w:iCs/>
                <w:sz w:val="21"/>
                <w:szCs w:val="21"/>
              </w:rPr>
              <w:t>strB</w:t>
            </w:r>
            <w:r>
              <w:rPr>
                <w:rFonts w:hint="eastAsia" w:eastAsia="宋体" w:cs="Times New Roman"/>
                <w:i/>
                <w:iCs/>
                <w:sz w:val="21"/>
                <w:szCs w:val="21"/>
                <w:lang w:eastAsia="zh-CN"/>
              </w:rPr>
              <w:t xml:space="preserve">, </w:t>
            </w:r>
            <w:r>
              <w:rPr>
                <w:rFonts w:cs="Times New Roman"/>
                <w:i/>
                <w:iCs/>
                <w:sz w:val="21"/>
                <w:szCs w:val="21"/>
              </w:rPr>
              <w:t>aadA1</w:t>
            </w:r>
            <w:r>
              <w:rPr>
                <w:rFonts w:hint="eastAsia" w:eastAsia="宋体" w:cs="Times New Roman"/>
                <w:i/>
                <w:iCs/>
                <w:sz w:val="21"/>
                <w:szCs w:val="21"/>
                <w:lang w:eastAsia="zh-CN"/>
              </w:rPr>
              <w:t xml:space="preserve">, </w:t>
            </w:r>
            <w:r>
              <w:rPr>
                <w:rFonts w:cs="Times New Roman"/>
                <w:i/>
                <w:iCs/>
                <w:sz w:val="21"/>
                <w:szCs w:val="21"/>
              </w:rPr>
              <w:t>sul2</w:t>
            </w:r>
            <w:r>
              <w:rPr>
                <w:rFonts w:hint="eastAsia" w:eastAsia="宋体" w:cs="Times New Roman"/>
                <w:i/>
                <w:iCs/>
                <w:sz w:val="21"/>
                <w:szCs w:val="21"/>
                <w:lang w:eastAsia="zh-CN"/>
              </w:rPr>
              <w:t xml:space="preserve">, </w:t>
            </w:r>
            <w:r>
              <w:rPr>
                <w:rFonts w:cs="Times New Roman"/>
                <w:i/>
                <w:iCs/>
                <w:sz w:val="21"/>
                <w:szCs w:val="21"/>
              </w:rPr>
              <w:t>aac</w:t>
            </w:r>
            <w:r>
              <w:rPr>
                <w:rFonts w:eastAsia="宋体" w:cs="Times New Roman"/>
                <w:i/>
                <w:iCs/>
                <w:sz w:val="21"/>
                <w:szCs w:val="21"/>
                <w:lang w:eastAsia="zh-CN"/>
              </w:rPr>
              <w:t>(</w:t>
            </w:r>
            <w:r>
              <w:rPr>
                <w:rFonts w:cs="Times New Roman"/>
                <w:i/>
                <w:iCs/>
                <w:sz w:val="21"/>
                <w:szCs w:val="21"/>
              </w:rPr>
              <w:t>6'</w:t>
            </w:r>
            <w:r>
              <w:rPr>
                <w:rFonts w:eastAsia="宋体" w:cs="Times New Roman"/>
                <w:i/>
                <w:iCs/>
                <w:sz w:val="21"/>
                <w:szCs w:val="21"/>
                <w:lang w:eastAsia="zh-CN"/>
              </w:rPr>
              <w:t>)</w:t>
            </w:r>
            <w:r>
              <w:rPr>
                <w:rFonts w:cs="Times New Roman"/>
                <w:i/>
                <w:iCs/>
                <w:sz w:val="21"/>
                <w:szCs w:val="21"/>
              </w:rPr>
              <w:t>-Ib-cr</w:t>
            </w:r>
            <w:r>
              <w:rPr>
                <w:rFonts w:hint="eastAsia" w:eastAsia="宋体" w:cs="Times New Roman"/>
                <w:i/>
                <w:iCs/>
                <w:sz w:val="21"/>
                <w:szCs w:val="21"/>
                <w:lang w:eastAsia="zh-CN"/>
              </w:rPr>
              <w:t xml:space="preserve">, </w:t>
            </w:r>
            <w:r>
              <w:rPr>
                <w:rFonts w:cs="Times New Roman"/>
                <w:i/>
                <w:iCs/>
                <w:sz w:val="21"/>
                <w:szCs w:val="21"/>
              </w:rPr>
              <w:t>qnrS</w:t>
            </w:r>
            <w:r>
              <w:rPr>
                <w:rFonts w:hint="eastAsia" w:eastAsia="宋体" w:cs="Times New Roman"/>
                <w:i/>
                <w:iCs/>
                <w:sz w:val="21"/>
                <w:szCs w:val="21"/>
                <w:lang w:eastAsia="zh-CN"/>
              </w:rPr>
              <w:t xml:space="preserve">, </w:t>
            </w:r>
            <w:r>
              <w:rPr>
                <w:rFonts w:cs="Times New Roman"/>
                <w:i/>
                <w:iCs/>
                <w:sz w:val="21"/>
                <w:szCs w:val="21"/>
              </w:rPr>
              <w:t>tetA</w:t>
            </w:r>
            <w:r>
              <w:rPr>
                <w:rFonts w:hint="eastAsia" w:eastAsia="宋体" w:cs="Times New Roman"/>
                <w:i/>
                <w:iCs/>
                <w:sz w:val="21"/>
                <w:szCs w:val="21"/>
                <w:lang w:eastAsia="zh-CN"/>
              </w:rPr>
              <w:t xml:space="preserve">, </w:t>
            </w:r>
            <w:r>
              <w:rPr>
                <w:rFonts w:cs="Times New Roman"/>
                <w:i/>
                <w:iCs/>
                <w:sz w:val="21"/>
                <w:szCs w:val="21"/>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sz w:val="21"/>
                <w:szCs w:val="21"/>
              </w:rPr>
            </w:pPr>
            <w:r>
              <w:rPr>
                <w:rFonts w:cs="Times New Roman"/>
                <w:i/>
                <w:iCs/>
                <w:sz w:val="21"/>
                <w:szCs w:val="21"/>
              </w:rPr>
              <w:t>blaTEM</w:t>
            </w:r>
            <w:r>
              <w:rPr>
                <w:rFonts w:hint="eastAsia" w:eastAsia="宋体" w:cs="Times New Roman"/>
                <w:i/>
                <w:iCs/>
                <w:sz w:val="21"/>
                <w:szCs w:val="21"/>
                <w:lang w:eastAsia="zh-CN"/>
              </w:rPr>
              <w:t xml:space="preserve">, </w:t>
            </w:r>
            <w:r>
              <w:rPr>
                <w:rFonts w:cs="Times New Roman"/>
                <w:i/>
                <w:iCs/>
                <w:sz w:val="21"/>
                <w:szCs w:val="21"/>
              </w:rPr>
              <w:t>blaSHV</w:t>
            </w:r>
            <w:r>
              <w:rPr>
                <w:rFonts w:hint="eastAsia" w:eastAsia="宋体" w:cs="Times New Roman"/>
                <w:i/>
                <w:iCs/>
                <w:sz w:val="21"/>
                <w:szCs w:val="21"/>
                <w:lang w:eastAsia="zh-CN"/>
              </w:rPr>
              <w:t xml:space="preserve">, </w:t>
            </w:r>
            <w:r>
              <w:rPr>
                <w:rFonts w:cs="Times New Roman"/>
                <w:i/>
                <w:iCs/>
                <w:sz w:val="21"/>
                <w:szCs w:val="21"/>
              </w:rPr>
              <w:t>strA</w:t>
            </w:r>
            <w:r>
              <w:rPr>
                <w:rFonts w:hint="eastAsia" w:eastAsia="宋体" w:cs="Times New Roman"/>
                <w:i/>
                <w:iCs/>
                <w:sz w:val="21"/>
                <w:szCs w:val="21"/>
                <w:lang w:eastAsia="zh-CN"/>
              </w:rPr>
              <w:t xml:space="preserve">, </w:t>
            </w:r>
            <w:r>
              <w:rPr>
                <w:rFonts w:cs="Times New Roman"/>
                <w:i/>
                <w:iCs/>
                <w:sz w:val="21"/>
                <w:szCs w:val="21"/>
              </w:rPr>
              <w:t>strB</w:t>
            </w:r>
            <w:r>
              <w:rPr>
                <w:rFonts w:hint="eastAsia" w:eastAsia="宋体" w:cs="Times New Roman"/>
                <w:i/>
                <w:iCs/>
                <w:sz w:val="21"/>
                <w:szCs w:val="21"/>
                <w:lang w:eastAsia="zh-CN"/>
              </w:rPr>
              <w:t xml:space="preserve">, </w:t>
            </w:r>
            <w:r>
              <w:rPr>
                <w:rFonts w:cs="Times New Roman"/>
                <w:i/>
                <w:iCs/>
                <w:sz w:val="21"/>
                <w:szCs w:val="21"/>
              </w:rPr>
              <w:t>aadA1</w:t>
            </w:r>
            <w:r>
              <w:rPr>
                <w:rFonts w:hint="eastAsia" w:eastAsia="宋体" w:cs="Times New Roman"/>
                <w:i/>
                <w:iCs/>
                <w:sz w:val="21"/>
                <w:szCs w:val="21"/>
                <w:lang w:eastAsia="zh-CN"/>
              </w:rPr>
              <w:t xml:space="preserve">, </w:t>
            </w:r>
            <w:r>
              <w:rPr>
                <w:rFonts w:cs="Times New Roman"/>
                <w:i/>
                <w:iCs/>
                <w:sz w:val="21"/>
                <w:szCs w:val="21"/>
              </w:rPr>
              <w:t>sul1</w:t>
            </w:r>
            <w:r>
              <w:rPr>
                <w:rFonts w:hint="eastAsia" w:eastAsia="宋体" w:cs="Times New Roman"/>
                <w:i/>
                <w:iCs/>
                <w:sz w:val="21"/>
                <w:szCs w:val="21"/>
                <w:lang w:eastAsia="zh-CN"/>
              </w:rPr>
              <w:t xml:space="preserve">, </w:t>
            </w:r>
            <w:r>
              <w:rPr>
                <w:rFonts w:cs="Times New Roman"/>
                <w:i/>
                <w:iCs/>
                <w:sz w:val="21"/>
                <w:szCs w:val="21"/>
              </w:rPr>
              <w:t>aac</w:t>
            </w:r>
            <w:r>
              <w:rPr>
                <w:rFonts w:eastAsia="宋体" w:cs="Times New Roman"/>
                <w:i/>
                <w:iCs/>
                <w:sz w:val="21"/>
                <w:szCs w:val="21"/>
                <w:lang w:eastAsia="zh-CN"/>
              </w:rPr>
              <w:t>(</w:t>
            </w:r>
            <w:r>
              <w:rPr>
                <w:rFonts w:cs="Times New Roman"/>
                <w:i/>
                <w:iCs/>
                <w:sz w:val="21"/>
                <w:szCs w:val="21"/>
              </w:rPr>
              <w:t>6'</w:t>
            </w:r>
            <w:r>
              <w:rPr>
                <w:rFonts w:eastAsia="宋体" w:cs="Times New Roman"/>
                <w:i/>
                <w:iCs/>
                <w:sz w:val="21"/>
                <w:szCs w:val="21"/>
                <w:lang w:eastAsia="zh-CN"/>
              </w:rPr>
              <w:t>)</w:t>
            </w:r>
            <w:r>
              <w:rPr>
                <w:rFonts w:cs="Times New Roman"/>
                <w:i/>
                <w:iCs/>
                <w:sz w:val="21"/>
                <w:szCs w:val="21"/>
              </w:rPr>
              <w:t>-Ib-cr</w:t>
            </w:r>
            <w:r>
              <w:rPr>
                <w:rFonts w:hint="eastAsia" w:eastAsia="宋体" w:cs="Times New Roman"/>
                <w:i/>
                <w:iCs/>
                <w:sz w:val="21"/>
                <w:szCs w:val="21"/>
                <w:lang w:eastAsia="zh-CN"/>
              </w:rPr>
              <w:t xml:space="preserve">, </w:t>
            </w:r>
            <w:r>
              <w:rPr>
                <w:rFonts w:cs="Times New Roman"/>
                <w:i/>
                <w:iCs/>
                <w:sz w:val="21"/>
                <w:szCs w:val="21"/>
              </w:rPr>
              <w:t>qnrB</w:t>
            </w:r>
            <w:r>
              <w:rPr>
                <w:rFonts w:hint="eastAsia" w:eastAsia="宋体" w:cs="Times New Roman"/>
                <w:i/>
                <w:iCs/>
                <w:sz w:val="21"/>
                <w:szCs w:val="21"/>
                <w:lang w:eastAsia="zh-CN"/>
              </w:rPr>
              <w:t xml:space="preserve">, </w:t>
            </w:r>
            <w:r>
              <w:rPr>
                <w:rFonts w:cs="Times New Roman"/>
                <w:i/>
                <w:iCs/>
                <w:sz w:val="21"/>
                <w:szCs w:val="21"/>
              </w:rPr>
              <w:t>qnrS</w:t>
            </w:r>
            <w:r>
              <w:rPr>
                <w:rFonts w:hint="eastAsia" w:eastAsia="宋体" w:cs="Times New Roman"/>
                <w:i/>
                <w:iCs/>
                <w:sz w:val="21"/>
                <w:szCs w:val="21"/>
                <w:lang w:eastAsia="zh-CN"/>
              </w:rPr>
              <w:t xml:space="preserve">, </w:t>
            </w:r>
            <w:r>
              <w:rPr>
                <w:rFonts w:cs="Times New Roman"/>
                <w:i/>
                <w:iCs/>
                <w:sz w:val="21"/>
                <w:szCs w:val="21"/>
              </w:rPr>
              <w:t>tetA</w:t>
            </w:r>
            <w:r>
              <w:rPr>
                <w:rFonts w:hint="eastAsia" w:eastAsia="宋体" w:cs="Times New Roman"/>
                <w:i/>
                <w:iCs/>
                <w:sz w:val="21"/>
                <w:szCs w:val="21"/>
                <w:lang w:eastAsia="zh-CN"/>
              </w:rPr>
              <w:t xml:space="preserve">, </w:t>
            </w:r>
            <w:r>
              <w:rPr>
                <w:rFonts w:cs="Times New Roman"/>
                <w:i/>
                <w:iCs/>
                <w:sz w:val="21"/>
                <w:szCs w:val="21"/>
              </w:rPr>
              <w:t>ermB</w:t>
            </w:r>
            <w:r>
              <w:rPr>
                <w:rFonts w:hint="eastAsia" w:eastAsia="宋体" w:cs="Times New Roman"/>
                <w:i/>
                <w:iCs/>
                <w:sz w:val="21"/>
                <w:szCs w:val="21"/>
                <w:lang w:eastAsia="zh-CN"/>
              </w:rPr>
              <w:t xml:space="preserve">, </w:t>
            </w:r>
            <w:r>
              <w:rPr>
                <w:rFonts w:cs="Times New Roman"/>
                <w:i/>
                <w:iCs/>
                <w:sz w:val="21"/>
                <w:szCs w:val="21"/>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i/>
                <w:iCs/>
                <w:sz w:val="21"/>
                <w:szCs w:val="21"/>
              </w:rPr>
            </w:pPr>
            <w:r>
              <w:rPr>
                <w:rFonts w:cs="Times New Roman"/>
                <w:i/>
                <w:iCs/>
                <w:sz w:val="21"/>
                <w:szCs w:val="21"/>
              </w:rPr>
              <w:t>blaTEM</w:t>
            </w:r>
            <w:r>
              <w:rPr>
                <w:rFonts w:hint="eastAsia" w:eastAsia="宋体" w:cs="Times New Roman"/>
                <w:i/>
                <w:iCs/>
                <w:sz w:val="21"/>
                <w:szCs w:val="21"/>
                <w:lang w:eastAsia="zh-CN"/>
              </w:rPr>
              <w:t xml:space="preserve">, </w:t>
            </w:r>
            <w:r>
              <w:rPr>
                <w:rFonts w:cs="Times New Roman"/>
                <w:i/>
                <w:iCs/>
                <w:sz w:val="21"/>
                <w:szCs w:val="21"/>
              </w:rPr>
              <w:t>blaSHV</w:t>
            </w:r>
            <w:r>
              <w:rPr>
                <w:rFonts w:hint="eastAsia" w:eastAsia="宋体" w:cs="Times New Roman"/>
                <w:i/>
                <w:iCs/>
                <w:sz w:val="21"/>
                <w:szCs w:val="21"/>
                <w:lang w:eastAsia="zh-CN"/>
              </w:rPr>
              <w:t xml:space="preserve">, </w:t>
            </w:r>
            <w:r>
              <w:rPr>
                <w:rFonts w:cs="Times New Roman"/>
                <w:i/>
                <w:iCs/>
                <w:sz w:val="21"/>
                <w:szCs w:val="21"/>
              </w:rPr>
              <w:t>strB</w:t>
            </w:r>
            <w:r>
              <w:rPr>
                <w:rFonts w:hint="eastAsia" w:eastAsia="宋体" w:cs="Times New Roman"/>
                <w:i/>
                <w:iCs/>
                <w:sz w:val="21"/>
                <w:szCs w:val="21"/>
                <w:lang w:eastAsia="zh-CN"/>
              </w:rPr>
              <w:t xml:space="preserve">, </w:t>
            </w:r>
            <w:r>
              <w:rPr>
                <w:rFonts w:cs="Times New Roman"/>
                <w:i/>
                <w:iCs/>
                <w:sz w:val="21"/>
                <w:szCs w:val="21"/>
              </w:rPr>
              <w:t>aadA1</w:t>
            </w:r>
            <w:r>
              <w:rPr>
                <w:rFonts w:hint="eastAsia" w:eastAsia="宋体" w:cs="Times New Roman"/>
                <w:i/>
                <w:iCs/>
                <w:sz w:val="21"/>
                <w:szCs w:val="21"/>
                <w:lang w:eastAsia="zh-CN"/>
              </w:rPr>
              <w:t xml:space="preserve">, </w:t>
            </w:r>
            <w:r>
              <w:rPr>
                <w:rFonts w:cs="Times New Roman"/>
                <w:i/>
                <w:iCs/>
                <w:sz w:val="21"/>
                <w:szCs w:val="21"/>
              </w:rPr>
              <w:t>aac</w:t>
            </w:r>
            <w:r>
              <w:rPr>
                <w:rFonts w:eastAsia="宋体" w:cs="Times New Roman"/>
                <w:i/>
                <w:iCs/>
                <w:sz w:val="21"/>
                <w:szCs w:val="21"/>
                <w:lang w:eastAsia="zh-CN"/>
              </w:rPr>
              <w:t>(</w:t>
            </w:r>
            <w:r>
              <w:rPr>
                <w:rFonts w:cs="Times New Roman"/>
                <w:i/>
                <w:iCs/>
                <w:sz w:val="21"/>
                <w:szCs w:val="21"/>
              </w:rPr>
              <w:t>6'</w:t>
            </w:r>
            <w:r>
              <w:rPr>
                <w:rFonts w:eastAsia="宋体" w:cs="Times New Roman"/>
                <w:i/>
                <w:iCs/>
                <w:sz w:val="21"/>
                <w:szCs w:val="21"/>
                <w:lang w:eastAsia="zh-CN"/>
              </w:rPr>
              <w:t>)</w:t>
            </w:r>
            <w:r>
              <w:rPr>
                <w:rFonts w:cs="Times New Roman"/>
                <w:i/>
                <w:iCs/>
                <w:sz w:val="21"/>
                <w:szCs w:val="21"/>
              </w:rPr>
              <w:t>-Ib-cr</w:t>
            </w:r>
            <w:r>
              <w:rPr>
                <w:rFonts w:hint="eastAsia" w:eastAsia="宋体" w:cs="Times New Roman"/>
                <w:i/>
                <w:iCs/>
                <w:sz w:val="21"/>
                <w:szCs w:val="21"/>
                <w:lang w:eastAsia="zh-CN"/>
              </w:rPr>
              <w:t xml:space="preserve">, </w:t>
            </w:r>
            <w:r>
              <w:rPr>
                <w:rFonts w:cs="Times New Roman"/>
                <w:i/>
                <w:iCs/>
                <w:sz w:val="21"/>
                <w:szCs w:val="21"/>
              </w:rPr>
              <w:t>qnrS</w:t>
            </w:r>
            <w:r>
              <w:rPr>
                <w:rFonts w:hint="eastAsia" w:eastAsia="宋体" w:cs="Times New Roman"/>
                <w:i/>
                <w:iCs/>
                <w:sz w:val="21"/>
                <w:szCs w:val="21"/>
                <w:lang w:eastAsia="zh-CN"/>
              </w:rPr>
              <w:t xml:space="preserve">, </w:t>
            </w:r>
            <w:r>
              <w:rPr>
                <w:rFonts w:cs="Times New Roman"/>
                <w:i/>
                <w:iCs/>
                <w:sz w:val="21"/>
                <w:szCs w:val="21"/>
              </w:rPr>
              <w:t>tetA</w:t>
            </w:r>
            <w:r>
              <w:rPr>
                <w:rFonts w:hint="eastAsia" w:eastAsia="宋体" w:cs="Times New Roman"/>
                <w:i/>
                <w:iCs/>
                <w:sz w:val="21"/>
                <w:szCs w:val="21"/>
                <w:lang w:eastAsia="zh-CN"/>
              </w:rPr>
              <w:t xml:space="preserve">, </w:t>
            </w:r>
            <w:r>
              <w:rPr>
                <w:rFonts w:cs="Times New Roman"/>
                <w:i/>
                <w:iCs/>
                <w:sz w:val="21"/>
                <w:szCs w:val="21"/>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i/>
                <w:iCs/>
                <w:sz w:val="21"/>
                <w:szCs w:val="21"/>
              </w:rPr>
            </w:pPr>
            <w:r>
              <w:rPr>
                <w:rFonts w:cs="Times New Roman"/>
                <w:i/>
                <w:iCs/>
                <w:sz w:val="21"/>
                <w:szCs w:val="21"/>
              </w:rPr>
              <w:t>blaTEM</w:t>
            </w:r>
            <w:r>
              <w:rPr>
                <w:rFonts w:hint="eastAsia" w:eastAsia="宋体" w:cs="Times New Roman"/>
                <w:i/>
                <w:iCs/>
                <w:sz w:val="21"/>
                <w:szCs w:val="21"/>
                <w:lang w:eastAsia="zh-CN"/>
              </w:rPr>
              <w:t xml:space="preserve">, </w:t>
            </w:r>
            <w:r>
              <w:rPr>
                <w:rFonts w:cs="Times New Roman"/>
                <w:i/>
                <w:iCs/>
                <w:sz w:val="21"/>
                <w:szCs w:val="21"/>
              </w:rPr>
              <w:t>blaSHV</w:t>
            </w:r>
            <w:r>
              <w:rPr>
                <w:rFonts w:hint="eastAsia" w:eastAsia="宋体" w:cs="Times New Roman"/>
                <w:i/>
                <w:iCs/>
                <w:sz w:val="21"/>
                <w:szCs w:val="21"/>
                <w:lang w:eastAsia="zh-CN"/>
              </w:rPr>
              <w:t xml:space="preserve">, </w:t>
            </w:r>
            <w:r>
              <w:rPr>
                <w:rFonts w:cs="Times New Roman"/>
                <w:i/>
                <w:iCs/>
                <w:sz w:val="21"/>
                <w:szCs w:val="21"/>
              </w:rPr>
              <w:t>aac</w:t>
            </w:r>
            <w:r>
              <w:rPr>
                <w:rFonts w:eastAsia="宋体" w:cs="Times New Roman"/>
                <w:i/>
                <w:iCs/>
                <w:sz w:val="21"/>
                <w:szCs w:val="21"/>
                <w:lang w:eastAsia="zh-CN"/>
              </w:rPr>
              <w:t>(</w:t>
            </w:r>
            <w:r>
              <w:rPr>
                <w:rFonts w:cs="Times New Roman"/>
                <w:i/>
                <w:iCs/>
                <w:sz w:val="21"/>
                <w:szCs w:val="21"/>
              </w:rPr>
              <w:t>6'</w:t>
            </w:r>
            <w:r>
              <w:rPr>
                <w:rFonts w:eastAsia="宋体" w:cs="Times New Roman"/>
                <w:i/>
                <w:iCs/>
                <w:sz w:val="21"/>
                <w:szCs w:val="21"/>
                <w:lang w:eastAsia="zh-CN"/>
              </w:rPr>
              <w:t>)</w:t>
            </w:r>
            <w:r>
              <w:rPr>
                <w:rFonts w:cs="Times New Roman"/>
                <w:i/>
                <w:iCs/>
                <w:sz w:val="21"/>
                <w:szCs w:val="21"/>
              </w:rPr>
              <w:t>-Ib-cr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3</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rPr>
              <w:t>2.86</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line="344" w:lineRule="atLeast"/>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w:t>
            </w:r>
          </w:p>
          <w:p>
            <w:pPr>
              <w:spacing w:before="0" w:after="0" w:line="344" w:lineRule="atLeast"/>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i/>
                <w:iCs/>
                <w:sz w:val="21"/>
                <w:szCs w:val="21"/>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3</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rPr>
              <w:t>2.86</w:t>
            </w:r>
          </w:p>
        </w:tc>
        <w:tc>
          <w:tcPr>
            <w:tcW w:w="0" w:type="auto"/>
            <w:tcBorders>
              <w:top w:val="nil"/>
              <w:left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eastAsia="宋体" w:cs="Times New Roman"/>
                <w:i w:val="0"/>
                <w:iCs w:val="0"/>
                <w:sz w:val="21"/>
                <w:szCs w:val="21"/>
                <w:lang w:eastAsia="zh-CN" w:bidi="ar"/>
              </w:rPr>
              <w:t xml:space="preserve"> (n=2)</w:t>
            </w:r>
          </w:p>
          <w:p>
            <w:pPr>
              <w:spacing w:before="0" w:after="0"/>
              <w:textAlignment w:val="top"/>
              <w:rPr>
                <w:rFonts w:cs="Times New Roman"/>
                <w:i/>
                <w:iCs/>
                <w:sz w:val="21"/>
                <w:szCs w:val="21"/>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3</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2.86</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cs="Times New Roman"/>
                <w:sz w:val="21"/>
                <w:szCs w:val="21"/>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cs="Times New Roman"/>
                <w:i/>
                <w:iCs/>
                <w:sz w:val="21"/>
                <w:szCs w:val="21"/>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tetD</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3</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2.86</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Fonts w:eastAsia="宋体" w:cs="Times New Roman"/>
                <w:i/>
                <w:iCs/>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i w:val="0"/>
                <w:iCs w:val="0"/>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vAlign w:val="center"/>
          </w:tcPr>
          <w:p>
            <w:pPr>
              <w:spacing w:before="0" w:after="0"/>
              <w:textAlignment w:val="center"/>
              <w:rPr>
                <w:rFonts w:eastAsia="宋体" w:cs="Times New Roman"/>
                <w:i/>
                <w:iCs/>
                <w:color w:val="000000"/>
                <w:sz w:val="21"/>
                <w:szCs w:val="21"/>
                <w:lang w:eastAsia="zh-CN"/>
              </w:rPr>
            </w:pPr>
            <w:r>
              <w:rPr>
                <w:rFonts w:eastAsia="宋体" w:cs="Times New Roman"/>
                <w:i/>
                <w:iCs/>
                <w:color w:val="000000"/>
                <w:sz w:val="21"/>
                <w:szCs w:val="21"/>
                <w:lang w:eastAsia="zh-CN" w:bidi="ar"/>
              </w:rPr>
              <w:t>blaTEM</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blaSHV</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strA</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strB</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aacC2</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sul1</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sul2</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qnrB</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mphA</w:t>
            </w:r>
            <w:r>
              <w:rPr>
                <w:rFonts w:eastAsia="宋体" w:cs="Times New Roman"/>
                <w:color w:val="000000"/>
                <w:sz w:val="21"/>
                <w:szCs w:val="21"/>
                <w:lang w:eastAsia="zh-CN" w:bidi="ar"/>
              </w:rPr>
              <w:t xml:space="preserve"> (n=2)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sul3</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 xml:space="preserve">mphA </w:t>
            </w:r>
            <w:r>
              <w:rPr>
                <w:rStyle w:val="26"/>
                <w:rFonts w:eastAsia="宋体" w:cs="Times New Roman"/>
                <w:i w:val="0"/>
                <w:iCs w:val="0"/>
                <w:sz w:val="21"/>
                <w:szCs w:val="21"/>
                <w:lang w:eastAsia="zh-CN" w:bidi="ar"/>
              </w:rPr>
              <w:t>(n=2)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 xml:space="preserve">ermB </w:t>
            </w:r>
            <w:r>
              <w:rPr>
                <w:rStyle w:val="26"/>
                <w:rFonts w:eastAsia="宋体" w:cs="Times New Roman"/>
                <w:i w:val="0"/>
                <w:iCs w:val="0"/>
                <w:sz w:val="21"/>
                <w:szCs w:val="21"/>
                <w:lang w:eastAsia="zh-CN" w:bidi="ar"/>
              </w:rPr>
              <w:t>(n=2)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r>
              <w:rPr>
                <w:rFonts w:hint="eastAsia" w:eastAsia="宋体" w:cs="Times New Roman"/>
                <w:sz w:val="21"/>
                <w:szCs w:val="21"/>
                <w:lang w:eastAsia="zh-CN" w:bidi="ar"/>
              </w:rPr>
              <w:t xml:space="preserve">, </w:t>
            </w:r>
            <w:r>
              <w:rPr>
                <w:rFonts w:eastAsia="宋体" w:cs="Times New Roman"/>
                <w:sz w:val="21"/>
                <w:szCs w:val="21"/>
                <w:lang w:eastAsia="zh-CN" w:bidi="ar"/>
              </w:rPr>
              <w:t>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r>
              <w:rPr>
                <w:rFonts w:hint="eastAsia" w:eastAsia="宋体" w:cs="Times New Roman"/>
                <w:sz w:val="21"/>
                <w:szCs w:val="21"/>
                <w:lang w:eastAsia="zh-CN" w:bidi="ar"/>
              </w:rPr>
              <w:t xml:space="preserve"> </w:t>
            </w:r>
            <w:r>
              <w:rPr>
                <w:rFonts w:eastAsia="宋体" w:cs="Times New Roman"/>
                <w:sz w:val="21"/>
                <w:szCs w:val="21"/>
                <w:lang w:eastAsia="zh-CN" w:bidi="ar"/>
              </w:rPr>
              <w:t>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2</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1.90</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r>
              <w:rPr>
                <w:rFonts w:hint="eastAsia" w:eastAsia="宋体" w:cs="Times New Roman"/>
                <w:sz w:val="21"/>
                <w:szCs w:val="21"/>
                <w:lang w:eastAsia="zh-CN" w:bidi="ar"/>
              </w:rPr>
              <w:t xml:space="preserve">, </w:t>
            </w:r>
            <w:r>
              <w:rPr>
                <w:rFonts w:eastAsia="宋体" w:cs="Times New Roman"/>
                <w:sz w:val="21"/>
                <w:szCs w:val="21"/>
                <w:lang w:eastAsia="zh-CN" w:bidi="ar"/>
              </w:rPr>
              <w:t>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Carbapenems: meropenem</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rPr>
                <w:rFonts w:cs="Times New Roman"/>
                <w:sz w:val="21"/>
                <w:szCs w:val="21"/>
              </w:rPr>
            </w:pPr>
            <w:r>
              <w:rPr>
                <w:rFonts w:eastAsia="宋体" w:cs="Times New Roman"/>
                <w:sz w:val="21"/>
                <w:szCs w:val="21"/>
                <w:lang w:eastAsia="zh-CN" w:bidi="ar"/>
              </w:rPr>
              <w:t>Tetracyclines:  tetracycline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rPr>
                <w:rFonts w:cs="Times New Roman"/>
                <w:sz w:val="21"/>
                <w:szCs w:val="21"/>
              </w:rPr>
            </w:pPr>
            <w:r>
              <w:rPr>
                <w:rFonts w:eastAsia="宋体" w:cs="Times New Roman"/>
                <w:sz w:val="21"/>
                <w:szCs w:val="21"/>
                <w:lang w:eastAsia="zh-CN" w:bidi="ar"/>
              </w:rPr>
              <w:t>Sulfonamides: sulfisoxazole</w:t>
            </w:r>
          </w:p>
          <w:p>
            <w:pPr>
              <w:spacing w:before="0" w:after="0"/>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rPr>
                <w:rFonts w:cs="Times New Roman"/>
                <w:sz w:val="21"/>
                <w:szCs w:val="21"/>
              </w:rPr>
            </w:pPr>
            <w:r>
              <w:rPr>
                <w:rFonts w:eastAsia="宋体" w:cs="Times New Roman"/>
                <w:sz w:val="21"/>
                <w:szCs w:val="21"/>
                <w:lang w:eastAsia="zh-CN" w:bidi="ar"/>
              </w:rPr>
              <w:t>Tetracyclines:  tetracycline</w:t>
            </w:r>
          </w:p>
          <w:p>
            <w:pPr>
              <w:spacing w:before="0" w:after="0"/>
              <w:rPr>
                <w:rFonts w:eastAsia="宋体" w:cs="Times New Roman"/>
                <w:sz w:val="21"/>
                <w:szCs w:val="21"/>
                <w:lang w:eastAsia="zh-CN"/>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cs="Times New Roman"/>
                <w:sz w:val="21"/>
                <w:szCs w:val="21"/>
                <w:lang w:eastAsia="zh-CN"/>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eastAsia="宋体" w:cs="Times New Roman"/>
                <w:sz w:val="21"/>
                <w:szCs w:val="21"/>
                <w:lang w:eastAsia="zh-CN"/>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gentamicin, kanamycin</w:t>
            </w:r>
          </w:p>
          <w:p>
            <w:pPr>
              <w:spacing w:before="0" w:after="0"/>
              <w:rPr>
                <w:rFonts w:cs="Times New Roman"/>
                <w:sz w:val="21"/>
                <w:szCs w:val="21"/>
              </w:rPr>
            </w:pPr>
            <w:r>
              <w:rPr>
                <w:rFonts w:eastAsia="宋体" w:cs="Times New Roman"/>
                <w:sz w:val="21"/>
                <w:szCs w:val="21"/>
                <w:lang w:eastAsia="zh-CN" w:bidi="ar"/>
              </w:rPr>
              <w:t>Tetracyclines:  tetracycline, doxycycline</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rPr>
                <w:rFonts w:cs="Times New Roman"/>
                <w:sz w:val="21"/>
                <w:szCs w:val="21"/>
              </w:rPr>
            </w:pPr>
            <w:r>
              <w:rPr>
                <w:rFonts w:eastAsia="宋体" w:cs="Times New Roman"/>
                <w:sz w:val="21"/>
                <w:szCs w:val="21"/>
                <w:lang w:eastAsia="zh-CN" w:bidi="ar"/>
              </w:rPr>
              <w:t>Tetracyclines:  tetracycline, doxycycline</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1</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0.95</w:t>
            </w: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r>
              <w:rPr>
                <w:rFonts w:eastAsia="宋体" w:cs="Times New Roman"/>
                <w:sz w:val="21"/>
                <w:szCs w:val="21"/>
                <w:lang w:eastAsia="zh-CN" w:bidi="ar"/>
              </w:rPr>
              <w:t>MDR</w:t>
            </w: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blaSHV</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cmlA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β-Lactam-β-lactamase-inhibitor combinations: amoxicillin/clavulanic acid</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blaOXA-1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 gentamicin</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aacA4</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floR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CTX-M-15,blaTEM,blaSHV,strA,strB,aadA1,aacC2,aphA1,sul2,tetA</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qnrS</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kanamycin,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 gentamicin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CTX-M-15</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aacC2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qnrB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Rifamycins: 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rPr>
                <w:rFonts w:cs="Times New Roman"/>
                <w:sz w:val="21"/>
                <w:szCs w:val="21"/>
              </w:rPr>
            </w:pPr>
            <w:r>
              <w:rPr>
                <w:rFonts w:eastAsia="宋体" w:cs="Times New Roman"/>
                <w:sz w:val="21"/>
                <w:szCs w:val="21"/>
                <w:lang w:eastAsia="zh-CN" w:bidi="ar"/>
              </w:rPr>
              <w:t>Tetracyclines:  tetracycline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streptomycin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strB</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blaTEM</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 doxycycline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aadA2</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aphA1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tetA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mphA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ceftiofur,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nil"/>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Aminoglycosides: kanamycin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textAlignment w:val="top"/>
              <w:rPr>
                <w:rFonts w:cs="Times New Roman"/>
                <w:sz w:val="21"/>
                <w:szCs w:val="21"/>
              </w:rPr>
            </w:pPr>
            <w:r>
              <w:rPr>
                <w:rFonts w:eastAsia="宋体" w:cs="Times New Roman"/>
                <w:sz w:val="21"/>
                <w:szCs w:val="21"/>
                <w:lang w:eastAsia="zh-CN"/>
              </w:rPr>
              <w:t>A</w:t>
            </w:r>
            <w:r>
              <w:rPr>
                <w:rFonts w:cs="Times New Roman"/>
                <w:sz w:val="21"/>
                <w:szCs w:val="21"/>
              </w:rPr>
              <w:t>mphenicols</w:t>
            </w:r>
            <w:r>
              <w:rPr>
                <w:rFonts w:eastAsia="宋体" w:cs="Times New Roman"/>
                <w:sz w:val="21"/>
                <w:szCs w:val="21"/>
                <w:lang w:eastAsia="zh-CN"/>
              </w:rPr>
              <w:t xml:space="preserve">: </w:t>
            </w:r>
            <w:r>
              <w:rPr>
                <w:rFonts w:cs="Times New Roman"/>
                <w:sz w:val="21"/>
                <w:szCs w:val="21"/>
              </w:rPr>
              <w:t>florfenicol</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Sulfonamides: sulfisoxazole, sulfamethoxazole/trimethoprim</w:t>
            </w:r>
          </w:p>
          <w:p>
            <w:pPr>
              <w:spacing w:before="0" w:after="0"/>
              <w:textAlignment w:val="top"/>
              <w:rPr>
                <w:rFonts w:eastAsia="宋体" w:cs="Times New Roman"/>
                <w:sz w:val="21"/>
                <w:szCs w:val="21"/>
                <w:lang w:eastAsia="zh-CN" w:bidi="ar"/>
              </w:rPr>
            </w:pPr>
            <w:r>
              <w:rPr>
                <w:rFonts w:eastAsia="宋体" w:cs="Times New Roman"/>
                <w:sz w:val="21"/>
                <w:szCs w:val="21"/>
                <w:lang w:eastAsia="zh-CN"/>
              </w:rPr>
              <w:t>R</w:t>
            </w:r>
            <w:r>
              <w:rPr>
                <w:rFonts w:cs="Times New Roman"/>
                <w:sz w:val="21"/>
                <w:szCs w:val="21"/>
              </w:rPr>
              <w:t>ifamycins</w:t>
            </w:r>
            <w:r>
              <w:rPr>
                <w:rFonts w:eastAsia="宋体" w:cs="Times New Roman"/>
                <w:sz w:val="21"/>
                <w:szCs w:val="21"/>
                <w:lang w:eastAsia="zh-CN"/>
              </w:rPr>
              <w:t xml:space="preserve">: </w:t>
            </w:r>
            <w:r>
              <w:rPr>
                <w:rFonts w:cs="Times New Roman"/>
                <w:sz w:val="21"/>
                <w:szCs w:val="21"/>
              </w:rPr>
              <w:t>rifaximin</w:t>
            </w:r>
          </w:p>
        </w:tc>
        <w:tc>
          <w:tcPr>
            <w:tcW w:w="5992" w:type="dxa"/>
            <w:tcBorders>
              <w:top w:val="nil"/>
              <w:left w:val="nil"/>
              <w:bottom w:val="nil"/>
              <w:right w:val="nil"/>
            </w:tcBorders>
            <w:shd w:val="clear" w:color="auto" w:fill="auto"/>
            <w:tcMar>
              <w:top w:w="42" w:type="dxa"/>
              <w:left w:w="84" w:type="dxa"/>
              <w:bottom w:w="42" w:type="dxa"/>
              <w:right w:w="84" w:type="dxa"/>
            </w:tcMar>
          </w:tcPr>
          <w:p>
            <w:pPr>
              <w:spacing w:before="0" w:after="0"/>
              <w:textAlignment w:val="top"/>
              <w:rPr>
                <w:rStyle w:val="26"/>
                <w:rFonts w:eastAsia="宋体" w:cs="Times New Roman"/>
                <w:sz w:val="21"/>
                <w:szCs w:val="21"/>
                <w:lang w:eastAsia="zh-CN" w:bidi="ar"/>
              </w:rPr>
            </w:pPr>
            <w:r>
              <w:rPr>
                <w:rStyle w:val="26"/>
                <w:rFonts w:eastAsia="宋体" w:cs="Times New Roman"/>
                <w:sz w:val="21"/>
                <w:szCs w:val="21"/>
                <w:lang w:eastAsia="zh-CN" w:bidi="ar"/>
              </w:rPr>
              <w:t>strA</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aadA1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sul1</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aac(6')-Ib-cr</w:t>
            </w:r>
            <w:r>
              <w:rPr>
                <w:rStyle w:val="26"/>
                <w:rFonts w:hint="eastAsia" w:eastAsia="宋体" w:cs="Times New Roman"/>
                <w:sz w:val="21"/>
                <w:szCs w:val="21"/>
                <w:lang w:eastAsia="zh-CN" w:bidi="ar"/>
              </w:rPr>
              <w:t xml:space="preserve">, </w:t>
            </w:r>
            <w:r>
              <w:rPr>
                <w:rStyle w:val="26"/>
                <w:rFonts w:eastAsia="宋体" w:cs="Times New Roman"/>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0" w:type="auto"/>
            <w:tcBorders>
              <w:top w:val="nil"/>
              <w:left w:val="nil"/>
              <w:bottom w:val="single" w:color="000000" w:sz="4" w:space="0"/>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single" w:color="000000" w:sz="4" w:space="0"/>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0" w:type="auto"/>
            <w:tcBorders>
              <w:top w:val="nil"/>
              <w:left w:val="nil"/>
              <w:bottom w:val="single" w:color="000000" w:sz="4" w:space="0"/>
              <w:right w:val="nil"/>
            </w:tcBorders>
            <w:shd w:val="clear" w:color="auto" w:fill="auto"/>
            <w:tcMar>
              <w:top w:w="42" w:type="dxa"/>
              <w:left w:w="84" w:type="dxa"/>
              <w:bottom w:w="42" w:type="dxa"/>
              <w:right w:w="84" w:type="dxa"/>
            </w:tcMar>
          </w:tcPr>
          <w:p>
            <w:pPr>
              <w:spacing w:line="344" w:lineRule="atLeast"/>
              <w:jc w:val="center"/>
              <w:textAlignment w:val="top"/>
              <w:rPr>
                <w:rFonts w:eastAsia="宋体" w:cs="Times New Roman"/>
                <w:sz w:val="21"/>
                <w:szCs w:val="21"/>
                <w:lang w:eastAsia="zh-CN" w:bidi="ar"/>
              </w:rPr>
            </w:pPr>
          </w:p>
        </w:tc>
        <w:tc>
          <w:tcPr>
            <w:tcW w:w="5341" w:type="dxa"/>
            <w:tcBorders>
              <w:top w:val="nil"/>
              <w:left w:val="nil"/>
              <w:bottom w:val="single" w:color="000000" w:sz="4" w:space="0"/>
              <w:right w:val="nil"/>
            </w:tcBorders>
            <w:shd w:val="clear" w:color="auto" w:fill="auto"/>
            <w:tcMar>
              <w:top w:w="42" w:type="dxa"/>
              <w:left w:w="84" w:type="dxa"/>
              <w:bottom w:w="42" w:type="dxa"/>
              <w:right w:w="84" w:type="dxa"/>
            </w:tcMar>
          </w:tcPr>
          <w:p>
            <w:pPr>
              <w:spacing w:before="0" w:after="0"/>
              <w:textAlignment w:val="top"/>
              <w:rPr>
                <w:rFonts w:eastAsia="宋体" w:cs="Times New Roman"/>
                <w:sz w:val="21"/>
                <w:szCs w:val="21"/>
                <w:lang w:eastAsia="zh-CN" w:bidi="ar"/>
              </w:rPr>
            </w:pPr>
            <w:r>
              <w:rPr>
                <w:rFonts w:eastAsia="宋体" w:cs="Times New Roman"/>
                <w:sz w:val="21"/>
                <w:szCs w:val="21"/>
                <w:lang w:eastAsia="zh-CN" w:bidi="ar"/>
              </w:rPr>
              <w:t>1st and 2nd generation cephalosporins: cephalothin</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3st and 4nd generation cephalosporins: ceftriaxone</w:t>
            </w:r>
          </w:p>
          <w:p>
            <w:pPr>
              <w:spacing w:before="0" w:after="0"/>
              <w:textAlignment w:val="top"/>
              <w:rPr>
                <w:rFonts w:eastAsia="宋体" w:cs="Times New Roman"/>
                <w:sz w:val="21"/>
                <w:szCs w:val="21"/>
                <w:lang w:eastAsia="zh-CN" w:bidi="ar"/>
              </w:rPr>
            </w:pPr>
            <w:r>
              <w:rPr>
                <w:rFonts w:eastAsia="宋体" w:cs="Times New Roman"/>
                <w:sz w:val="21"/>
                <w:szCs w:val="21"/>
                <w:lang w:eastAsia="zh-CN" w:bidi="ar"/>
              </w:rPr>
              <w:t>Tetracyclines:  tetracycline</w:t>
            </w:r>
          </w:p>
          <w:p>
            <w:pPr>
              <w:spacing w:before="0" w:after="0"/>
              <w:rPr>
                <w:rFonts w:cs="Times New Roman"/>
                <w:sz w:val="21"/>
                <w:szCs w:val="21"/>
              </w:rPr>
            </w:pPr>
            <w:r>
              <w:rPr>
                <w:rFonts w:eastAsia="宋体" w:cs="Times New Roman"/>
                <w:sz w:val="21"/>
                <w:szCs w:val="21"/>
                <w:lang w:eastAsia="zh-CN" w:bidi="ar"/>
              </w:rPr>
              <w:t>Fluoroquinolones: ciprofloxacin</w:t>
            </w:r>
          </w:p>
          <w:p>
            <w:pPr>
              <w:spacing w:before="0" w:after="0"/>
              <w:textAlignment w:val="top"/>
              <w:rPr>
                <w:rFonts w:eastAsia="宋体" w:cs="Times New Roman"/>
                <w:sz w:val="21"/>
                <w:szCs w:val="21"/>
                <w:lang w:eastAsia="zh-CN"/>
              </w:rPr>
            </w:pPr>
            <w:r>
              <w:rPr>
                <w:rFonts w:eastAsia="宋体" w:cs="Times New Roman"/>
                <w:sz w:val="21"/>
                <w:szCs w:val="21"/>
                <w:lang w:eastAsia="zh-CN" w:bidi="ar"/>
              </w:rPr>
              <w:t>Sulfonamides: sulfisoxazole, sulfamethoxazole/trimethoprim</w:t>
            </w:r>
          </w:p>
        </w:tc>
        <w:tc>
          <w:tcPr>
            <w:tcW w:w="5992" w:type="dxa"/>
            <w:tcBorders>
              <w:top w:val="nil"/>
              <w:left w:val="nil"/>
              <w:bottom w:val="single" w:color="000000" w:sz="4" w:space="0"/>
              <w:right w:val="nil"/>
            </w:tcBorders>
            <w:shd w:val="clear" w:color="auto" w:fill="auto"/>
            <w:tcMar>
              <w:top w:w="42" w:type="dxa"/>
              <w:left w:w="84" w:type="dxa"/>
              <w:bottom w:w="42" w:type="dxa"/>
              <w:right w:w="84" w:type="dxa"/>
            </w:tcMar>
            <w:vAlign w:val="center"/>
          </w:tcPr>
          <w:p>
            <w:pPr>
              <w:spacing w:before="0" w:after="0"/>
              <w:textAlignment w:val="center"/>
              <w:rPr>
                <w:rFonts w:eastAsia="宋体" w:cs="Times New Roman"/>
                <w:i/>
                <w:iCs/>
                <w:color w:val="000000"/>
                <w:sz w:val="21"/>
                <w:szCs w:val="21"/>
                <w:lang w:eastAsia="zh-CN"/>
              </w:rPr>
            </w:pPr>
            <w:r>
              <w:rPr>
                <w:rFonts w:eastAsia="宋体" w:cs="Times New Roman"/>
                <w:i/>
                <w:iCs/>
                <w:color w:val="000000"/>
                <w:sz w:val="21"/>
                <w:szCs w:val="21"/>
                <w:lang w:eastAsia="zh-CN" w:bidi="ar"/>
              </w:rPr>
              <w:t>strA</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aac(6')-Ib-cr</w:t>
            </w:r>
            <w:r>
              <w:rPr>
                <w:rFonts w:hint="eastAsia" w:eastAsia="宋体" w:cs="Times New Roman"/>
                <w:i/>
                <w:iCs/>
                <w:color w:val="000000"/>
                <w:sz w:val="21"/>
                <w:szCs w:val="21"/>
                <w:lang w:eastAsia="zh-CN" w:bidi="ar"/>
              </w:rPr>
              <w:t xml:space="preserve">, </w:t>
            </w:r>
            <w:r>
              <w:rPr>
                <w:rFonts w:eastAsia="宋体" w:cs="Times New Roman"/>
                <w:i/>
                <w:iCs/>
                <w:color w:val="000000"/>
                <w:sz w:val="21"/>
                <w:szCs w:val="21"/>
                <w:lang w:eastAsia="zh-CN" w:bidi="ar"/>
              </w:rPr>
              <w:t>ermB</w:t>
            </w:r>
            <w:r>
              <w:rPr>
                <w:rStyle w:val="26"/>
                <w:rFonts w:hint="eastAsia" w:eastAsia="宋体" w:cs="Times New Roman"/>
                <w:i w:val="0"/>
                <w:iCs w:val="0"/>
                <w:sz w:val="21"/>
                <w:szCs w:val="21"/>
                <w:lang w:eastAsia="zh-CN" w:bidi="ar"/>
              </w:rPr>
              <w:t xml:space="preserve"> </w:t>
            </w:r>
            <w:r>
              <w:rPr>
                <w:rFonts w:eastAsia="宋体" w:cs="Times New Roman"/>
                <w:color w:val="000000"/>
                <w:sz w:val="21"/>
                <w:szCs w:val="21"/>
                <w:lang w:eastAsia="zh-CN" w:bidi="ar"/>
              </w:rPr>
              <w:t>(n=1)</w:t>
            </w:r>
          </w:p>
        </w:tc>
      </w:tr>
    </w:tbl>
    <w:p>
      <w:pPr>
        <w:sectPr>
          <w:type w:val="continuous"/>
          <w:pgSz w:w="16838" w:h="11906" w:orient="landscape"/>
          <w:pgMar w:top="1800" w:right="1440" w:bottom="1800" w:left="1440" w:header="851" w:footer="992" w:gutter="0"/>
          <w:cols w:space="720" w:num="1"/>
          <w:docGrid w:type="lines" w:linePitch="312" w:charSpace="0"/>
        </w:sectPr>
      </w:pPr>
    </w:p>
    <w:p>
      <w:pPr>
        <w:autoSpaceDE w:val="0"/>
        <w:rPr>
          <w:szCs w:val="24"/>
        </w:rPr>
      </w:pPr>
      <w:r>
        <w:rPr>
          <w:rFonts w:hint="eastAsia" w:eastAsia="宋体"/>
          <w:szCs w:val="24"/>
          <w:lang w:eastAsia="zh-CN"/>
        </w:rPr>
        <w:t xml:space="preserve">Note: </w:t>
      </w:r>
      <w:r>
        <w:rPr>
          <w:rFonts w:hint="eastAsia"/>
          <w:szCs w:val="24"/>
        </w:rPr>
        <w:t>MDR</w:t>
      </w:r>
      <w:r>
        <w:rPr>
          <w:rFonts w:hint="eastAsia" w:eastAsia="宋体"/>
          <w:szCs w:val="24"/>
          <w:lang w:eastAsia="zh-CN"/>
        </w:rPr>
        <w:t xml:space="preserve">: </w:t>
      </w:r>
      <w:r>
        <w:rPr>
          <w:rFonts w:hint="eastAsia"/>
          <w:szCs w:val="24"/>
        </w:rPr>
        <w:t>non-susceptible to ≥ one agent in ≥ three antimicrobial classes.</w:t>
      </w:r>
    </w:p>
    <w:p>
      <w:pPr>
        <w:autoSpaceDE w:val="0"/>
        <w:rPr>
          <w:b/>
          <w:bCs/>
          <w:szCs w:val="24"/>
        </w:rPr>
      </w:pPr>
    </w:p>
    <w:p>
      <w:pPr>
        <w:autoSpaceDE w:val="0"/>
        <w:rPr>
          <w:szCs w:val="24"/>
        </w:rPr>
      </w:pPr>
      <w:r>
        <w:rPr>
          <w:b/>
          <w:bCs/>
          <w:szCs w:val="24"/>
        </w:rPr>
        <w:t>Table</w:t>
      </w:r>
      <w:r>
        <w:rPr>
          <w:rFonts w:hint="eastAsia"/>
          <w:b/>
          <w:bCs/>
          <w:szCs w:val="24"/>
        </w:rPr>
        <w:t xml:space="preserve"> S</w:t>
      </w:r>
      <w:r>
        <w:rPr>
          <w:rFonts w:hint="eastAsia"/>
          <w:b/>
          <w:bCs/>
          <w:szCs w:val="24"/>
          <w:lang w:eastAsia="zh-CN"/>
        </w:rPr>
        <w:t>6</w:t>
      </w:r>
      <w:r>
        <w:rPr>
          <w:szCs w:val="24"/>
        </w:rPr>
        <w:t xml:space="preserve"> </w:t>
      </w:r>
      <w:r>
        <w:rPr>
          <w:rFonts w:hint="eastAsia"/>
          <w:szCs w:val="24"/>
        </w:rPr>
        <w:t xml:space="preserve">Silent mutations of </w:t>
      </w:r>
      <w:r>
        <w:rPr>
          <w:rFonts w:hint="eastAsia"/>
          <w:i/>
          <w:iCs/>
          <w:szCs w:val="24"/>
        </w:rPr>
        <w:t>gyrA</w:t>
      </w:r>
      <w:r>
        <w:rPr>
          <w:rFonts w:hint="eastAsia"/>
          <w:szCs w:val="24"/>
        </w:rPr>
        <w:t xml:space="preserve">, </w:t>
      </w:r>
      <w:r>
        <w:rPr>
          <w:rFonts w:hint="eastAsia"/>
          <w:i/>
          <w:iCs/>
          <w:szCs w:val="24"/>
        </w:rPr>
        <w:t>gyrB</w:t>
      </w:r>
      <w:r>
        <w:rPr>
          <w:rFonts w:hint="eastAsia"/>
          <w:szCs w:val="24"/>
        </w:rPr>
        <w:t xml:space="preserve">, </w:t>
      </w:r>
      <w:r>
        <w:rPr>
          <w:rFonts w:hint="eastAsia"/>
          <w:i/>
          <w:iCs/>
          <w:szCs w:val="24"/>
        </w:rPr>
        <w:t>parC</w:t>
      </w:r>
      <w:r>
        <w:rPr>
          <w:rFonts w:hint="eastAsia"/>
          <w:szCs w:val="24"/>
        </w:rPr>
        <w:t xml:space="preserve">, </w:t>
      </w:r>
      <w:r>
        <w:rPr>
          <w:rFonts w:hint="eastAsia"/>
          <w:i/>
          <w:iCs/>
          <w:szCs w:val="24"/>
        </w:rPr>
        <w:t>parE</w:t>
      </w:r>
      <w:r>
        <w:rPr>
          <w:rFonts w:hint="eastAsia"/>
          <w:szCs w:val="24"/>
        </w:rPr>
        <w:t xml:space="preserve"> in 30 ciprofloxacin-resistant, 3 ciprofloxacin-intermediate and 7 ciprofloxacin-sensitive </w:t>
      </w:r>
      <w:r>
        <w:rPr>
          <w:rFonts w:hint="eastAsia"/>
          <w:i/>
          <w:iCs/>
          <w:szCs w:val="24"/>
        </w:rPr>
        <w:t>K. pneumoniae</w:t>
      </w:r>
    </w:p>
    <w:tbl>
      <w:tblPr>
        <w:tblStyle w:val="20"/>
        <w:tblW w:w="10957"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4"/>
        <w:gridCol w:w="1191"/>
        <w:gridCol w:w="1898"/>
        <w:gridCol w:w="2232"/>
        <w:gridCol w:w="1956"/>
        <w:gridCol w:w="23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304" w:type="dxa"/>
            <w:vMerge w:val="restart"/>
            <w:tcBorders>
              <w:top w:val="single" w:color="auto" w:sz="4" w:space="0"/>
            </w:tcBorders>
            <w:vAlign w:val="center"/>
          </w:tcPr>
          <w:p>
            <w:pPr>
              <w:spacing w:before="0" w:after="0" w:line="240" w:lineRule="atLeast"/>
              <w:jc w:val="center"/>
              <w:rPr>
                <w:b/>
                <w:bCs/>
                <w:color w:val="000000"/>
                <w:sz w:val="18"/>
                <w:szCs w:val="18"/>
              </w:rPr>
            </w:pPr>
            <w:r>
              <w:rPr>
                <w:b/>
                <w:bCs/>
                <w:color w:val="000000"/>
                <w:sz w:val="18"/>
                <w:szCs w:val="18"/>
              </w:rPr>
              <w:t>Isolate</w:t>
            </w:r>
          </w:p>
        </w:tc>
        <w:tc>
          <w:tcPr>
            <w:tcW w:w="1191" w:type="dxa"/>
            <w:tcBorders>
              <w:top w:val="single" w:color="auto" w:sz="4" w:space="0"/>
              <w:bottom w:val="single" w:color="auto" w:sz="4" w:space="0"/>
            </w:tcBorders>
            <w:vAlign w:val="center"/>
          </w:tcPr>
          <w:p>
            <w:pPr>
              <w:spacing w:before="0" w:after="0" w:line="240" w:lineRule="atLeast"/>
              <w:jc w:val="center"/>
              <w:rPr>
                <w:b/>
                <w:bCs/>
                <w:sz w:val="18"/>
                <w:szCs w:val="18"/>
              </w:rPr>
            </w:pPr>
            <w:r>
              <w:rPr>
                <w:b/>
                <w:bCs/>
                <w:color w:val="000000"/>
                <w:sz w:val="18"/>
                <w:szCs w:val="18"/>
              </w:rPr>
              <w:t>MIC (</w:t>
            </w:r>
            <w:r>
              <w:rPr>
                <w:b/>
                <w:bCs/>
                <w:sz w:val="18"/>
                <w:szCs w:val="18"/>
              </w:rPr>
              <w:t>µg/mL</w:t>
            </w:r>
            <w:r>
              <w:rPr>
                <w:b/>
                <w:bCs/>
                <w:color w:val="000000"/>
                <w:sz w:val="18"/>
                <w:szCs w:val="18"/>
              </w:rPr>
              <w:t>)</w:t>
            </w:r>
          </w:p>
        </w:tc>
        <w:tc>
          <w:tcPr>
            <w:tcW w:w="8462" w:type="dxa"/>
            <w:gridSpan w:val="4"/>
            <w:tcBorders>
              <w:top w:val="single" w:color="auto" w:sz="4" w:space="0"/>
              <w:bottom w:val="single" w:color="auto" w:sz="4" w:space="0"/>
            </w:tcBorders>
            <w:vAlign w:val="center"/>
          </w:tcPr>
          <w:p>
            <w:pPr>
              <w:spacing w:before="0" w:after="0" w:line="240" w:lineRule="atLeast"/>
              <w:jc w:val="center"/>
              <w:rPr>
                <w:b/>
                <w:bCs/>
                <w:color w:val="000000"/>
                <w:sz w:val="18"/>
                <w:szCs w:val="18"/>
              </w:rPr>
            </w:pPr>
            <w:r>
              <w:rPr>
                <w:b/>
                <w:bCs/>
                <w:color w:val="000000"/>
                <w:sz w:val="18"/>
                <w:szCs w:val="18"/>
              </w:rPr>
              <w:t>DNA gyrase and topoisomerase IV silent mutations</w:t>
            </w:r>
            <w:r>
              <w:rPr>
                <w:rFonts w:hint="eastAsia"/>
                <w:b/>
                <w:bCs/>
                <w:color w:val="000000"/>
                <w:sz w:val="18"/>
                <w:szCs w:val="18"/>
              </w:rPr>
              <w:t xml:space="preserve"> </w:t>
            </w:r>
            <w:r>
              <w:rPr>
                <w:rFonts w:hint="eastAsia"/>
                <w:b/>
                <w:bCs/>
                <w:color w:val="000000"/>
                <w:sz w:val="18"/>
                <w:szCs w:val="18"/>
                <w:vertAlign w:val="superscript"/>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304" w:type="dxa"/>
            <w:vMerge w:val="continue"/>
            <w:tcBorders>
              <w:bottom w:val="single" w:color="auto" w:sz="4" w:space="0"/>
            </w:tcBorders>
            <w:vAlign w:val="center"/>
          </w:tcPr>
          <w:p>
            <w:pPr>
              <w:spacing w:before="0" w:after="0" w:line="240" w:lineRule="atLeast"/>
              <w:jc w:val="center"/>
              <w:rPr>
                <w:b/>
                <w:bCs/>
                <w:color w:val="000000"/>
                <w:sz w:val="18"/>
                <w:szCs w:val="18"/>
              </w:rPr>
            </w:pPr>
          </w:p>
        </w:tc>
        <w:tc>
          <w:tcPr>
            <w:tcW w:w="1191" w:type="dxa"/>
            <w:tcBorders>
              <w:top w:val="single" w:color="auto" w:sz="4" w:space="0"/>
              <w:bottom w:val="single" w:color="auto" w:sz="4" w:space="0"/>
            </w:tcBorders>
            <w:vAlign w:val="center"/>
          </w:tcPr>
          <w:p>
            <w:pPr>
              <w:spacing w:before="0" w:after="0" w:line="240" w:lineRule="atLeast"/>
              <w:jc w:val="center"/>
              <w:rPr>
                <w:b/>
                <w:bCs/>
                <w:sz w:val="18"/>
                <w:szCs w:val="18"/>
              </w:rPr>
            </w:pPr>
            <w:r>
              <w:rPr>
                <w:b/>
                <w:bCs/>
                <w:sz w:val="18"/>
                <w:szCs w:val="18"/>
              </w:rPr>
              <w:t>ciprofloxacin</w:t>
            </w:r>
          </w:p>
        </w:tc>
        <w:tc>
          <w:tcPr>
            <w:tcW w:w="1898" w:type="dxa"/>
            <w:tcBorders>
              <w:top w:val="single" w:color="auto" w:sz="4" w:space="0"/>
              <w:bottom w:val="single" w:color="auto" w:sz="4" w:space="0"/>
            </w:tcBorders>
            <w:vAlign w:val="center"/>
          </w:tcPr>
          <w:p>
            <w:pPr>
              <w:spacing w:before="0" w:after="0" w:line="240" w:lineRule="atLeast"/>
              <w:jc w:val="center"/>
              <w:rPr>
                <w:b/>
                <w:bCs/>
                <w:i/>
                <w:iCs/>
                <w:color w:val="000000"/>
                <w:sz w:val="18"/>
                <w:szCs w:val="18"/>
              </w:rPr>
            </w:pPr>
            <w:r>
              <w:rPr>
                <w:b/>
                <w:bCs/>
                <w:i/>
                <w:iCs/>
                <w:color w:val="000000"/>
                <w:sz w:val="18"/>
                <w:szCs w:val="18"/>
              </w:rPr>
              <w:t>gyrA</w:t>
            </w:r>
          </w:p>
        </w:tc>
        <w:tc>
          <w:tcPr>
            <w:tcW w:w="2232" w:type="dxa"/>
            <w:tcBorders>
              <w:top w:val="single" w:color="auto" w:sz="4" w:space="0"/>
              <w:bottom w:val="single" w:color="auto" w:sz="4" w:space="0"/>
            </w:tcBorders>
            <w:vAlign w:val="center"/>
          </w:tcPr>
          <w:p>
            <w:pPr>
              <w:spacing w:before="0" w:after="0" w:line="240" w:lineRule="atLeast"/>
              <w:jc w:val="center"/>
              <w:rPr>
                <w:b/>
                <w:bCs/>
                <w:i/>
                <w:iCs/>
                <w:color w:val="000000"/>
                <w:sz w:val="18"/>
                <w:szCs w:val="18"/>
              </w:rPr>
            </w:pPr>
            <w:r>
              <w:rPr>
                <w:b/>
                <w:bCs/>
                <w:i/>
                <w:iCs/>
                <w:color w:val="000000"/>
                <w:sz w:val="18"/>
                <w:szCs w:val="18"/>
              </w:rPr>
              <w:t>gyrB</w:t>
            </w:r>
          </w:p>
        </w:tc>
        <w:tc>
          <w:tcPr>
            <w:tcW w:w="1956" w:type="dxa"/>
            <w:tcBorders>
              <w:top w:val="single" w:color="auto" w:sz="4" w:space="0"/>
              <w:bottom w:val="single" w:color="auto" w:sz="4" w:space="0"/>
            </w:tcBorders>
            <w:vAlign w:val="center"/>
          </w:tcPr>
          <w:p>
            <w:pPr>
              <w:spacing w:before="0" w:after="0" w:line="240" w:lineRule="atLeast"/>
              <w:jc w:val="center"/>
              <w:rPr>
                <w:b/>
                <w:bCs/>
                <w:i/>
                <w:iCs/>
                <w:color w:val="000000"/>
                <w:sz w:val="18"/>
                <w:szCs w:val="18"/>
              </w:rPr>
            </w:pPr>
            <w:r>
              <w:rPr>
                <w:b/>
                <w:bCs/>
                <w:i/>
                <w:iCs/>
                <w:color w:val="000000"/>
                <w:sz w:val="18"/>
                <w:szCs w:val="18"/>
              </w:rPr>
              <w:t>parC</w:t>
            </w:r>
          </w:p>
        </w:tc>
        <w:tc>
          <w:tcPr>
            <w:tcW w:w="2376" w:type="dxa"/>
            <w:tcBorders>
              <w:top w:val="single" w:color="auto" w:sz="4" w:space="0"/>
              <w:bottom w:val="single" w:color="auto" w:sz="4" w:space="0"/>
            </w:tcBorders>
            <w:vAlign w:val="center"/>
          </w:tcPr>
          <w:p>
            <w:pPr>
              <w:spacing w:before="0" w:after="0" w:line="240" w:lineRule="atLeast"/>
              <w:jc w:val="center"/>
              <w:rPr>
                <w:b/>
                <w:bCs/>
                <w:i/>
                <w:iCs/>
                <w:color w:val="000000"/>
                <w:sz w:val="18"/>
                <w:szCs w:val="18"/>
              </w:rPr>
            </w:pPr>
            <w:r>
              <w:rPr>
                <w:b/>
                <w:bCs/>
                <w:i/>
                <w:iCs/>
                <w:color w:val="000000"/>
                <w:sz w:val="18"/>
                <w:szCs w:val="18"/>
              </w:rPr>
              <w:t>parE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jc w:val="center"/>
        </w:trPr>
        <w:tc>
          <w:tcPr>
            <w:tcW w:w="1304" w:type="dxa"/>
            <w:tcBorders>
              <w:top w:val="single" w:color="auto" w:sz="4" w:space="0"/>
            </w:tcBorders>
            <w:vAlign w:val="center"/>
          </w:tcPr>
          <w:p>
            <w:pPr>
              <w:spacing w:line="240" w:lineRule="atLeast"/>
              <w:jc w:val="center"/>
              <w:rPr>
                <w:color w:val="000000"/>
                <w:sz w:val="18"/>
                <w:szCs w:val="18"/>
              </w:rPr>
            </w:pPr>
            <w:r>
              <w:rPr>
                <w:color w:val="000000"/>
                <w:sz w:val="18"/>
                <w:szCs w:val="18"/>
              </w:rPr>
              <w:t>K-JX19h21</w:t>
            </w:r>
          </w:p>
        </w:tc>
        <w:tc>
          <w:tcPr>
            <w:tcW w:w="1191" w:type="dxa"/>
            <w:tcBorders>
              <w:top w:val="single" w:color="auto" w:sz="4" w:space="0"/>
            </w:tcBorders>
            <w:noWrap/>
            <w:vAlign w:val="center"/>
          </w:tcPr>
          <w:p>
            <w:pPr>
              <w:spacing w:line="240" w:lineRule="atLeast"/>
              <w:jc w:val="center"/>
              <w:rPr>
                <w:color w:val="000000"/>
                <w:sz w:val="18"/>
                <w:szCs w:val="18"/>
              </w:rPr>
            </w:pPr>
            <w:r>
              <w:rPr>
                <w:color w:val="000000"/>
                <w:sz w:val="18"/>
                <w:szCs w:val="18"/>
              </w:rPr>
              <w:t>1</w:t>
            </w:r>
          </w:p>
        </w:tc>
        <w:tc>
          <w:tcPr>
            <w:tcW w:w="1898" w:type="dxa"/>
            <w:tcBorders>
              <w:top w:val="single" w:color="auto" w:sz="4" w:space="0"/>
            </w:tcBorders>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tcBorders>
              <w:top w:val="single" w:color="auto" w:sz="4" w:space="0"/>
            </w:tcBorders>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tcBorders>
              <w:top w:val="single" w:color="auto" w:sz="4" w:space="0"/>
            </w:tcBorders>
            <w:vAlign w:val="center"/>
          </w:tcPr>
          <w:p>
            <w:pPr>
              <w:spacing w:line="240" w:lineRule="atLeast"/>
              <w:jc w:val="center"/>
              <w:rPr>
                <w:color w:val="000000"/>
                <w:sz w:val="18"/>
                <w:szCs w:val="18"/>
              </w:rPr>
            </w:pPr>
            <w:r>
              <w:rPr>
                <w:color w:val="000000"/>
                <w:sz w:val="18"/>
                <w:szCs w:val="18"/>
              </w:rPr>
              <w:t>–</w:t>
            </w:r>
          </w:p>
        </w:tc>
        <w:tc>
          <w:tcPr>
            <w:tcW w:w="2376" w:type="dxa"/>
            <w:tcBorders>
              <w:top w:val="single" w:color="auto" w:sz="4" w:space="0"/>
            </w:tcBorders>
            <w:vAlign w:val="center"/>
          </w:tcPr>
          <w:p>
            <w:pPr>
              <w:spacing w:line="240" w:lineRule="atLeast"/>
              <w:jc w:val="center"/>
              <w:rPr>
                <w:color w:val="000000"/>
                <w:sz w:val="18"/>
                <w:szCs w:val="18"/>
              </w:rPr>
            </w:pPr>
            <w:r>
              <w:rPr>
                <w:color w:val="000000"/>
                <w:sz w:val="18"/>
                <w:szCs w:val="18"/>
              </w:rPr>
              <w:t>Val401(CTG→CTA);</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K-MJD19c49</w:t>
            </w:r>
          </w:p>
        </w:tc>
        <w:tc>
          <w:tcPr>
            <w:tcW w:w="1191" w:type="dxa"/>
            <w:noWrap/>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Lys400(AAG→AAA);</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line="240" w:lineRule="atLeast"/>
              <w:jc w:val="center"/>
              <w:rPr>
                <w:color w:val="000000"/>
                <w:sz w:val="18"/>
                <w:szCs w:val="18"/>
              </w:rPr>
            </w:pPr>
            <w:r>
              <w:rPr>
                <w:color w:val="000000"/>
                <w:sz w:val="18"/>
                <w:szCs w:val="18"/>
              </w:rPr>
              <w:t>K-BYS20c107</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Val401(CTG→CTA);</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jc w:val="center"/>
        </w:trPr>
        <w:tc>
          <w:tcPr>
            <w:tcW w:w="1304" w:type="dxa"/>
            <w:vAlign w:val="center"/>
          </w:tcPr>
          <w:p>
            <w:pPr>
              <w:spacing w:line="240" w:lineRule="atLeast"/>
              <w:jc w:val="center"/>
              <w:rPr>
                <w:color w:val="000000"/>
                <w:sz w:val="18"/>
                <w:szCs w:val="18"/>
              </w:rPr>
            </w:pPr>
            <w:r>
              <w:rPr>
                <w:color w:val="000000"/>
                <w:sz w:val="18"/>
                <w:szCs w:val="18"/>
              </w:rPr>
              <w:t>K-BYS20b111</w:t>
            </w:r>
          </w:p>
        </w:tc>
        <w:tc>
          <w:tcPr>
            <w:tcW w:w="1191" w:type="dxa"/>
            <w:vAlign w:val="center"/>
          </w:tcPr>
          <w:p>
            <w:pPr>
              <w:spacing w:line="240" w:lineRule="atLeast"/>
              <w:jc w:val="center"/>
              <w:rPr>
                <w:color w:val="000000"/>
                <w:sz w:val="18"/>
                <w:szCs w:val="18"/>
              </w:rPr>
            </w:pPr>
            <w:r>
              <w:rPr>
                <w:color w:val="000000"/>
                <w:sz w:val="18"/>
                <w:szCs w:val="18"/>
              </w:rPr>
              <w:t>4</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jc w:val="center"/>
        </w:trPr>
        <w:tc>
          <w:tcPr>
            <w:tcW w:w="1304" w:type="dxa"/>
            <w:vAlign w:val="center"/>
          </w:tcPr>
          <w:p>
            <w:pPr>
              <w:spacing w:line="240" w:lineRule="atLeast"/>
              <w:jc w:val="center"/>
              <w:rPr>
                <w:color w:val="000000"/>
                <w:sz w:val="18"/>
                <w:szCs w:val="18"/>
              </w:rPr>
            </w:pPr>
            <w:r>
              <w:rPr>
                <w:color w:val="000000"/>
                <w:sz w:val="18"/>
                <w:szCs w:val="18"/>
              </w:rPr>
              <w:t>K-MJD20e130</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K-MJD20e133</w:t>
            </w:r>
          </w:p>
        </w:tc>
        <w:tc>
          <w:tcPr>
            <w:tcW w:w="1191" w:type="dxa"/>
            <w:vAlign w:val="center"/>
          </w:tcPr>
          <w:p>
            <w:pPr>
              <w:spacing w:line="240" w:lineRule="atLeast"/>
              <w:jc w:val="center"/>
              <w:rPr>
                <w:color w:val="000000"/>
                <w:sz w:val="18"/>
                <w:szCs w:val="18"/>
              </w:rPr>
            </w:pPr>
            <w:r>
              <w:rPr>
                <w:color w:val="000000"/>
                <w:sz w:val="18"/>
                <w:szCs w:val="18"/>
              </w:rPr>
              <w:t>4</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Ala442</w:t>
            </w:r>
            <w:r>
              <w:rPr>
                <w:rFonts w:hint="eastAsia"/>
                <w:color w:val="000000"/>
                <w:sz w:val="18"/>
                <w:szCs w:val="18"/>
              </w:rPr>
              <w:t>(</w:t>
            </w:r>
            <w:r>
              <w:rPr>
                <w:color w:val="000000"/>
                <w:sz w:val="18"/>
                <w:szCs w:val="18"/>
              </w:rPr>
              <w:t>GCG→GCT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Val453(GTT→GTC)</w:t>
            </w:r>
          </w:p>
        </w:tc>
        <w:tc>
          <w:tcPr>
            <w:tcW w:w="1956" w:type="dxa"/>
            <w:vAlign w:val="center"/>
          </w:tcPr>
          <w:p>
            <w:pPr>
              <w:spacing w:line="240" w:lineRule="atLeast"/>
              <w:jc w:val="center"/>
              <w:rPr>
                <w:color w:val="000000"/>
                <w:sz w:val="18"/>
                <w:szCs w:val="18"/>
              </w:rPr>
            </w:pPr>
            <w:r>
              <w:rPr>
                <w:color w:val="000000"/>
                <w:sz w:val="18"/>
                <w:szCs w:val="18"/>
              </w:rPr>
              <w:t>Leu161</w:t>
            </w:r>
            <w:r>
              <w:rPr>
                <w:rFonts w:hint="eastAsia"/>
                <w:color w:val="000000"/>
                <w:sz w:val="18"/>
                <w:szCs w:val="18"/>
              </w:rPr>
              <w:t>(</w:t>
            </w:r>
            <w:r>
              <w:rPr>
                <w:color w:val="000000"/>
                <w:sz w:val="18"/>
                <w:szCs w:val="18"/>
              </w:rPr>
              <w:t>CTG→TTG</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Glu418(GAA→GAG);</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line="240" w:lineRule="atLeast"/>
              <w:jc w:val="center"/>
              <w:rPr>
                <w:color w:val="000000"/>
                <w:sz w:val="18"/>
                <w:szCs w:val="18"/>
              </w:rPr>
            </w:pPr>
            <w:r>
              <w:rPr>
                <w:color w:val="000000"/>
                <w:sz w:val="18"/>
                <w:szCs w:val="18"/>
              </w:rPr>
              <w:t>K-MJD20e135</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color w:val="000000"/>
                <w:sz w:val="18"/>
                <w:szCs w:val="18"/>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Val401(CTG→CTA)</w:t>
            </w:r>
            <w:r>
              <w:rPr>
                <w:rFonts w:hint="eastAsia"/>
                <w:color w:val="000000"/>
                <w:sz w:val="18"/>
                <w:szCs w:val="18"/>
              </w:rPr>
              <w:t>;</w:t>
            </w:r>
            <w:r>
              <w:rPr>
                <w:rFonts w:hint="eastAsia" w:eastAsia="宋体"/>
                <w:color w:val="000000"/>
                <w:sz w:val="18"/>
                <w:szCs w:val="18"/>
                <w:lang w:eastAsia="zh-CN"/>
              </w:rPr>
              <w:t xml:space="preserve"> </w:t>
            </w:r>
            <w:r>
              <w:rPr>
                <w:color w:val="000000"/>
                <w:sz w:val="18"/>
                <w:szCs w:val="18"/>
              </w:rPr>
              <w:t>Leu416(CTT→CTC)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Ser451(TCC→TCT)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Asp473(GAC→GAT)</w:t>
            </w:r>
            <w:r>
              <w:rPr>
                <w:rFonts w:hint="eastAsia"/>
                <w:color w:val="000000"/>
                <w:sz w:val="18"/>
                <w:szCs w:val="18"/>
              </w:rPr>
              <w:t>;</w:t>
            </w:r>
            <w:r>
              <w:rPr>
                <w:rFonts w:hint="eastAsia" w:eastAsia="宋体"/>
                <w:color w:val="000000"/>
                <w:sz w:val="18"/>
                <w:szCs w:val="18"/>
                <w:lang w:eastAsia="zh-CN"/>
              </w:rPr>
              <w:t xml:space="preserve"> </w:t>
            </w:r>
            <w:r>
              <w:rPr>
                <w:rFonts w:hint="eastAsia"/>
                <w:color w:val="000000"/>
                <w:sz w:val="18"/>
                <w:szCs w:val="18"/>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K-MJD20e137</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K-MJD20e141</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K-MJD20e144</w:t>
            </w:r>
          </w:p>
        </w:tc>
        <w:tc>
          <w:tcPr>
            <w:tcW w:w="1191" w:type="dxa"/>
            <w:vAlign w:val="center"/>
          </w:tcPr>
          <w:p>
            <w:pPr>
              <w:spacing w:line="240" w:lineRule="atLeast"/>
              <w:jc w:val="center"/>
              <w:rPr>
                <w:color w:val="000000"/>
                <w:sz w:val="18"/>
                <w:szCs w:val="18"/>
              </w:rPr>
            </w:pPr>
            <w:r>
              <w:rPr>
                <w:color w:val="000000"/>
                <w:sz w:val="18"/>
                <w:szCs w:val="18"/>
              </w:rPr>
              <w:t>4</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K-MJD20e148</w:t>
            </w:r>
          </w:p>
        </w:tc>
        <w:tc>
          <w:tcPr>
            <w:tcW w:w="1191" w:type="dxa"/>
            <w:vAlign w:val="center"/>
          </w:tcPr>
          <w:p>
            <w:pPr>
              <w:spacing w:line="240" w:lineRule="atLeast"/>
              <w:jc w:val="center"/>
              <w:rPr>
                <w:color w:val="000000"/>
                <w:sz w:val="18"/>
                <w:szCs w:val="18"/>
              </w:rPr>
            </w:pPr>
            <w:r>
              <w:rPr>
                <w:color w:val="000000"/>
                <w:sz w:val="18"/>
                <w:szCs w:val="18"/>
              </w:rPr>
              <w:t>4</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Leu161</w:t>
            </w:r>
            <w:r>
              <w:rPr>
                <w:rFonts w:hint="eastAsia"/>
                <w:color w:val="000000"/>
                <w:sz w:val="18"/>
                <w:szCs w:val="18"/>
              </w:rPr>
              <w:t>(</w:t>
            </w:r>
            <w:r>
              <w:rPr>
                <w:color w:val="000000"/>
                <w:sz w:val="18"/>
                <w:szCs w:val="18"/>
              </w:rPr>
              <w:t>CTG→TTG</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Glu418(GAA→GAG);</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K-MJD20e149</w:t>
            </w:r>
          </w:p>
        </w:tc>
        <w:tc>
          <w:tcPr>
            <w:tcW w:w="1191" w:type="dxa"/>
            <w:vAlign w:val="center"/>
          </w:tcPr>
          <w:p>
            <w:pPr>
              <w:spacing w:line="240" w:lineRule="atLeast"/>
              <w:jc w:val="center"/>
              <w:rPr>
                <w:color w:val="000000"/>
                <w:sz w:val="18"/>
                <w:szCs w:val="18"/>
              </w:rPr>
            </w:pPr>
            <w:r>
              <w:rPr>
                <w:color w:val="000000"/>
                <w:sz w:val="18"/>
                <w:szCs w:val="18"/>
              </w:rPr>
              <w:t>16</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color w:val="000000"/>
                <w:sz w:val="18"/>
                <w:szCs w:val="18"/>
              </w:rPr>
              <w:t xml:space="preserve">; </w:t>
            </w:r>
            <w:r>
              <w:rPr>
                <w:color w:val="000000"/>
                <w:sz w:val="18"/>
                <w:szCs w:val="18"/>
              </w:rPr>
              <w:t>Leu416(CTT→CTC)</w:t>
            </w:r>
            <w:r>
              <w:rPr>
                <w:rFonts w:hint="eastAsia"/>
                <w:color w:val="000000"/>
                <w:sz w:val="18"/>
                <w:szCs w:val="18"/>
              </w:rPr>
              <w:t xml:space="preserve">; </w:t>
            </w:r>
            <w:r>
              <w:rPr>
                <w:color w:val="000000"/>
                <w:sz w:val="18"/>
                <w:szCs w:val="18"/>
              </w:rPr>
              <w:t>Ser451(TCC→TCT)</w:t>
            </w:r>
            <w:r>
              <w:rPr>
                <w:rFonts w:hint="eastAsia"/>
                <w:color w:val="000000"/>
                <w:sz w:val="18"/>
                <w:szCs w:val="18"/>
              </w:rPr>
              <w:t xml:space="preserve">; </w:t>
            </w:r>
            <w:r>
              <w:rPr>
                <w:color w:val="000000"/>
                <w:sz w:val="18"/>
                <w:szCs w:val="18"/>
              </w:rPr>
              <w:t>Asp473(GAC→GAT)</w:t>
            </w:r>
            <w:r>
              <w:rPr>
                <w:rFonts w:hint="eastAsia"/>
                <w:color w:val="000000"/>
                <w:sz w:val="18"/>
                <w:szCs w:val="18"/>
              </w:rPr>
              <w:t xml:space="preserve">; </w:t>
            </w:r>
            <w:r>
              <w:rPr>
                <w:color w:val="000000"/>
                <w:sz w:val="18"/>
                <w:szCs w:val="18"/>
              </w:rPr>
              <w:t>Cys486(TGT→TGC)</w:t>
            </w:r>
            <w:r>
              <w:rPr>
                <w:rFonts w:hint="eastAsia"/>
                <w:color w:val="000000"/>
                <w:sz w:val="18"/>
                <w:szCs w:val="18"/>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K-MJD20e152</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Leu416(CTT→CTC)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Ser451(TCC→TCT)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Asp473(GAC→GAT)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Cys486(TGT→TGC)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K-MJD20c157</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Leu416(CTT→CTC)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Ser451(TCC→TCT)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Asp473(GAC→GAT)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Cys486(TGT→TGC)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K-MJD20c161</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Leu416(CTT→CTC)</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Ser451(TCC→TCT)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Asp473(GAC→GAT)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Cys486(TGT→TGC)</w:t>
            </w:r>
            <w:r>
              <w:rPr>
                <w:rFonts w:hint="eastAsia"/>
                <w:color w:val="000000"/>
                <w:sz w:val="18"/>
                <w:szCs w:val="18"/>
              </w:rPr>
              <w: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K-MJD20c164</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color w:val="000000"/>
                <w:sz w:val="18"/>
                <w:szCs w:val="18"/>
              </w:rPr>
              <w:t xml:space="preserve">; </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color w:val="000000"/>
                <w:sz w:val="18"/>
                <w:szCs w:val="18"/>
              </w:rPr>
              <w:t>;</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Asp453(GAT→GAC);</w:t>
            </w:r>
            <w:r>
              <w:rPr>
                <w:rFonts w:hint="eastAsia" w:eastAsia="宋体"/>
                <w:color w:val="000000"/>
                <w:sz w:val="18"/>
                <w:szCs w:val="18"/>
                <w:lang w:eastAsia="zh-CN"/>
              </w:rPr>
              <w:t xml:space="preserve"> </w:t>
            </w:r>
            <w:r>
              <w:rPr>
                <w:color w:val="000000"/>
                <w:sz w:val="18"/>
                <w:szCs w:val="18"/>
              </w:rPr>
              <w:t>Val455(GTG→GTT);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line="240" w:lineRule="atLeast"/>
              <w:jc w:val="center"/>
              <w:rPr>
                <w:color w:val="000000"/>
                <w:sz w:val="18"/>
                <w:szCs w:val="18"/>
              </w:rPr>
            </w:pPr>
            <w:r>
              <w:rPr>
                <w:color w:val="000000"/>
                <w:sz w:val="18"/>
                <w:szCs w:val="18"/>
              </w:rPr>
              <w:t>K-MJD20c167</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jc w:val="center"/>
        </w:trPr>
        <w:tc>
          <w:tcPr>
            <w:tcW w:w="1304" w:type="dxa"/>
            <w:vAlign w:val="center"/>
          </w:tcPr>
          <w:p>
            <w:pPr>
              <w:spacing w:line="240" w:lineRule="atLeast"/>
              <w:jc w:val="center"/>
              <w:rPr>
                <w:color w:val="000000"/>
                <w:sz w:val="18"/>
                <w:szCs w:val="18"/>
              </w:rPr>
            </w:pPr>
            <w:r>
              <w:rPr>
                <w:color w:val="000000"/>
                <w:sz w:val="18"/>
                <w:szCs w:val="18"/>
              </w:rPr>
              <w:t>K-MJD20c174</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Leu403</w:t>
            </w:r>
            <w:r>
              <w:rPr>
                <w:rFonts w:hint="eastAsia"/>
                <w:color w:val="000000"/>
                <w:sz w:val="18"/>
                <w:szCs w:val="18"/>
              </w:rPr>
              <w:t>(</w:t>
            </w:r>
            <w:r>
              <w:rPr>
                <w:color w:val="000000"/>
                <w:sz w:val="18"/>
                <w:szCs w:val="18"/>
              </w:rPr>
              <w:t>CTG→CTA)</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K-MJD20c178</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Val371</w:t>
            </w:r>
            <w:r>
              <w:rPr>
                <w:rFonts w:hint="eastAsia"/>
                <w:color w:val="000000"/>
                <w:sz w:val="18"/>
                <w:szCs w:val="18"/>
              </w:rPr>
              <w:t>(</w:t>
            </w:r>
            <w:r>
              <w:rPr>
                <w:color w:val="000000"/>
                <w:sz w:val="18"/>
                <w:szCs w:val="18"/>
              </w:rPr>
              <w:t>GTG→GTA);</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Glu418(GAA→GAG);</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K-MJD20c180</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Val371</w:t>
            </w:r>
            <w:r>
              <w:rPr>
                <w:rFonts w:hint="eastAsia"/>
                <w:color w:val="000000"/>
                <w:sz w:val="18"/>
                <w:szCs w:val="18"/>
              </w:rPr>
              <w:t>(</w:t>
            </w:r>
            <w:r>
              <w:rPr>
                <w:color w:val="000000"/>
                <w:sz w:val="18"/>
                <w:szCs w:val="18"/>
              </w:rPr>
              <w:t>GTG→GTA);</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Leu161</w:t>
            </w:r>
            <w:r>
              <w:rPr>
                <w:rFonts w:hint="eastAsia"/>
                <w:color w:val="000000"/>
                <w:sz w:val="18"/>
                <w:szCs w:val="18"/>
              </w:rPr>
              <w:t>(</w:t>
            </w:r>
            <w:r>
              <w:rPr>
                <w:color w:val="000000"/>
                <w:sz w:val="18"/>
                <w:szCs w:val="18"/>
              </w:rPr>
              <w:t>CTG→TTG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Ile172</w:t>
            </w:r>
            <w:r>
              <w:rPr>
                <w:rFonts w:hint="eastAsia"/>
                <w:color w:val="000000"/>
                <w:sz w:val="18"/>
                <w:szCs w:val="18"/>
              </w:rPr>
              <w:t>(</w:t>
            </w:r>
            <w:r>
              <w:rPr>
                <w:color w:val="000000"/>
                <w:sz w:val="18"/>
                <w:szCs w:val="18"/>
              </w:rPr>
              <w:t>ATC→ATA</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K-MJD20b183</w:t>
            </w:r>
          </w:p>
        </w:tc>
        <w:tc>
          <w:tcPr>
            <w:tcW w:w="1191" w:type="dxa"/>
            <w:vAlign w:val="center"/>
          </w:tcPr>
          <w:p>
            <w:pPr>
              <w:spacing w:line="240" w:lineRule="atLeast"/>
              <w:jc w:val="center"/>
              <w:rPr>
                <w:color w:val="000000"/>
                <w:sz w:val="18"/>
                <w:szCs w:val="18"/>
              </w:rPr>
            </w:pPr>
            <w:r>
              <w:rPr>
                <w:color w:val="000000"/>
                <w:sz w:val="18"/>
                <w:szCs w:val="18"/>
              </w:rPr>
              <w:t>4</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line="240" w:lineRule="atLeast"/>
              <w:jc w:val="center"/>
              <w:rPr>
                <w:color w:val="000000"/>
                <w:sz w:val="18"/>
                <w:szCs w:val="18"/>
              </w:rPr>
            </w:pPr>
            <w:r>
              <w:rPr>
                <w:color w:val="000000"/>
                <w:sz w:val="18"/>
                <w:szCs w:val="18"/>
              </w:rPr>
              <w:t>K-MJD20b194</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Leu444</w:t>
            </w:r>
            <w:r>
              <w:rPr>
                <w:rFonts w:hint="eastAsia"/>
                <w:color w:val="000000"/>
                <w:sz w:val="18"/>
                <w:szCs w:val="18"/>
              </w:rPr>
              <w:t>(</w:t>
            </w:r>
            <w:r>
              <w:rPr>
                <w:color w:val="000000"/>
                <w:sz w:val="18"/>
                <w:szCs w:val="18"/>
              </w:rPr>
              <w:t>CTG→CTA</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Ile26</w:t>
            </w:r>
            <w:r>
              <w:rPr>
                <w:rFonts w:hint="eastAsia"/>
                <w:color w:val="000000"/>
                <w:sz w:val="18"/>
                <w:szCs w:val="18"/>
              </w:rPr>
              <w:t>(</w:t>
            </w:r>
            <w:r>
              <w:rPr>
                <w:color w:val="000000"/>
                <w:sz w:val="18"/>
                <w:szCs w:val="18"/>
              </w:rPr>
              <w:t>ATC→ATT</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K-MJD20b197</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Ser347</w:t>
            </w:r>
            <w:r>
              <w:rPr>
                <w:rFonts w:hint="eastAsia"/>
                <w:color w:val="000000"/>
                <w:sz w:val="18"/>
                <w:szCs w:val="18"/>
              </w:rPr>
              <w:t>(</w:t>
            </w:r>
            <w:r>
              <w:rPr>
                <w:color w:val="000000"/>
                <w:sz w:val="18"/>
                <w:szCs w:val="18"/>
              </w:rPr>
              <w:t>TCG→TCT);</w:t>
            </w:r>
            <w:r>
              <w:rPr>
                <w:rFonts w:hint="eastAsia" w:eastAsia="宋体"/>
                <w:color w:val="000000"/>
                <w:sz w:val="18"/>
                <w:szCs w:val="18"/>
                <w:lang w:eastAsia="zh-CN"/>
              </w:rPr>
              <w:t xml:space="preserve"> </w:t>
            </w: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Ser421(TCG→TCT);</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K-DXH20e222</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Leu444</w:t>
            </w:r>
            <w:r>
              <w:rPr>
                <w:rFonts w:hint="eastAsia"/>
                <w:color w:val="000000"/>
                <w:sz w:val="18"/>
                <w:szCs w:val="18"/>
              </w:rPr>
              <w:t>(</w:t>
            </w:r>
            <w:r>
              <w:rPr>
                <w:color w:val="000000"/>
                <w:sz w:val="18"/>
                <w:szCs w:val="18"/>
              </w:rPr>
              <w:t>CTG→CTA</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Ser57</w:t>
            </w:r>
            <w:r>
              <w:rPr>
                <w:rFonts w:hint="eastAsia"/>
                <w:color w:val="000000"/>
                <w:sz w:val="18"/>
                <w:szCs w:val="18"/>
              </w:rPr>
              <w:t>(</w:t>
            </w:r>
            <w:r>
              <w:rPr>
                <w:color w:val="000000"/>
                <w:sz w:val="18"/>
                <w:szCs w:val="18"/>
              </w:rPr>
              <w:t>AGC→AGT</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K-DXH20e226</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K-DXH20e228</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line="240" w:lineRule="atLeast"/>
              <w:jc w:val="center"/>
              <w:rPr>
                <w:color w:val="000000"/>
                <w:sz w:val="18"/>
                <w:szCs w:val="18"/>
              </w:rPr>
            </w:pPr>
            <w:r>
              <w:rPr>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Lys400(AAG→AAA);</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K-QNE20e242</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Ser347</w:t>
            </w:r>
            <w:r>
              <w:rPr>
                <w:rFonts w:hint="eastAsia"/>
                <w:color w:val="000000"/>
                <w:sz w:val="18"/>
                <w:szCs w:val="18"/>
              </w:rPr>
              <w:t>(</w:t>
            </w:r>
            <w:r>
              <w:rPr>
                <w:color w:val="000000"/>
                <w:sz w:val="18"/>
                <w:szCs w:val="18"/>
              </w:rPr>
              <w:t>TCG→TCT);</w:t>
            </w:r>
            <w:r>
              <w:rPr>
                <w:rFonts w:hint="eastAsia" w:eastAsia="宋体"/>
                <w:color w:val="000000"/>
                <w:sz w:val="18"/>
                <w:szCs w:val="18"/>
                <w:lang w:eastAsia="zh-CN"/>
              </w:rPr>
              <w:t xml:space="preserve"> </w:t>
            </w: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Leu161</w:t>
            </w:r>
            <w:r>
              <w:rPr>
                <w:rFonts w:hint="eastAsia"/>
                <w:color w:val="000000"/>
                <w:sz w:val="18"/>
                <w:szCs w:val="18"/>
              </w:rPr>
              <w:t>(</w:t>
            </w:r>
            <w:r>
              <w:rPr>
                <w:color w:val="000000"/>
                <w:sz w:val="18"/>
                <w:szCs w:val="18"/>
              </w:rPr>
              <w:t>CTG→TTG</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Ser421(TCG→TCT);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K-QNE20e246</w:t>
            </w:r>
          </w:p>
        </w:tc>
        <w:tc>
          <w:tcPr>
            <w:tcW w:w="1191" w:type="dxa"/>
            <w:vAlign w:val="center"/>
          </w:tcPr>
          <w:p>
            <w:pPr>
              <w:spacing w:line="240" w:lineRule="atLeast"/>
              <w:jc w:val="center"/>
              <w:rPr>
                <w:color w:val="000000"/>
                <w:sz w:val="18"/>
                <w:szCs w:val="18"/>
              </w:rPr>
            </w:pPr>
            <w:r>
              <w:rPr>
                <w:color w:val="000000"/>
                <w:sz w:val="18"/>
                <w:szCs w:val="18"/>
              </w:rPr>
              <w:t>8</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Ala432</w:t>
            </w:r>
            <w:r>
              <w:rPr>
                <w:rFonts w:hint="eastAsia"/>
                <w:color w:val="000000"/>
                <w:sz w:val="18"/>
                <w:szCs w:val="18"/>
              </w:rPr>
              <w:t>(</w:t>
            </w:r>
            <w:r>
              <w:rPr>
                <w:color w:val="000000"/>
                <w:sz w:val="18"/>
                <w:szCs w:val="18"/>
              </w:rPr>
              <w:t>GCT→GCG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Ala468(GCG→GCC</w:t>
            </w:r>
            <w:r>
              <w:rPr>
                <w:rFonts w:hint="eastAsia"/>
                <w:color w:val="000000"/>
                <w:sz w:val="18"/>
                <w:szCs w:val="18"/>
              </w:rPr>
              <w: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Cys486(TGT→TGC);</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K-QNE20g273</w:t>
            </w:r>
          </w:p>
        </w:tc>
        <w:tc>
          <w:tcPr>
            <w:tcW w:w="1191" w:type="dxa"/>
            <w:vAlign w:val="center"/>
          </w:tcPr>
          <w:p>
            <w:pPr>
              <w:spacing w:line="240" w:lineRule="atLeast"/>
              <w:jc w:val="center"/>
              <w:rPr>
                <w:color w:val="000000"/>
                <w:sz w:val="18"/>
                <w:szCs w:val="18"/>
              </w:rPr>
            </w:pPr>
            <w:r>
              <w:rPr>
                <w:color w:val="000000"/>
                <w:sz w:val="18"/>
                <w:szCs w:val="18"/>
              </w:rPr>
              <w:t>2</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line="240" w:lineRule="atLeast"/>
              <w:jc w:val="center"/>
              <w:rPr>
                <w:color w:val="000000"/>
                <w:sz w:val="18"/>
                <w:szCs w:val="18"/>
              </w:rPr>
            </w:pPr>
            <w:r>
              <w:rPr>
                <w:color w:val="000000"/>
                <w:sz w:val="18"/>
                <w:szCs w:val="18"/>
              </w:rPr>
              <w:t>Leu161</w:t>
            </w:r>
            <w:r>
              <w:rPr>
                <w:rFonts w:hint="eastAsia"/>
                <w:color w:val="000000"/>
                <w:sz w:val="18"/>
                <w:szCs w:val="18"/>
              </w:rPr>
              <w:t>(</w:t>
            </w:r>
            <w:r>
              <w:rPr>
                <w:color w:val="000000"/>
                <w:sz w:val="18"/>
                <w:szCs w:val="18"/>
              </w:rPr>
              <w:t>CTG→TTG</w:t>
            </w:r>
            <w:r>
              <w:rPr>
                <w:rFonts w:hint="eastAsia"/>
                <w:color w:val="000000"/>
                <w:sz w:val="18"/>
                <w:szCs w:val="18"/>
              </w:rPr>
              <w:t>)</w:t>
            </w:r>
          </w:p>
        </w:tc>
        <w:tc>
          <w:tcPr>
            <w:tcW w:w="2376" w:type="dxa"/>
            <w:vAlign w:val="center"/>
          </w:tcPr>
          <w:p>
            <w:pPr>
              <w:spacing w:line="240" w:lineRule="atLeast"/>
              <w:jc w:val="center"/>
              <w:rPr>
                <w:color w:val="000000"/>
                <w:sz w:val="18"/>
                <w:szCs w:val="18"/>
              </w:rPr>
            </w:pPr>
            <w:r>
              <w:rPr>
                <w:color w:val="000000"/>
                <w:sz w:val="18"/>
                <w:szCs w:val="18"/>
              </w:rPr>
              <w:t>Ala376(GCC→GCT);</w:t>
            </w:r>
            <w:r>
              <w:rPr>
                <w:rFonts w:hint="eastAsia" w:eastAsia="宋体"/>
                <w:color w:val="000000"/>
                <w:sz w:val="18"/>
                <w:szCs w:val="18"/>
                <w:lang w:eastAsia="zh-CN"/>
              </w:rPr>
              <w:t xml:space="preserve"> </w:t>
            </w: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jc w:val="center"/>
        </w:trPr>
        <w:tc>
          <w:tcPr>
            <w:tcW w:w="1304" w:type="dxa"/>
            <w:vAlign w:val="center"/>
          </w:tcPr>
          <w:p>
            <w:pPr>
              <w:spacing w:line="240" w:lineRule="atLeast"/>
              <w:jc w:val="center"/>
              <w:rPr>
                <w:color w:val="000000"/>
                <w:sz w:val="18"/>
                <w:szCs w:val="18"/>
              </w:rPr>
            </w:pPr>
            <w:r>
              <w:rPr>
                <w:color w:val="000000"/>
                <w:sz w:val="18"/>
                <w:szCs w:val="18"/>
              </w:rPr>
              <w:t>K-QNE20WY293</w:t>
            </w:r>
          </w:p>
        </w:tc>
        <w:tc>
          <w:tcPr>
            <w:tcW w:w="1191" w:type="dxa"/>
            <w:vAlign w:val="center"/>
          </w:tcPr>
          <w:p>
            <w:pPr>
              <w:spacing w:line="240" w:lineRule="atLeast"/>
              <w:jc w:val="center"/>
              <w:rPr>
                <w:color w:val="000000"/>
                <w:sz w:val="18"/>
                <w:szCs w:val="18"/>
              </w:rPr>
            </w:pPr>
            <w:r>
              <w:rPr>
                <w:color w:val="000000"/>
                <w:sz w:val="18"/>
                <w:szCs w:val="18"/>
              </w:rPr>
              <w:t>1</w:t>
            </w:r>
          </w:p>
        </w:tc>
        <w:tc>
          <w:tcPr>
            <w:tcW w:w="1898" w:type="dxa"/>
            <w:vAlign w:val="center"/>
          </w:tcPr>
          <w:p>
            <w:pPr>
              <w:spacing w:line="240" w:lineRule="atLeast"/>
              <w:jc w:val="center"/>
              <w:rPr>
                <w:color w:val="000000"/>
                <w:sz w:val="18"/>
                <w:szCs w:val="18"/>
              </w:rPr>
            </w:pPr>
            <w:r>
              <w:rPr>
                <w:color w:val="000000"/>
                <w:sz w:val="18"/>
                <w:szCs w:val="18"/>
              </w:rPr>
              <w:t>Val90(GTG→GTT);</w:t>
            </w:r>
            <w:r>
              <w:rPr>
                <w:rFonts w:hint="eastAsia" w:eastAsia="宋体"/>
                <w:color w:val="000000"/>
                <w:sz w:val="18"/>
                <w:szCs w:val="18"/>
                <w:lang w:eastAsia="zh-CN"/>
              </w:rPr>
              <w:t xml:space="preserve"> </w:t>
            </w:r>
            <w:r>
              <w:rPr>
                <w:color w:val="000000"/>
                <w:sz w:val="18"/>
                <w:szCs w:val="18"/>
              </w:rPr>
              <w:t>Phe109(TTT→TTC);Ala179</w:t>
            </w:r>
            <w:r>
              <w:rPr>
                <w:rFonts w:hint="eastAsia"/>
                <w:color w:val="000000"/>
                <w:sz w:val="18"/>
                <w:szCs w:val="18"/>
              </w:rPr>
              <w:t>(</w:t>
            </w:r>
            <w:r>
              <w:rPr>
                <w:color w:val="000000"/>
                <w:sz w:val="18"/>
                <w:szCs w:val="18"/>
              </w:rPr>
              <w:t>GCC→GCG</w:t>
            </w:r>
            <w:r>
              <w:rPr>
                <w:rFonts w:hint="eastAsia"/>
                <w:color w:val="000000"/>
                <w:sz w:val="18"/>
                <w:szCs w:val="18"/>
              </w:rPr>
              <w:t>)</w:t>
            </w:r>
            <w:r>
              <w:rPr>
                <w:color w:val="000000"/>
                <w:sz w:val="18"/>
                <w:szCs w:val="18"/>
              </w:rPr>
              <w:t>;Asn181</w:t>
            </w:r>
            <w:r>
              <w:rPr>
                <w:rFonts w:hint="eastAsia"/>
                <w:color w:val="000000"/>
                <w:sz w:val="18"/>
                <w:szCs w:val="18"/>
              </w:rPr>
              <w:t>(</w:t>
            </w:r>
            <w:r>
              <w:rPr>
                <w:color w:val="000000"/>
                <w:sz w:val="18"/>
                <w:szCs w:val="18"/>
              </w:rPr>
              <w:t>AAC→AAT</w:t>
            </w:r>
            <w:r>
              <w:rPr>
                <w:rFonts w:hint="eastAsia"/>
                <w:color w:val="000000"/>
                <w:sz w:val="18"/>
                <w:szCs w:val="18"/>
              </w:rPr>
              <w:t>)</w:t>
            </w: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Ile191</w:t>
            </w:r>
            <w:r>
              <w:rPr>
                <w:rFonts w:hint="eastAsia"/>
                <w:color w:val="000000"/>
                <w:sz w:val="18"/>
                <w:szCs w:val="18"/>
              </w:rPr>
              <w:t>(</w:t>
            </w:r>
            <w:r>
              <w:rPr>
                <w:color w:val="000000"/>
                <w:sz w:val="18"/>
                <w:szCs w:val="18"/>
              </w:rPr>
              <w:t>ATT→ATC</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line="240" w:lineRule="atLeast"/>
              <w:jc w:val="center"/>
              <w:rPr>
                <w:color w:val="000000"/>
                <w:sz w:val="18"/>
                <w:szCs w:val="18"/>
              </w:rPr>
            </w:pPr>
            <w:r>
              <w:rPr>
                <w:color w:val="000000"/>
                <w:sz w:val="18"/>
                <w:szCs w:val="18"/>
              </w:rPr>
              <w:t>Leu99</w:t>
            </w:r>
            <w:r>
              <w:rPr>
                <w:rFonts w:hint="eastAsia"/>
                <w:color w:val="000000"/>
                <w:sz w:val="18"/>
                <w:szCs w:val="18"/>
              </w:rPr>
              <w:t>(</w:t>
            </w:r>
            <w:r>
              <w:rPr>
                <w:color w:val="000000"/>
                <w:sz w:val="18"/>
                <w:szCs w:val="18"/>
              </w:rPr>
              <w:t>CTG→CTC)</w:t>
            </w:r>
          </w:p>
        </w:tc>
        <w:tc>
          <w:tcPr>
            <w:tcW w:w="2376" w:type="dxa"/>
            <w:vAlign w:val="center"/>
          </w:tcPr>
          <w:p>
            <w:pPr>
              <w:spacing w:line="240" w:lineRule="atLeast"/>
              <w:jc w:val="center"/>
              <w:rPr>
                <w:color w:val="000000"/>
                <w:sz w:val="18"/>
                <w:szCs w:val="18"/>
              </w:rPr>
            </w:pPr>
            <w:r>
              <w:rPr>
                <w:color w:val="000000"/>
                <w:sz w:val="18"/>
                <w:szCs w:val="18"/>
              </w:rPr>
              <w:t>Ala372(GCC→GCT);</w:t>
            </w:r>
            <w:r>
              <w:rPr>
                <w:rFonts w:hint="eastAsia" w:eastAsia="宋体"/>
                <w:color w:val="000000"/>
                <w:sz w:val="18"/>
                <w:szCs w:val="18"/>
                <w:lang w:eastAsia="zh-CN"/>
              </w:rPr>
              <w:t xml:space="preserve"> </w:t>
            </w:r>
            <w:r>
              <w:rPr>
                <w:color w:val="000000"/>
                <w:sz w:val="18"/>
                <w:szCs w:val="18"/>
              </w:rPr>
              <w:t>Arg378(CGC→CGT);</w:t>
            </w:r>
            <w:r>
              <w:rPr>
                <w:rFonts w:hint="eastAsia" w:eastAsia="宋体"/>
                <w:color w:val="000000"/>
                <w:sz w:val="18"/>
                <w:szCs w:val="18"/>
                <w:lang w:eastAsia="zh-CN"/>
              </w:rPr>
              <w:t xml:space="preserve"> </w:t>
            </w:r>
            <w:r>
              <w:rPr>
                <w:color w:val="000000"/>
                <w:sz w:val="18"/>
                <w:szCs w:val="18"/>
              </w:rPr>
              <w:t>Ala382(GCG→GCC);</w:t>
            </w:r>
            <w:r>
              <w:rPr>
                <w:rFonts w:hint="eastAsia" w:eastAsia="宋体"/>
                <w:color w:val="000000"/>
                <w:sz w:val="18"/>
                <w:szCs w:val="18"/>
                <w:lang w:eastAsia="zh-CN"/>
              </w:rPr>
              <w:t xml:space="preserve"> </w:t>
            </w:r>
            <w:r>
              <w:rPr>
                <w:color w:val="000000"/>
                <w:sz w:val="18"/>
                <w:szCs w:val="18"/>
              </w:rPr>
              <w:t>Lys384(AAA→AAG);</w:t>
            </w:r>
            <w:r>
              <w:rPr>
                <w:rFonts w:hint="eastAsia" w:eastAsia="宋体"/>
                <w:color w:val="000000"/>
                <w:sz w:val="18"/>
                <w:szCs w:val="18"/>
                <w:lang w:eastAsia="zh-CN"/>
              </w:rPr>
              <w:t xml:space="preserve"> </w:t>
            </w:r>
            <w:r>
              <w:rPr>
                <w:color w:val="000000"/>
                <w:sz w:val="18"/>
                <w:szCs w:val="18"/>
              </w:rPr>
              <w:t>Arg388(CGC→CGT);</w:t>
            </w:r>
            <w:r>
              <w:rPr>
                <w:rFonts w:hint="eastAsia" w:eastAsia="宋体"/>
                <w:color w:val="000000"/>
                <w:sz w:val="18"/>
                <w:szCs w:val="18"/>
                <w:lang w:eastAsia="zh-CN"/>
              </w:rPr>
              <w:t xml:space="preserve"> </w:t>
            </w:r>
            <w:r>
              <w:rPr>
                <w:color w:val="000000"/>
                <w:sz w:val="18"/>
                <w:szCs w:val="18"/>
              </w:rPr>
              <w:t>Ala396(GCG→GCA);</w:t>
            </w:r>
            <w:r>
              <w:rPr>
                <w:rFonts w:hint="eastAsia" w:eastAsia="宋体"/>
                <w:color w:val="000000"/>
                <w:sz w:val="18"/>
                <w:szCs w:val="18"/>
                <w:lang w:eastAsia="zh-CN"/>
              </w:rPr>
              <w:t xml:space="preserve"> </w:t>
            </w:r>
            <w:r>
              <w:rPr>
                <w:color w:val="000000"/>
                <w:sz w:val="18"/>
                <w:szCs w:val="18"/>
              </w:rPr>
              <w:t>Leu397(CTG→TTG);</w:t>
            </w:r>
            <w:r>
              <w:rPr>
                <w:rFonts w:hint="eastAsia" w:eastAsia="宋体"/>
                <w:color w:val="000000"/>
                <w:sz w:val="18"/>
                <w:szCs w:val="18"/>
                <w:lang w:eastAsia="zh-CN"/>
              </w:rPr>
              <w:t xml:space="preserve"> </w:t>
            </w:r>
            <w:r>
              <w:rPr>
                <w:color w:val="000000"/>
                <w:sz w:val="18"/>
                <w:szCs w:val="18"/>
              </w:rPr>
              <w:t>Ala402(GCG→GCA);</w:t>
            </w:r>
            <w:r>
              <w:rPr>
                <w:rFonts w:hint="eastAsia" w:eastAsia="宋体"/>
                <w:color w:val="000000"/>
                <w:sz w:val="18"/>
                <w:szCs w:val="18"/>
                <w:lang w:eastAsia="zh-CN"/>
              </w:rPr>
              <w:t xml:space="preserve"> </w:t>
            </w:r>
            <w:r>
              <w:rPr>
                <w:color w:val="000000"/>
                <w:sz w:val="18"/>
                <w:szCs w:val="18"/>
              </w:rPr>
              <w:t>Cys404(TGT→TGC);</w:t>
            </w:r>
            <w:r>
              <w:rPr>
                <w:rFonts w:hint="eastAsia" w:eastAsia="宋体"/>
                <w:color w:val="000000"/>
                <w:sz w:val="18"/>
                <w:szCs w:val="18"/>
                <w:lang w:eastAsia="zh-CN"/>
              </w:rPr>
              <w:t xml:space="preserve"> </w:t>
            </w:r>
            <w:r>
              <w:rPr>
                <w:color w:val="000000"/>
                <w:sz w:val="18"/>
                <w:szCs w:val="18"/>
              </w:rPr>
              <w:t>Asp408(GAT→GAC);</w:t>
            </w:r>
            <w:r>
              <w:rPr>
                <w:rFonts w:hint="eastAsia" w:eastAsia="宋体"/>
                <w:color w:val="000000"/>
                <w:sz w:val="18"/>
                <w:szCs w:val="18"/>
                <w:lang w:eastAsia="zh-CN"/>
              </w:rPr>
              <w:t xml:space="preserve"> </w:t>
            </w:r>
            <w:r>
              <w:rPr>
                <w:color w:val="000000"/>
                <w:sz w:val="18"/>
                <w:szCs w:val="18"/>
              </w:rPr>
              <w:t>Arg411(CGT→CGC);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Asp420(GAT→GAC);</w:t>
            </w:r>
            <w:r>
              <w:rPr>
                <w:rFonts w:hint="eastAsia" w:eastAsia="宋体"/>
                <w:color w:val="000000"/>
                <w:sz w:val="18"/>
                <w:szCs w:val="18"/>
                <w:lang w:eastAsia="zh-CN"/>
              </w:rPr>
              <w:t xml:space="preserve"> </w:t>
            </w:r>
            <w:r>
              <w:rPr>
                <w:color w:val="000000"/>
                <w:sz w:val="18"/>
                <w:szCs w:val="18"/>
              </w:rPr>
              <w:t>Gly424(GGC→GGT);</w:t>
            </w:r>
            <w:r>
              <w:rPr>
                <w:rFonts w:hint="eastAsia" w:eastAsia="宋体"/>
                <w:color w:val="000000"/>
                <w:sz w:val="18"/>
                <w:szCs w:val="18"/>
                <w:lang w:eastAsia="zh-CN"/>
              </w:rPr>
              <w:t xml:space="preserve"> </w:t>
            </w:r>
            <w:r>
              <w:rPr>
                <w:color w:val="000000"/>
                <w:sz w:val="18"/>
                <w:szCs w:val="18"/>
              </w:rPr>
              <w:t>Pro439(CCG→CCA);</w:t>
            </w:r>
            <w:r>
              <w:rPr>
                <w:rFonts w:hint="eastAsia" w:eastAsia="宋体"/>
                <w:color w:val="000000"/>
                <w:sz w:val="18"/>
                <w:szCs w:val="18"/>
                <w:lang w:eastAsia="zh-CN"/>
              </w:rPr>
              <w:t xml:space="preserve"> </w:t>
            </w:r>
            <w:r>
              <w:rPr>
                <w:color w:val="000000"/>
                <w:sz w:val="18"/>
                <w:szCs w:val="18"/>
              </w:rPr>
              <w:t>Lys441(AAG→AAA);</w:t>
            </w:r>
            <w:r>
              <w:rPr>
                <w:rFonts w:hint="eastAsia" w:eastAsia="宋体"/>
                <w:color w:val="000000"/>
                <w:sz w:val="18"/>
                <w:szCs w:val="18"/>
                <w:lang w:eastAsia="zh-CN"/>
              </w:rPr>
              <w:t xml:space="preserve"> </w:t>
            </w:r>
            <w:r>
              <w:rPr>
                <w:color w:val="000000"/>
                <w:sz w:val="18"/>
                <w:szCs w:val="18"/>
              </w:rPr>
              <w:t>Leu445(CTT→CTG);</w:t>
            </w:r>
            <w:r>
              <w:rPr>
                <w:rFonts w:hint="eastAsia" w:eastAsia="宋体"/>
                <w:color w:val="000000"/>
                <w:sz w:val="18"/>
                <w:szCs w:val="18"/>
                <w:lang w:eastAsia="zh-CN"/>
              </w:rPr>
              <w:t xml:space="preserve"> </w:t>
            </w:r>
            <w:r>
              <w:rPr>
                <w:color w:val="000000"/>
                <w:sz w:val="18"/>
                <w:szCs w:val="18"/>
              </w:rPr>
              <w:t>Ser451(TCC→TCG);</w:t>
            </w:r>
            <w:r>
              <w:rPr>
                <w:rFonts w:hint="eastAsia" w:eastAsia="宋体"/>
                <w:color w:val="000000"/>
                <w:sz w:val="18"/>
                <w:szCs w:val="18"/>
                <w:lang w:eastAsia="zh-CN"/>
              </w:rPr>
              <w:t xml:space="preserve"> </w:t>
            </w:r>
            <w:r>
              <w:rPr>
                <w:color w:val="000000"/>
                <w:sz w:val="18"/>
                <w:szCs w:val="18"/>
              </w:rPr>
              <w:t>Asp473(GAC→GAT);</w:t>
            </w:r>
            <w:r>
              <w:rPr>
                <w:rFonts w:hint="eastAsia" w:eastAsia="宋体"/>
                <w:color w:val="000000"/>
                <w:sz w:val="18"/>
                <w:szCs w:val="18"/>
                <w:lang w:eastAsia="zh-CN"/>
              </w:rPr>
              <w:t xml:space="preserve"> </w:t>
            </w:r>
            <w:r>
              <w:rPr>
                <w:color w:val="000000"/>
                <w:sz w:val="18"/>
                <w:szCs w:val="18"/>
              </w:rPr>
              <w:t>Gly483(GGT→GGC);</w:t>
            </w:r>
            <w:r>
              <w:rPr>
                <w:rFonts w:hint="eastAsia" w:eastAsia="宋体"/>
                <w:color w:val="000000"/>
                <w:sz w:val="18"/>
                <w:szCs w:val="18"/>
                <w:lang w:eastAsia="zh-CN"/>
              </w:rPr>
              <w:t xml:space="preserve"> </w:t>
            </w:r>
            <w:r>
              <w:rPr>
                <w:color w:val="000000"/>
                <w:sz w:val="18"/>
                <w:szCs w:val="18"/>
              </w:rPr>
              <w:t>Ala491(GCG→GCC);</w:t>
            </w:r>
            <w:r>
              <w:rPr>
                <w:rFonts w:hint="eastAsia" w:eastAsia="宋体"/>
                <w:color w:val="000000"/>
                <w:sz w:val="18"/>
                <w:szCs w:val="18"/>
                <w:lang w:eastAsia="zh-CN"/>
              </w:rPr>
              <w:t xml:space="preserve"> </w:t>
            </w:r>
            <w:r>
              <w:rPr>
                <w:color w:val="000000"/>
                <w:sz w:val="18"/>
                <w:szCs w:val="18"/>
              </w:rPr>
              <w:t>Asp492(GAC→GAT);</w:t>
            </w:r>
            <w:r>
              <w:rPr>
                <w:rFonts w:hint="eastAsia" w:eastAsia="宋体"/>
                <w:color w:val="000000"/>
                <w:sz w:val="18"/>
                <w:szCs w:val="18"/>
                <w:lang w:eastAsia="zh-CN"/>
              </w:rPr>
              <w:t xml:space="preserve"> </w:t>
            </w: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line="240" w:lineRule="atLeast"/>
              <w:jc w:val="center"/>
              <w:rPr>
                <w:color w:val="000000"/>
                <w:sz w:val="18"/>
                <w:szCs w:val="18"/>
              </w:rPr>
            </w:pPr>
            <w:r>
              <w:rPr>
                <w:color w:val="000000"/>
                <w:sz w:val="18"/>
                <w:szCs w:val="18"/>
              </w:rPr>
              <w:t>K-JX19c10</w:t>
            </w:r>
          </w:p>
        </w:tc>
        <w:tc>
          <w:tcPr>
            <w:tcW w:w="1191" w:type="dxa"/>
            <w:noWrap/>
            <w:vAlign w:val="center"/>
          </w:tcPr>
          <w:p>
            <w:pPr>
              <w:spacing w:line="240" w:lineRule="atLeast"/>
              <w:jc w:val="center"/>
              <w:rPr>
                <w:color w:val="000000"/>
                <w:sz w:val="18"/>
                <w:szCs w:val="18"/>
              </w:rPr>
            </w:pPr>
            <w:r>
              <w:rPr>
                <w:color w:val="000000"/>
                <w:sz w:val="18"/>
                <w:szCs w:val="18"/>
              </w:rPr>
              <w:t>0.5</w:t>
            </w:r>
          </w:p>
        </w:tc>
        <w:tc>
          <w:tcPr>
            <w:tcW w:w="1898" w:type="dxa"/>
            <w:vAlign w:val="center"/>
          </w:tcPr>
          <w:p>
            <w:pPr>
              <w:spacing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line="240" w:lineRule="atLeast"/>
              <w:jc w:val="center"/>
              <w:rPr>
                <w:color w:val="000000"/>
                <w:sz w:val="18"/>
                <w:szCs w:val="18"/>
              </w:rPr>
            </w:pPr>
            <w:r>
              <w:rPr>
                <w:color w:val="000000"/>
                <w:sz w:val="18"/>
                <w:szCs w:val="18"/>
              </w:rPr>
              <w:t>Glu351(GAA→GAG);</w:t>
            </w:r>
            <w:r>
              <w:rPr>
                <w:rFonts w:hint="eastAsia" w:eastAsia="宋体"/>
                <w:color w:val="000000"/>
                <w:sz w:val="18"/>
                <w:szCs w:val="18"/>
                <w:lang w:eastAsia="zh-CN"/>
              </w:rPr>
              <w:t xml:space="preserve"> </w:t>
            </w:r>
            <w:r>
              <w:rPr>
                <w:color w:val="000000"/>
                <w:sz w:val="18"/>
                <w:szCs w:val="18"/>
              </w:rPr>
              <w:t>Asn364(AAC→AAT);</w:t>
            </w:r>
            <w:r>
              <w:rPr>
                <w:rFonts w:hint="eastAsia" w:eastAsia="宋体"/>
                <w:color w:val="000000"/>
                <w:sz w:val="18"/>
                <w:szCs w:val="18"/>
                <w:lang w:eastAsia="zh-CN"/>
              </w:rPr>
              <w:t xml:space="preserve"> </w:t>
            </w:r>
            <w:r>
              <w:rPr>
                <w:color w:val="000000"/>
                <w:sz w:val="18"/>
                <w:szCs w:val="18"/>
              </w:rPr>
              <w:t>Ala388</w:t>
            </w:r>
            <w:r>
              <w:rPr>
                <w:rFonts w:hint="eastAsia"/>
                <w:color w:val="000000"/>
                <w:sz w:val="18"/>
                <w:szCs w:val="18"/>
              </w:rPr>
              <w:t>(</w:t>
            </w:r>
            <w:r>
              <w:rPr>
                <w:color w:val="000000"/>
                <w:sz w:val="18"/>
                <w:szCs w:val="18"/>
              </w:rPr>
              <w:t>GCC→GCT);</w:t>
            </w:r>
            <w:r>
              <w:rPr>
                <w:rFonts w:hint="eastAsia" w:eastAsia="宋体"/>
                <w:color w:val="000000"/>
                <w:sz w:val="18"/>
                <w:szCs w:val="18"/>
                <w:lang w:eastAsia="zh-CN"/>
              </w:rPr>
              <w:t xml:space="preserve"> </w:t>
            </w: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line="240" w:lineRule="atLeast"/>
              <w:jc w:val="center"/>
              <w:rPr>
                <w:color w:val="000000"/>
                <w:sz w:val="18"/>
                <w:szCs w:val="18"/>
              </w:rPr>
            </w:pPr>
            <w:r>
              <w:rPr>
                <w:color w:val="000000"/>
                <w:sz w:val="18"/>
                <w:szCs w:val="18"/>
              </w:rPr>
              <w:t>Thr178(ACC→ACA)</w:t>
            </w:r>
          </w:p>
        </w:tc>
        <w:tc>
          <w:tcPr>
            <w:tcW w:w="2376" w:type="dxa"/>
            <w:vAlign w:val="center"/>
          </w:tcPr>
          <w:p>
            <w:pPr>
              <w:spacing w:line="240" w:lineRule="atLeast"/>
              <w:jc w:val="center"/>
              <w:rPr>
                <w:color w:val="000000"/>
                <w:sz w:val="18"/>
                <w:szCs w:val="18"/>
              </w:rPr>
            </w:pPr>
            <w:r>
              <w:rPr>
                <w:color w:val="000000"/>
                <w:sz w:val="18"/>
                <w:szCs w:val="18"/>
              </w:rPr>
              <w:t>Ala376(GCC→GCT);</w:t>
            </w:r>
            <w:r>
              <w:rPr>
                <w:rFonts w:hint="eastAsia" w:eastAsia="宋体"/>
                <w:color w:val="000000"/>
                <w:sz w:val="18"/>
                <w:szCs w:val="18"/>
                <w:lang w:eastAsia="zh-CN"/>
              </w:rPr>
              <w:t xml:space="preserve"> </w:t>
            </w:r>
            <w:r>
              <w:rPr>
                <w:color w:val="000000"/>
                <w:sz w:val="18"/>
                <w:szCs w:val="18"/>
              </w:rPr>
              <w:t>Ala382(GCG→GCC);</w:t>
            </w:r>
            <w:r>
              <w:rPr>
                <w:rFonts w:hint="eastAsia" w:eastAsia="宋体"/>
                <w:color w:val="000000"/>
                <w:sz w:val="18"/>
                <w:szCs w:val="18"/>
                <w:lang w:eastAsia="zh-CN"/>
              </w:rPr>
              <w:t xml:space="preserve"> </w:t>
            </w:r>
            <w:r>
              <w:rPr>
                <w:color w:val="000000"/>
                <w:sz w:val="18"/>
                <w:szCs w:val="18"/>
              </w:rPr>
              <w:t>Leu416(CTT→CTC);</w:t>
            </w:r>
            <w:r>
              <w:rPr>
                <w:rFonts w:hint="eastAsia" w:eastAsia="宋体"/>
                <w:color w:val="000000"/>
                <w:sz w:val="18"/>
                <w:szCs w:val="18"/>
                <w:lang w:eastAsia="zh-CN"/>
              </w:rPr>
              <w:t xml:space="preserve"> </w:t>
            </w:r>
            <w:r>
              <w:rPr>
                <w:color w:val="000000"/>
                <w:sz w:val="18"/>
                <w:szCs w:val="18"/>
              </w:rPr>
              <w:t>Ser451(TCC→TCT);</w:t>
            </w:r>
            <w:r>
              <w:rPr>
                <w:rFonts w:hint="eastAsia" w:eastAsia="宋体"/>
                <w:color w:val="000000"/>
                <w:sz w:val="18"/>
                <w:szCs w:val="18"/>
                <w:lang w:eastAsia="zh-CN"/>
              </w:rPr>
              <w:t xml:space="preserve"> </w:t>
            </w: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K-MJD19e31</w:t>
            </w:r>
          </w:p>
        </w:tc>
        <w:tc>
          <w:tcPr>
            <w:tcW w:w="1191" w:type="dxa"/>
            <w:noWrap/>
            <w:vAlign w:val="center"/>
          </w:tcPr>
          <w:p>
            <w:pPr>
              <w:spacing w:before="0" w:after="0" w:line="240" w:lineRule="atLeast"/>
              <w:jc w:val="center"/>
              <w:rPr>
                <w:color w:val="000000"/>
                <w:sz w:val="18"/>
                <w:szCs w:val="18"/>
              </w:rPr>
            </w:pPr>
            <w:r>
              <w:rPr>
                <w:color w:val="000000"/>
                <w:sz w:val="18"/>
                <w:szCs w:val="18"/>
              </w:rPr>
              <w:t>0.5</w:t>
            </w:r>
          </w:p>
        </w:tc>
        <w:tc>
          <w:tcPr>
            <w:tcW w:w="1898" w:type="dxa"/>
            <w:vAlign w:val="center"/>
          </w:tcPr>
          <w:p>
            <w:pPr>
              <w:spacing w:before="0" w:after="0" w:line="240" w:lineRule="atLeast"/>
              <w:jc w:val="center"/>
              <w:rPr>
                <w:color w:val="000000"/>
                <w:sz w:val="18"/>
                <w:szCs w:val="18"/>
              </w:rPr>
            </w:pPr>
            <w:r>
              <w:rPr>
                <w:color w:val="000000"/>
                <w:sz w:val="18"/>
                <w:szCs w:val="18"/>
              </w:rPr>
              <w:t>Val90(GTG→GTT);</w:t>
            </w:r>
          </w:p>
          <w:p>
            <w:pPr>
              <w:spacing w:before="0" w:after="0" w:line="240" w:lineRule="atLeast"/>
              <w:jc w:val="center"/>
              <w:rPr>
                <w:color w:val="000000"/>
                <w:sz w:val="18"/>
                <w:szCs w:val="18"/>
              </w:rPr>
            </w:pPr>
            <w:r>
              <w:rPr>
                <w:color w:val="000000"/>
                <w:sz w:val="18"/>
                <w:szCs w:val="18"/>
              </w:rPr>
              <w:t>Phe109(TTT→TTC);Ala179</w:t>
            </w:r>
            <w:r>
              <w:rPr>
                <w:rFonts w:hint="eastAsia"/>
                <w:color w:val="000000"/>
                <w:sz w:val="18"/>
                <w:szCs w:val="18"/>
              </w:rPr>
              <w:t>(</w:t>
            </w:r>
            <w:r>
              <w:rPr>
                <w:color w:val="000000"/>
                <w:sz w:val="18"/>
                <w:szCs w:val="18"/>
              </w:rPr>
              <w:t>GCC→GCG</w:t>
            </w:r>
            <w:r>
              <w:rPr>
                <w:rFonts w:hint="eastAsia"/>
                <w:color w:val="000000"/>
                <w:sz w:val="18"/>
                <w:szCs w:val="18"/>
              </w:rPr>
              <w:t>)</w:t>
            </w:r>
            <w:r>
              <w:rPr>
                <w:color w:val="000000"/>
                <w:sz w:val="18"/>
                <w:szCs w:val="18"/>
              </w:rPr>
              <w:t>;Asn181</w:t>
            </w:r>
            <w:r>
              <w:rPr>
                <w:rFonts w:hint="eastAsia"/>
                <w:color w:val="000000"/>
                <w:sz w:val="18"/>
                <w:szCs w:val="18"/>
              </w:rPr>
              <w:t>(</w:t>
            </w:r>
            <w:r>
              <w:rPr>
                <w:color w:val="000000"/>
                <w:sz w:val="18"/>
                <w:szCs w:val="18"/>
              </w:rPr>
              <w:t>AAC→AAT</w:t>
            </w:r>
            <w:r>
              <w:rPr>
                <w:rFonts w:hint="eastAsia"/>
                <w:color w:val="000000"/>
                <w:sz w:val="18"/>
                <w:szCs w:val="18"/>
              </w:rPr>
              <w:t>)</w:t>
            </w: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Ile191</w:t>
            </w:r>
            <w:r>
              <w:rPr>
                <w:rFonts w:hint="eastAsia"/>
                <w:color w:val="000000"/>
                <w:sz w:val="18"/>
                <w:szCs w:val="18"/>
              </w:rPr>
              <w:t>(</w:t>
            </w:r>
            <w:r>
              <w:rPr>
                <w:color w:val="000000"/>
                <w:sz w:val="18"/>
                <w:szCs w:val="18"/>
              </w:rPr>
              <w:t>ATT→ATC</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Ser343</w:t>
            </w:r>
            <w:r>
              <w:rPr>
                <w:rFonts w:hint="eastAsia"/>
                <w:color w:val="000000"/>
                <w:sz w:val="18"/>
                <w:szCs w:val="18"/>
              </w:rPr>
              <w:t>(</w:t>
            </w:r>
            <w:r>
              <w:rPr>
                <w:color w:val="000000"/>
                <w:sz w:val="18"/>
                <w:szCs w:val="18"/>
              </w:rPr>
              <w:t>TCC→TCT</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Lys346</w:t>
            </w:r>
            <w:r>
              <w:rPr>
                <w:rFonts w:hint="eastAsia"/>
                <w:color w:val="000000"/>
                <w:sz w:val="18"/>
                <w:szCs w:val="18"/>
              </w:rPr>
              <w:t>(</w:t>
            </w:r>
            <w:r>
              <w:rPr>
                <w:color w:val="000000"/>
                <w:sz w:val="18"/>
                <w:szCs w:val="18"/>
              </w:rPr>
              <w:t>AAA→AAG</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Ser347</w:t>
            </w:r>
            <w:r>
              <w:rPr>
                <w:rFonts w:hint="eastAsia"/>
                <w:color w:val="000000"/>
                <w:sz w:val="18"/>
                <w:szCs w:val="18"/>
              </w:rPr>
              <w:t>(</w:t>
            </w:r>
            <w:r>
              <w:rPr>
                <w:color w:val="000000"/>
                <w:sz w:val="18"/>
                <w:szCs w:val="18"/>
              </w:rPr>
              <w:t>TCG→TCT);</w:t>
            </w:r>
          </w:p>
          <w:p>
            <w:pPr>
              <w:spacing w:before="0" w:after="0" w:line="240" w:lineRule="atLeast"/>
              <w:jc w:val="center"/>
              <w:rPr>
                <w:color w:val="000000"/>
                <w:sz w:val="18"/>
                <w:szCs w:val="18"/>
              </w:rPr>
            </w:pPr>
            <w:r>
              <w:rPr>
                <w:color w:val="000000"/>
                <w:sz w:val="18"/>
                <w:szCs w:val="18"/>
              </w:rPr>
              <w:t>Val349</w:t>
            </w:r>
            <w:r>
              <w:rPr>
                <w:rFonts w:hint="eastAsia"/>
                <w:color w:val="000000"/>
                <w:sz w:val="18"/>
                <w:szCs w:val="18"/>
              </w:rPr>
              <w:t>(</w:t>
            </w:r>
            <w:r>
              <w:rPr>
                <w:color w:val="000000"/>
                <w:sz w:val="18"/>
                <w:szCs w:val="18"/>
              </w:rPr>
              <w:t>GTG→GTA</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Glu350(GAG→GAA);</w:t>
            </w:r>
          </w:p>
          <w:p>
            <w:pPr>
              <w:spacing w:before="0" w:after="0" w:line="240" w:lineRule="atLeast"/>
              <w:jc w:val="center"/>
              <w:rPr>
                <w:color w:val="000000"/>
                <w:sz w:val="18"/>
                <w:szCs w:val="18"/>
              </w:rPr>
            </w:pPr>
            <w:r>
              <w:rPr>
                <w:color w:val="000000"/>
                <w:sz w:val="18"/>
                <w:szCs w:val="18"/>
              </w:rPr>
              <w:t>Glu351(GAA→GAG);</w:t>
            </w:r>
          </w:p>
          <w:p>
            <w:pPr>
              <w:spacing w:before="0" w:after="0" w:line="240" w:lineRule="atLeast"/>
              <w:jc w:val="center"/>
              <w:rPr>
                <w:color w:val="000000"/>
                <w:sz w:val="18"/>
                <w:szCs w:val="18"/>
              </w:rPr>
            </w:pPr>
            <w:r>
              <w:rPr>
                <w:color w:val="000000"/>
                <w:sz w:val="18"/>
                <w:szCs w:val="18"/>
              </w:rPr>
              <w:t>Ala368</w:t>
            </w:r>
            <w:r>
              <w:rPr>
                <w:rFonts w:hint="eastAsia"/>
                <w:color w:val="000000"/>
                <w:sz w:val="18"/>
                <w:szCs w:val="18"/>
              </w:rPr>
              <w:t>(</w:t>
            </w:r>
            <w:r>
              <w:rPr>
                <w:color w:val="000000"/>
                <w:sz w:val="18"/>
                <w:szCs w:val="18"/>
              </w:rPr>
              <w:t>GCG→GCC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Glu390(GAG→GAA);</w:t>
            </w:r>
          </w:p>
          <w:p>
            <w:pPr>
              <w:spacing w:before="0" w:after="0" w:line="240" w:lineRule="atLeast"/>
              <w:jc w:val="center"/>
              <w:rPr>
                <w:color w:val="000000"/>
                <w:sz w:val="18"/>
                <w:szCs w:val="18"/>
              </w:rPr>
            </w:pPr>
            <w:r>
              <w:rPr>
                <w:color w:val="000000"/>
                <w:sz w:val="18"/>
                <w:szCs w:val="18"/>
              </w:rPr>
              <w:t>Thr392</w:t>
            </w:r>
            <w:r>
              <w:rPr>
                <w:rFonts w:hint="eastAsia"/>
                <w:color w:val="000000"/>
                <w:sz w:val="18"/>
                <w:szCs w:val="18"/>
              </w:rPr>
              <w:t>(</w:t>
            </w:r>
            <w:r>
              <w:rPr>
                <w:color w:val="000000"/>
                <w:sz w:val="18"/>
                <w:szCs w:val="18"/>
              </w:rPr>
              <w:t>ACT→ACC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Glu412</w:t>
            </w:r>
            <w:r>
              <w:rPr>
                <w:rFonts w:hint="eastAsia"/>
                <w:color w:val="000000"/>
                <w:sz w:val="18"/>
                <w:szCs w:val="18"/>
              </w:rPr>
              <w:t>(</w:t>
            </w:r>
            <w:r>
              <w:rPr>
                <w:color w:val="000000"/>
                <w:sz w:val="18"/>
                <w:szCs w:val="18"/>
              </w:rPr>
              <w:t>GAG→GAA);</w:t>
            </w:r>
          </w:p>
          <w:p>
            <w:pPr>
              <w:spacing w:before="0" w:after="0" w:line="240" w:lineRule="atLeast"/>
              <w:jc w:val="center"/>
              <w:rPr>
                <w:color w:val="000000"/>
                <w:sz w:val="18"/>
                <w:szCs w:val="18"/>
              </w:rPr>
            </w:pPr>
            <w:r>
              <w:rPr>
                <w:color w:val="000000"/>
                <w:sz w:val="18"/>
                <w:szCs w:val="18"/>
              </w:rPr>
              <w:t>Ser418</w:t>
            </w:r>
            <w:r>
              <w:rPr>
                <w:rFonts w:hint="eastAsia"/>
                <w:color w:val="000000"/>
                <w:sz w:val="18"/>
                <w:szCs w:val="18"/>
              </w:rPr>
              <w:t>(</w:t>
            </w:r>
            <w:r>
              <w:rPr>
                <w:color w:val="000000"/>
                <w:sz w:val="18"/>
                <w:szCs w:val="18"/>
              </w:rPr>
              <w:t>TCC→TAT);</w:t>
            </w:r>
          </w:p>
          <w:p>
            <w:pPr>
              <w:spacing w:before="0" w:after="0" w:line="240" w:lineRule="atLeast"/>
              <w:jc w:val="center"/>
              <w:rPr>
                <w:color w:val="000000"/>
                <w:sz w:val="18"/>
                <w:szCs w:val="18"/>
              </w:rPr>
            </w:pPr>
            <w:r>
              <w:rPr>
                <w:color w:val="000000"/>
                <w:sz w:val="18"/>
                <w:szCs w:val="18"/>
              </w:rPr>
              <w:t>Leu422</w:t>
            </w:r>
            <w:r>
              <w:rPr>
                <w:rFonts w:hint="eastAsia"/>
                <w:color w:val="000000"/>
                <w:sz w:val="18"/>
                <w:szCs w:val="18"/>
              </w:rPr>
              <w:t>(</w:t>
            </w:r>
            <w:r>
              <w:rPr>
                <w:color w:val="000000"/>
                <w:sz w:val="18"/>
                <w:szCs w:val="18"/>
              </w:rPr>
              <w:t>CTG→CTC);</w:t>
            </w:r>
          </w:p>
          <w:p>
            <w:pPr>
              <w:spacing w:before="0" w:after="0" w:line="240" w:lineRule="atLeast"/>
              <w:jc w:val="center"/>
              <w:rPr>
                <w:color w:val="000000"/>
                <w:sz w:val="18"/>
                <w:szCs w:val="18"/>
              </w:rPr>
            </w:pPr>
            <w:r>
              <w:rPr>
                <w:color w:val="000000"/>
                <w:sz w:val="18"/>
                <w:szCs w:val="18"/>
              </w:rPr>
              <w:t>Arg438</w:t>
            </w:r>
            <w:r>
              <w:rPr>
                <w:rFonts w:hint="eastAsia"/>
                <w:color w:val="000000"/>
                <w:sz w:val="18"/>
                <w:szCs w:val="18"/>
              </w:rPr>
              <w:t>(</w:t>
            </w:r>
            <w:r>
              <w:rPr>
                <w:color w:val="000000"/>
                <w:sz w:val="18"/>
                <w:szCs w:val="18"/>
              </w:rPr>
              <w:t>CGC→CGT</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Leu451</w:t>
            </w:r>
            <w:r>
              <w:rPr>
                <w:rFonts w:hint="eastAsia"/>
                <w:color w:val="000000"/>
                <w:sz w:val="18"/>
                <w:szCs w:val="18"/>
              </w:rPr>
              <w:t>(</w:t>
            </w:r>
            <w:r>
              <w:rPr>
                <w:color w:val="000000"/>
                <w:sz w:val="18"/>
                <w:szCs w:val="18"/>
              </w:rPr>
              <w:t>CTT→CTC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Ala473</w:t>
            </w:r>
            <w:r>
              <w:rPr>
                <w:rFonts w:hint="eastAsia"/>
                <w:color w:val="000000"/>
                <w:sz w:val="18"/>
                <w:szCs w:val="18"/>
              </w:rPr>
              <w:t>(</w:t>
            </w:r>
            <w:r>
              <w:rPr>
                <w:color w:val="000000"/>
                <w:sz w:val="18"/>
                <w:szCs w:val="18"/>
              </w:rPr>
              <w:t>GCG→GCC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Leu474</w:t>
            </w:r>
            <w:r>
              <w:rPr>
                <w:rFonts w:hint="eastAsia"/>
                <w:color w:val="000000"/>
                <w:sz w:val="18"/>
                <w:szCs w:val="18"/>
              </w:rPr>
              <w:t>(</w:t>
            </w:r>
            <w:r>
              <w:rPr>
                <w:color w:val="000000"/>
                <w:sz w:val="18"/>
                <w:szCs w:val="18"/>
              </w:rPr>
              <w:t>CTG→CTT</w:t>
            </w:r>
            <w:r>
              <w:rPr>
                <w:rFonts w:hint="eastAsia"/>
                <w:color w:val="000000"/>
                <w:sz w:val="18"/>
                <w:szCs w:val="18"/>
              </w:rPr>
              <w:t>)</w:t>
            </w:r>
          </w:p>
        </w:tc>
        <w:tc>
          <w:tcPr>
            <w:tcW w:w="1956" w:type="dxa"/>
            <w:vAlign w:val="center"/>
          </w:tcPr>
          <w:p>
            <w:pPr>
              <w:spacing w:before="0" w:after="0" w:line="240" w:lineRule="atLeast"/>
              <w:jc w:val="center"/>
              <w:rPr>
                <w:color w:val="000000"/>
                <w:sz w:val="18"/>
                <w:szCs w:val="18"/>
              </w:rPr>
            </w:pPr>
            <w:r>
              <w:rPr>
                <w:color w:val="000000"/>
                <w:sz w:val="18"/>
                <w:szCs w:val="18"/>
              </w:rPr>
              <w:t>Tyr47</w:t>
            </w:r>
            <w:r>
              <w:rPr>
                <w:rFonts w:hint="eastAsia"/>
                <w:color w:val="000000"/>
                <w:sz w:val="18"/>
                <w:szCs w:val="18"/>
              </w:rPr>
              <w:t>(</w:t>
            </w:r>
            <w:r>
              <w:rPr>
                <w:color w:val="000000"/>
                <w:sz w:val="18"/>
                <w:szCs w:val="18"/>
              </w:rPr>
              <w:t>TAT→TAC</w:t>
            </w:r>
            <w:r>
              <w:rPr>
                <w:rFonts w:hint="eastAsia"/>
                <w:color w:val="000000"/>
                <w:sz w:val="18"/>
                <w:szCs w:val="18"/>
              </w:rPr>
              <w:t xml:space="preserve">); </w:t>
            </w:r>
            <w:r>
              <w:rPr>
                <w:color w:val="000000"/>
                <w:sz w:val="18"/>
                <w:szCs w:val="18"/>
              </w:rPr>
              <w:t>Arg96</w:t>
            </w:r>
            <w:r>
              <w:rPr>
                <w:rFonts w:hint="eastAsia"/>
                <w:color w:val="000000"/>
                <w:sz w:val="18"/>
                <w:szCs w:val="18"/>
              </w:rPr>
              <w:t>(</w:t>
            </w:r>
            <w:r>
              <w:rPr>
                <w:color w:val="000000"/>
                <w:sz w:val="18"/>
                <w:szCs w:val="18"/>
              </w:rPr>
              <w:t>CGC→CGT</w:t>
            </w:r>
            <w:r>
              <w:rPr>
                <w:rFonts w:hint="eastAsia"/>
                <w:color w:val="000000"/>
                <w:sz w:val="18"/>
                <w:szCs w:val="18"/>
              </w:rPr>
              <w:t xml:space="preserve">); </w:t>
            </w:r>
            <w:r>
              <w:rPr>
                <w:color w:val="000000"/>
                <w:sz w:val="18"/>
                <w:szCs w:val="18"/>
              </w:rPr>
              <w:t>Tyr97</w:t>
            </w:r>
            <w:r>
              <w:rPr>
                <w:rFonts w:hint="eastAsia"/>
                <w:color w:val="000000"/>
                <w:sz w:val="18"/>
                <w:szCs w:val="18"/>
              </w:rPr>
              <w:t>(</w:t>
            </w:r>
            <w:r>
              <w:rPr>
                <w:color w:val="000000"/>
                <w:sz w:val="18"/>
                <w:szCs w:val="18"/>
              </w:rPr>
              <w:t>TAT→TAC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Val100</w:t>
            </w:r>
            <w:r>
              <w:rPr>
                <w:rFonts w:hint="eastAsia"/>
                <w:color w:val="000000"/>
                <w:sz w:val="18"/>
                <w:szCs w:val="18"/>
              </w:rPr>
              <w:t>(</w:t>
            </w:r>
            <w:r>
              <w:rPr>
                <w:color w:val="000000"/>
                <w:sz w:val="18"/>
                <w:szCs w:val="18"/>
              </w:rPr>
              <w:t>GTG→GTA</w:t>
            </w:r>
            <w:r>
              <w:rPr>
                <w:rFonts w:hint="eastAsia"/>
                <w:color w:val="000000"/>
                <w:sz w:val="18"/>
                <w:szCs w:val="18"/>
              </w:rPr>
              <w:t xml:space="preserve">); </w:t>
            </w:r>
            <w:r>
              <w:rPr>
                <w:color w:val="000000"/>
                <w:sz w:val="18"/>
                <w:szCs w:val="18"/>
              </w:rPr>
              <w:t>Asp101</w:t>
            </w:r>
            <w:r>
              <w:rPr>
                <w:rFonts w:hint="eastAsia"/>
                <w:color w:val="000000"/>
                <w:sz w:val="18"/>
                <w:szCs w:val="18"/>
              </w:rPr>
              <w:t>(</w:t>
            </w:r>
            <w:r>
              <w:rPr>
                <w:color w:val="000000"/>
                <w:sz w:val="18"/>
                <w:szCs w:val="18"/>
              </w:rPr>
              <w:t>GAT→GAC);</w:t>
            </w:r>
          </w:p>
          <w:p>
            <w:pPr>
              <w:spacing w:before="0" w:after="0" w:line="240" w:lineRule="atLeast"/>
              <w:jc w:val="center"/>
              <w:rPr>
                <w:color w:val="000000"/>
                <w:sz w:val="18"/>
                <w:szCs w:val="18"/>
              </w:rPr>
            </w:pPr>
            <w:r>
              <w:rPr>
                <w:color w:val="000000"/>
                <w:sz w:val="18"/>
                <w:szCs w:val="18"/>
              </w:rPr>
              <w:t>Gly102</w:t>
            </w:r>
            <w:r>
              <w:rPr>
                <w:rFonts w:hint="eastAsia"/>
                <w:color w:val="000000"/>
                <w:sz w:val="18"/>
                <w:szCs w:val="18"/>
              </w:rPr>
              <w:t>(</w:t>
            </w:r>
            <w:r>
              <w:rPr>
                <w:color w:val="000000"/>
                <w:sz w:val="18"/>
                <w:szCs w:val="18"/>
              </w:rPr>
              <w:t>GGT→GGG);</w:t>
            </w:r>
          </w:p>
          <w:p>
            <w:pPr>
              <w:spacing w:before="0" w:after="0" w:line="240" w:lineRule="atLeast"/>
              <w:jc w:val="center"/>
              <w:rPr>
                <w:color w:val="000000"/>
                <w:sz w:val="18"/>
                <w:szCs w:val="18"/>
              </w:rPr>
            </w:pPr>
            <w:r>
              <w:rPr>
                <w:color w:val="000000"/>
                <w:sz w:val="18"/>
                <w:szCs w:val="18"/>
              </w:rPr>
              <w:t>Gly107</w:t>
            </w:r>
            <w:r>
              <w:rPr>
                <w:rFonts w:hint="eastAsia"/>
                <w:color w:val="000000"/>
                <w:sz w:val="18"/>
                <w:szCs w:val="18"/>
              </w:rPr>
              <w:t>(</w:t>
            </w:r>
            <w:r>
              <w:rPr>
                <w:color w:val="000000"/>
                <w:sz w:val="18"/>
                <w:szCs w:val="18"/>
              </w:rPr>
              <w:t>GGG→GGT);</w:t>
            </w:r>
          </w:p>
          <w:p>
            <w:pPr>
              <w:spacing w:before="0" w:after="0" w:line="240" w:lineRule="atLeast"/>
              <w:jc w:val="center"/>
              <w:rPr>
                <w:color w:val="000000"/>
                <w:sz w:val="18"/>
                <w:szCs w:val="18"/>
              </w:rPr>
            </w:pPr>
            <w:r>
              <w:rPr>
                <w:color w:val="000000"/>
                <w:sz w:val="18"/>
                <w:szCs w:val="18"/>
              </w:rPr>
              <w:t>Pro112</w:t>
            </w:r>
            <w:r>
              <w:rPr>
                <w:rFonts w:hint="eastAsia"/>
                <w:color w:val="000000"/>
                <w:sz w:val="18"/>
                <w:szCs w:val="18"/>
              </w:rPr>
              <w:t>(</w:t>
            </w:r>
            <w:r>
              <w:rPr>
                <w:color w:val="000000"/>
                <w:sz w:val="18"/>
                <w:szCs w:val="18"/>
              </w:rPr>
              <w:t>CCC→CCG</w:t>
            </w:r>
            <w:r>
              <w:rPr>
                <w:rFonts w:hint="eastAsia"/>
                <w:color w:val="000000"/>
                <w:sz w:val="18"/>
                <w:szCs w:val="18"/>
              </w:rPr>
              <w:t xml:space="preserve">); </w:t>
            </w:r>
            <w:r>
              <w:rPr>
                <w:color w:val="000000"/>
                <w:sz w:val="18"/>
                <w:szCs w:val="18"/>
              </w:rPr>
              <w:t>Ser114</w:t>
            </w:r>
            <w:r>
              <w:rPr>
                <w:rFonts w:hint="eastAsia"/>
                <w:color w:val="000000"/>
                <w:sz w:val="18"/>
                <w:szCs w:val="18"/>
              </w:rPr>
              <w:t>(</w:t>
            </w:r>
            <w:r>
              <w:rPr>
                <w:color w:val="000000"/>
                <w:sz w:val="18"/>
                <w:szCs w:val="18"/>
              </w:rPr>
              <w:t>TCT→TCC</w:t>
            </w:r>
            <w:r>
              <w:rPr>
                <w:rFonts w:hint="eastAsia"/>
                <w:color w:val="000000"/>
                <w:sz w:val="18"/>
                <w:szCs w:val="18"/>
              </w:rPr>
              <w:t>);</w:t>
            </w:r>
          </w:p>
          <w:p>
            <w:pPr>
              <w:spacing w:before="0" w:after="0" w:line="240" w:lineRule="atLeast"/>
              <w:jc w:val="center"/>
              <w:rPr>
                <w:color w:val="000000"/>
                <w:sz w:val="18"/>
                <w:szCs w:val="18"/>
              </w:rPr>
            </w:pPr>
            <w:r>
              <w:rPr>
                <w:color w:val="000000"/>
                <w:sz w:val="18"/>
                <w:szCs w:val="18"/>
              </w:rPr>
              <w:t>Glu122</w:t>
            </w:r>
            <w:r>
              <w:rPr>
                <w:rFonts w:hint="eastAsia"/>
                <w:color w:val="000000"/>
                <w:sz w:val="18"/>
                <w:szCs w:val="18"/>
              </w:rPr>
              <w:t>(</w:t>
            </w:r>
            <w:r>
              <w:rPr>
                <w:color w:val="000000"/>
                <w:sz w:val="18"/>
                <w:szCs w:val="18"/>
              </w:rPr>
              <w:t>GAA→GAG</w:t>
            </w:r>
            <w:r>
              <w:rPr>
                <w:rFonts w:hint="eastAsia"/>
                <w:color w:val="000000"/>
                <w:sz w:val="18"/>
                <w:szCs w:val="18"/>
              </w:rPr>
              <w:t xml:space="preserve">); </w:t>
            </w:r>
            <w:r>
              <w:rPr>
                <w:color w:val="000000"/>
                <w:sz w:val="18"/>
                <w:szCs w:val="18"/>
              </w:rPr>
              <w:t>Ala129</w:t>
            </w:r>
            <w:r>
              <w:rPr>
                <w:rFonts w:hint="eastAsia"/>
                <w:color w:val="000000"/>
                <w:sz w:val="18"/>
                <w:szCs w:val="18"/>
              </w:rPr>
              <w:t>(</w:t>
            </w:r>
            <w:r>
              <w:rPr>
                <w:color w:val="000000"/>
                <w:sz w:val="18"/>
                <w:szCs w:val="18"/>
              </w:rPr>
              <w:t>GCC→GCT</w:t>
            </w:r>
            <w:r>
              <w:rPr>
                <w:rFonts w:hint="eastAsia"/>
                <w:color w:val="000000"/>
                <w:sz w:val="18"/>
                <w:szCs w:val="18"/>
              </w:rPr>
              <w:t xml:space="preserve">); </w:t>
            </w:r>
            <w:r>
              <w:rPr>
                <w:color w:val="000000"/>
                <w:sz w:val="18"/>
                <w:szCs w:val="18"/>
              </w:rPr>
              <w:t>Glu130</w:t>
            </w:r>
            <w:r>
              <w:rPr>
                <w:rFonts w:hint="eastAsia"/>
                <w:color w:val="000000"/>
                <w:sz w:val="18"/>
                <w:szCs w:val="18"/>
              </w:rPr>
              <w:t>(</w:t>
            </w:r>
            <w:r>
              <w:rPr>
                <w:color w:val="000000"/>
                <w:sz w:val="18"/>
                <w:szCs w:val="18"/>
              </w:rPr>
              <w:t>GAG→GAA</w:t>
            </w:r>
            <w:r>
              <w:rPr>
                <w:rFonts w:hint="eastAsia"/>
                <w:color w:val="000000"/>
                <w:sz w:val="18"/>
                <w:szCs w:val="18"/>
              </w:rPr>
              <w:t xml:space="preserve">); </w:t>
            </w:r>
            <w:r>
              <w:rPr>
                <w:color w:val="000000"/>
                <w:sz w:val="18"/>
                <w:szCs w:val="18"/>
              </w:rPr>
              <w:t>Glu135</w:t>
            </w:r>
            <w:r>
              <w:rPr>
                <w:rFonts w:hint="eastAsia"/>
                <w:color w:val="000000"/>
                <w:sz w:val="18"/>
                <w:szCs w:val="18"/>
              </w:rPr>
              <w:t>(</w:t>
            </w:r>
            <w:r>
              <w:rPr>
                <w:color w:val="000000"/>
                <w:sz w:val="18"/>
                <w:szCs w:val="18"/>
              </w:rPr>
              <w:t>GAG→GAA</w:t>
            </w:r>
            <w:r>
              <w:rPr>
                <w:rFonts w:hint="eastAsia"/>
                <w:color w:val="000000"/>
                <w:sz w:val="18"/>
                <w:szCs w:val="18"/>
              </w:rPr>
              <w:t xml:space="preserve">); </w:t>
            </w:r>
            <w:r>
              <w:rPr>
                <w:color w:val="000000"/>
                <w:sz w:val="18"/>
                <w:szCs w:val="18"/>
              </w:rPr>
              <w:t>Gly137</w:t>
            </w:r>
            <w:r>
              <w:rPr>
                <w:rFonts w:hint="eastAsia"/>
                <w:color w:val="000000"/>
                <w:sz w:val="18"/>
                <w:szCs w:val="18"/>
              </w:rPr>
              <w:t>(</w:t>
            </w:r>
            <w:r>
              <w:rPr>
                <w:color w:val="000000"/>
                <w:sz w:val="18"/>
                <w:szCs w:val="18"/>
              </w:rPr>
              <w:t>GGG→GGA</w:t>
            </w:r>
            <w:r>
              <w:rPr>
                <w:rFonts w:hint="eastAsia"/>
                <w:color w:val="000000"/>
                <w:sz w:val="18"/>
                <w:szCs w:val="18"/>
              </w:rPr>
              <w:t xml:space="preserve">); </w:t>
            </w:r>
            <w:r>
              <w:rPr>
                <w:color w:val="000000"/>
                <w:sz w:val="18"/>
                <w:szCs w:val="18"/>
              </w:rPr>
              <w:t>Gly139</w:t>
            </w:r>
            <w:r>
              <w:rPr>
                <w:rFonts w:hint="eastAsia"/>
                <w:color w:val="000000"/>
                <w:sz w:val="18"/>
                <w:szCs w:val="18"/>
              </w:rPr>
              <w:t>(</w:t>
            </w:r>
            <w:r>
              <w:rPr>
                <w:color w:val="000000"/>
                <w:sz w:val="18"/>
                <w:szCs w:val="18"/>
              </w:rPr>
              <w:t>GGG→GGA</w:t>
            </w:r>
            <w:r>
              <w:rPr>
                <w:rFonts w:hint="eastAsia"/>
                <w:color w:val="000000"/>
                <w:sz w:val="18"/>
                <w:szCs w:val="18"/>
              </w:rPr>
              <w:t xml:space="preserve">); </w:t>
            </w:r>
            <w:r>
              <w:rPr>
                <w:color w:val="000000"/>
                <w:sz w:val="18"/>
                <w:szCs w:val="18"/>
              </w:rPr>
              <w:t>Val144</w:t>
            </w:r>
            <w:r>
              <w:rPr>
                <w:rFonts w:hint="eastAsia"/>
                <w:color w:val="000000"/>
                <w:sz w:val="18"/>
                <w:szCs w:val="18"/>
              </w:rPr>
              <w:t>(</w:t>
            </w:r>
            <w:r>
              <w:rPr>
                <w:color w:val="000000"/>
                <w:sz w:val="18"/>
                <w:szCs w:val="18"/>
              </w:rPr>
              <w:t>GTG→GTA</w:t>
            </w:r>
            <w:r>
              <w:rPr>
                <w:rFonts w:hint="eastAsia"/>
                <w:color w:val="000000"/>
                <w:sz w:val="18"/>
                <w:szCs w:val="18"/>
              </w:rPr>
              <w:t xml:space="preserve">); </w:t>
            </w:r>
            <w:r>
              <w:rPr>
                <w:color w:val="000000"/>
                <w:sz w:val="18"/>
                <w:szCs w:val="18"/>
              </w:rPr>
              <w:t>Gly149</w:t>
            </w:r>
            <w:r>
              <w:rPr>
                <w:rFonts w:hint="eastAsia"/>
                <w:color w:val="000000"/>
                <w:sz w:val="18"/>
                <w:szCs w:val="18"/>
              </w:rPr>
              <w:t>(</w:t>
            </w:r>
            <w:r>
              <w:rPr>
                <w:color w:val="000000"/>
                <w:sz w:val="18"/>
                <w:szCs w:val="18"/>
              </w:rPr>
              <w:t>GGC→GGG</w:t>
            </w:r>
            <w:r>
              <w:rPr>
                <w:rFonts w:hint="eastAsia"/>
                <w:color w:val="000000"/>
                <w:sz w:val="18"/>
                <w:szCs w:val="18"/>
              </w:rPr>
              <w:t>)</w:t>
            </w:r>
            <w:r>
              <w:rPr>
                <w:color w:val="000000"/>
                <w:sz w:val="18"/>
                <w:szCs w:val="18"/>
              </w:rPr>
              <w:t>;Pro158</w:t>
            </w:r>
            <w:r>
              <w:rPr>
                <w:rFonts w:hint="eastAsia"/>
                <w:color w:val="000000"/>
                <w:sz w:val="18"/>
                <w:szCs w:val="18"/>
              </w:rPr>
              <w:t>(</w:t>
            </w:r>
            <w:r>
              <w:rPr>
                <w:color w:val="000000"/>
                <w:sz w:val="18"/>
                <w:szCs w:val="18"/>
              </w:rPr>
              <w:t>CCA→CCT</w:t>
            </w:r>
            <w:r>
              <w:rPr>
                <w:rFonts w:hint="eastAsia"/>
                <w:color w:val="000000"/>
                <w:sz w:val="18"/>
                <w:szCs w:val="18"/>
              </w:rPr>
              <w:t>)</w:t>
            </w:r>
            <w:r>
              <w:rPr>
                <w:color w:val="000000"/>
                <w:sz w:val="18"/>
                <w:szCs w:val="18"/>
              </w:rPr>
              <w:t>;</w:t>
            </w:r>
            <w:r>
              <w:rPr>
                <w:rFonts w:hint="eastAsia" w:eastAsia="宋体"/>
                <w:color w:val="000000"/>
                <w:sz w:val="18"/>
                <w:szCs w:val="18"/>
                <w:lang w:eastAsia="zh-CN"/>
              </w:rPr>
              <w:t xml:space="preserve"> </w:t>
            </w:r>
            <w:r>
              <w:rPr>
                <w:color w:val="000000"/>
                <w:sz w:val="18"/>
                <w:szCs w:val="18"/>
              </w:rPr>
              <w:t>Leu161</w:t>
            </w:r>
            <w:r>
              <w:rPr>
                <w:rFonts w:hint="eastAsia"/>
                <w:color w:val="000000"/>
                <w:sz w:val="18"/>
                <w:szCs w:val="18"/>
              </w:rPr>
              <w:t>(</w:t>
            </w:r>
            <w:r>
              <w:rPr>
                <w:color w:val="000000"/>
                <w:sz w:val="18"/>
                <w:szCs w:val="18"/>
              </w:rPr>
              <w:t>CTG→CTA</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Leu166</w:t>
            </w:r>
            <w:r>
              <w:rPr>
                <w:rFonts w:hint="eastAsia"/>
                <w:color w:val="000000"/>
                <w:sz w:val="18"/>
                <w:szCs w:val="18"/>
              </w:rPr>
              <w:t>(</w:t>
            </w:r>
            <w:r>
              <w:rPr>
                <w:color w:val="000000"/>
                <w:sz w:val="18"/>
                <w:szCs w:val="18"/>
              </w:rPr>
              <w:t>CTG→CTT</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Asn167</w:t>
            </w:r>
            <w:r>
              <w:rPr>
                <w:rFonts w:hint="eastAsia"/>
                <w:color w:val="000000"/>
                <w:sz w:val="18"/>
                <w:szCs w:val="18"/>
              </w:rPr>
              <w:t>(</w:t>
            </w:r>
            <w:r>
              <w:rPr>
                <w:color w:val="000000"/>
                <w:sz w:val="18"/>
                <w:szCs w:val="18"/>
              </w:rPr>
              <w:t>AAC→AAT</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Val174</w:t>
            </w:r>
            <w:r>
              <w:rPr>
                <w:rFonts w:hint="eastAsia"/>
                <w:color w:val="000000"/>
                <w:sz w:val="18"/>
                <w:szCs w:val="18"/>
              </w:rPr>
              <w:t>(</w:t>
            </w:r>
            <w:r>
              <w:rPr>
                <w:color w:val="000000"/>
                <w:sz w:val="18"/>
                <w:szCs w:val="18"/>
              </w:rPr>
              <w:t>GTA→GTG</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Gly175</w:t>
            </w:r>
            <w:r>
              <w:rPr>
                <w:rFonts w:hint="eastAsia"/>
                <w:color w:val="000000"/>
                <w:sz w:val="18"/>
                <w:szCs w:val="18"/>
              </w:rPr>
              <w:t>(</w:t>
            </w:r>
            <w:r>
              <w:rPr>
                <w:color w:val="000000"/>
                <w:sz w:val="18"/>
                <w:szCs w:val="18"/>
              </w:rPr>
              <w:t>GGC→GGT</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Ala177</w:t>
            </w:r>
            <w:r>
              <w:rPr>
                <w:rFonts w:hint="eastAsia"/>
                <w:color w:val="000000"/>
                <w:sz w:val="18"/>
                <w:szCs w:val="18"/>
              </w:rPr>
              <w:t>(</w:t>
            </w:r>
            <w:r>
              <w:rPr>
                <w:color w:val="000000"/>
                <w:sz w:val="18"/>
                <w:szCs w:val="18"/>
              </w:rPr>
              <w:t>GCG→GCC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Thr178(ACC→ACT)</w:t>
            </w:r>
          </w:p>
        </w:tc>
        <w:tc>
          <w:tcPr>
            <w:tcW w:w="2376" w:type="dxa"/>
            <w:vAlign w:val="center"/>
          </w:tcPr>
          <w:p>
            <w:pPr>
              <w:spacing w:before="0" w:after="0" w:line="240" w:lineRule="atLeast"/>
              <w:jc w:val="center"/>
              <w:rPr>
                <w:color w:val="000000"/>
                <w:sz w:val="18"/>
                <w:szCs w:val="18"/>
              </w:rPr>
            </w:pPr>
            <w:r>
              <w:rPr>
                <w:color w:val="000000"/>
                <w:sz w:val="18"/>
                <w:szCs w:val="18"/>
              </w:rPr>
              <w:t>Ala372(GCC→GCT);</w:t>
            </w:r>
          </w:p>
          <w:p>
            <w:pPr>
              <w:spacing w:before="0" w:after="0" w:line="240" w:lineRule="atLeast"/>
              <w:jc w:val="center"/>
              <w:rPr>
                <w:color w:val="000000"/>
                <w:sz w:val="18"/>
                <w:szCs w:val="18"/>
              </w:rPr>
            </w:pPr>
            <w:r>
              <w:rPr>
                <w:color w:val="000000"/>
                <w:sz w:val="18"/>
                <w:szCs w:val="18"/>
              </w:rPr>
              <w:t>Arg378(CGC→CGT);</w:t>
            </w:r>
          </w:p>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Lys384(AAA→AAG);</w:t>
            </w:r>
          </w:p>
          <w:p>
            <w:pPr>
              <w:spacing w:before="0" w:after="0" w:line="240" w:lineRule="atLeast"/>
              <w:jc w:val="center"/>
              <w:rPr>
                <w:color w:val="000000"/>
                <w:sz w:val="18"/>
                <w:szCs w:val="18"/>
              </w:rPr>
            </w:pPr>
            <w:r>
              <w:rPr>
                <w:color w:val="000000"/>
                <w:sz w:val="18"/>
                <w:szCs w:val="18"/>
              </w:rPr>
              <w:t>Arg388(CGC→CGT);</w:t>
            </w:r>
          </w:p>
          <w:p>
            <w:pPr>
              <w:spacing w:before="0" w:after="0" w:line="240" w:lineRule="atLeast"/>
              <w:jc w:val="center"/>
              <w:rPr>
                <w:color w:val="000000"/>
                <w:sz w:val="18"/>
                <w:szCs w:val="18"/>
              </w:rPr>
            </w:pPr>
            <w:r>
              <w:rPr>
                <w:color w:val="000000"/>
                <w:sz w:val="18"/>
                <w:szCs w:val="18"/>
              </w:rPr>
              <w:t>Ala396(GCG→GCA);</w:t>
            </w:r>
          </w:p>
          <w:p>
            <w:pPr>
              <w:spacing w:before="0" w:after="0" w:line="240" w:lineRule="atLeast"/>
              <w:jc w:val="center"/>
              <w:rPr>
                <w:color w:val="000000"/>
                <w:sz w:val="18"/>
                <w:szCs w:val="18"/>
              </w:rPr>
            </w:pPr>
            <w:r>
              <w:rPr>
                <w:color w:val="000000"/>
                <w:sz w:val="18"/>
                <w:szCs w:val="18"/>
              </w:rPr>
              <w:t>Leu397(CTG→TTG);</w:t>
            </w:r>
          </w:p>
          <w:p>
            <w:pPr>
              <w:spacing w:before="0" w:after="0" w:line="240" w:lineRule="atLeast"/>
              <w:jc w:val="center"/>
              <w:rPr>
                <w:color w:val="000000"/>
                <w:sz w:val="18"/>
                <w:szCs w:val="18"/>
              </w:rPr>
            </w:pPr>
            <w:r>
              <w:rPr>
                <w:color w:val="000000"/>
                <w:sz w:val="18"/>
                <w:szCs w:val="18"/>
              </w:rPr>
              <w:t>Ala402(GCG→GCA);</w:t>
            </w:r>
          </w:p>
          <w:p>
            <w:pPr>
              <w:spacing w:before="0" w:after="0" w:line="240" w:lineRule="atLeast"/>
              <w:jc w:val="center"/>
              <w:rPr>
                <w:color w:val="000000"/>
                <w:sz w:val="18"/>
                <w:szCs w:val="18"/>
              </w:rPr>
            </w:pPr>
            <w:r>
              <w:rPr>
                <w:color w:val="000000"/>
                <w:sz w:val="18"/>
                <w:szCs w:val="18"/>
              </w:rPr>
              <w:t>Cys404(TGT→TGC);</w:t>
            </w:r>
          </w:p>
          <w:p>
            <w:pPr>
              <w:spacing w:before="0" w:after="0" w:line="240" w:lineRule="atLeast"/>
              <w:jc w:val="center"/>
              <w:rPr>
                <w:color w:val="000000"/>
                <w:sz w:val="18"/>
                <w:szCs w:val="18"/>
              </w:rPr>
            </w:pPr>
            <w:r>
              <w:rPr>
                <w:color w:val="000000"/>
                <w:sz w:val="18"/>
                <w:szCs w:val="18"/>
              </w:rPr>
              <w:t>Asp408(GAT→GAC);</w:t>
            </w:r>
          </w:p>
          <w:p>
            <w:pPr>
              <w:spacing w:before="0" w:after="0" w:line="240" w:lineRule="atLeast"/>
              <w:jc w:val="center"/>
              <w:rPr>
                <w:color w:val="000000"/>
                <w:sz w:val="18"/>
                <w:szCs w:val="18"/>
              </w:rPr>
            </w:pPr>
            <w:r>
              <w:rPr>
                <w:color w:val="000000"/>
                <w:sz w:val="18"/>
                <w:szCs w:val="18"/>
              </w:rPr>
              <w:t>Arg411(CGT→CGC);</w:t>
            </w:r>
          </w:p>
          <w:p>
            <w:pPr>
              <w:spacing w:before="0" w:after="0" w:line="240" w:lineRule="atLeast"/>
              <w:jc w:val="center"/>
              <w:rPr>
                <w:color w:val="000000"/>
                <w:sz w:val="18"/>
                <w:szCs w:val="18"/>
              </w:rPr>
            </w:pPr>
            <w:r>
              <w:rPr>
                <w:color w:val="000000"/>
                <w:sz w:val="18"/>
                <w:szCs w:val="18"/>
              </w:rPr>
              <w:t>Leu416(CTT→CTC);</w:t>
            </w:r>
          </w:p>
          <w:p>
            <w:pPr>
              <w:spacing w:before="0" w:after="0" w:line="240" w:lineRule="atLeast"/>
              <w:jc w:val="center"/>
              <w:rPr>
                <w:color w:val="000000"/>
                <w:sz w:val="18"/>
                <w:szCs w:val="18"/>
              </w:rPr>
            </w:pPr>
            <w:r>
              <w:rPr>
                <w:color w:val="000000"/>
                <w:sz w:val="18"/>
                <w:szCs w:val="18"/>
              </w:rPr>
              <w:t>Asp420(GAT→GAC);</w:t>
            </w:r>
          </w:p>
          <w:p>
            <w:pPr>
              <w:spacing w:before="0" w:after="0" w:line="240" w:lineRule="atLeast"/>
              <w:jc w:val="center"/>
              <w:rPr>
                <w:color w:val="000000"/>
                <w:sz w:val="18"/>
                <w:szCs w:val="18"/>
              </w:rPr>
            </w:pPr>
            <w:r>
              <w:rPr>
                <w:color w:val="000000"/>
                <w:sz w:val="18"/>
                <w:szCs w:val="18"/>
              </w:rPr>
              <w:t>Gly424(GGC→GGT);</w:t>
            </w:r>
          </w:p>
          <w:p>
            <w:pPr>
              <w:spacing w:before="0" w:after="0" w:line="240" w:lineRule="atLeast"/>
              <w:jc w:val="center"/>
              <w:rPr>
                <w:color w:val="000000"/>
                <w:sz w:val="18"/>
                <w:szCs w:val="18"/>
              </w:rPr>
            </w:pPr>
            <w:r>
              <w:rPr>
                <w:color w:val="000000"/>
                <w:sz w:val="18"/>
                <w:szCs w:val="18"/>
              </w:rPr>
              <w:t>Lys441(AAG→AAA);</w:t>
            </w:r>
          </w:p>
          <w:p>
            <w:pPr>
              <w:spacing w:before="0" w:after="0" w:line="240" w:lineRule="atLeast"/>
              <w:jc w:val="center"/>
              <w:rPr>
                <w:color w:val="000000"/>
                <w:sz w:val="18"/>
                <w:szCs w:val="18"/>
              </w:rPr>
            </w:pPr>
            <w:r>
              <w:rPr>
                <w:color w:val="000000"/>
                <w:sz w:val="18"/>
                <w:szCs w:val="18"/>
              </w:rPr>
              <w:t>Leu445(CTT→CTG);</w:t>
            </w:r>
          </w:p>
          <w:p>
            <w:pPr>
              <w:spacing w:before="0" w:after="0" w:line="240" w:lineRule="atLeast"/>
              <w:jc w:val="center"/>
              <w:rPr>
                <w:color w:val="000000"/>
                <w:sz w:val="18"/>
                <w:szCs w:val="18"/>
              </w:rPr>
            </w:pPr>
            <w:r>
              <w:rPr>
                <w:color w:val="000000"/>
                <w:sz w:val="18"/>
                <w:szCs w:val="18"/>
              </w:rPr>
              <w:t>Ser451(TCC→TCG);</w:t>
            </w:r>
          </w:p>
          <w:p>
            <w:pPr>
              <w:spacing w:before="0" w:after="0" w:line="240" w:lineRule="atLeast"/>
              <w:jc w:val="center"/>
              <w:rPr>
                <w:color w:val="000000"/>
                <w:sz w:val="18"/>
                <w:szCs w:val="18"/>
              </w:rPr>
            </w:pPr>
            <w:r>
              <w:rPr>
                <w:color w:val="000000"/>
                <w:sz w:val="18"/>
                <w:szCs w:val="18"/>
              </w:rPr>
              <w:t>Asp473(GAC→GAT);</w:t>
            </w:r>
          </w:p>
          <w:p>
            <w:pPr>
              <w:spacing w:before="0" w:after="0" w:line="240" w:lineRule="atLeast"/>
              <w:jc w:val="center"/>
              <w:rPr>
                <w:color w:val="000000"/>
                <w:sz w:val="18"/>
                <w:szCs w:val="18"/>
              </w:rPr>
            </w:pPr>
            <w:r>
              <w:rPr>
                <w:color w:val="000000"/>
                <w:sz w:val="18"/>
                <w:szCs w:val="18"/>
              </w:rPr>
              <w:t>Gly483(GGT→GGC);</w:t>
            </w:r>
          </w:p>
          <w:p>
            <w:pPr>
              <w:spacing w:before="0" w:after="0" w:line="240" w:lineRule="atLeast"/>
              <w:jc w:val="center"/>
              <w:rPr>
                <w:color w:val="000000"/>
                <w:sz w:val="18"/>
                <w:szCs w:val="18"/>
              </w:rPr>
            </w:pPr>
            <w:r>
              <w:rPr>
                <w:color w:val="000000"/>
                <w:sz w:val="18"/>
                <w:szCs w:val="18"/>
              </w:rPr>
              <w:t>Ala491(GCG→GCC);</w:t>
            </w:r>
          </w:p>
          <w:p>
            <w:pPr>
              <w:spacing w:before="0" w:after="0" w:line="240" w:lineRule="atLeast"/>
              <w:jc w:val="center"/>
              <w:rPr>
                <w:color w:val="000000"/>
                <w:sz w:val="18"/>
                <w:szCs w:val="18"/>
              </w:rPr>
            </w:pPr>
            <w:r>
              <w:rPr>
                <w:color w:val="000000"/>
                <w:sz w:val="18"/>
                <w:szCs w:val="18"/>
              </w:rPr>
              <w:t>Asp492(GAC→GAT)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K-MJD19e33</w:t>
            </w:r>
          </w:p>
        </w:tc>
        <w:tc>
          <w:tcPr>
            <w:tcW w:w="1191" w:type="dxa"/>
            <w:noWrap/>
            <w:vAlign w:val="center"/>
          </w:tcPr>
          <w:p>
            <w:pPr>
              <w:spacing w:before="0" w:after="0" w:line="240" w:lineRule="atLeast"/>
              <w:jc w:val="center"/>
              <w:rPr>
                <w:color w:val="000000"/>
                <w:sz w:val="18"/>
                <w:szCs w:val="18"/>
              </w:rPr>
            </w:pPr>
            <w:r>
              <w:rPr>
                <w:color w:val="000000"/>
                <w:sz w:val="18"/>
                <w:szCs w:val="18"/>
              </w:rPr>
              <w:t>0.5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Glu351(GAA→GAG);</w:t>
            </w:r>
          </w:p>
          <w:p>
            <w:pPr>
              <w:spacing w:before="0" w:after="0" w:line="240" w:lineRule="atLeast"/>
              <w:jc w:val="center"/>
              <w:rPr>
                <w:color w:val="000000"/>
                <w:sz w:val="18"/>
                <w:szCs w:val="18"/>
              </w:rPr>
            </w:pPr>
            <w:r>
              <w:rPr>
                <w:color w:val="000000"/>
                <w:sz w:val="18"/>
                <w:szCs w:val="18"/>
              </w:rPr>
              <w:t>Asn364(AAC→AAT);</w:t>
            </w:r>
          </w:p>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before="0" w:after="0" w:line="240" w:lineRule="atLeast"/>
              <w:jc w:val="center"/>
              <w:rPr>
                <w:color w:val="000000"/>
                <w:sz w:val="18"/>
                <w:szCs w:val="18"/>
              </w:rPr>
            </w:pPr>
            <w:r>
              <w:rPr>
                <w:color w:val="000000"/>
                <w:sz w:val="18"/>
                <w:szCs w:val="18"/>
              </w:rPr>
              <w:t>Thr178(ACC→ACA)</w:t>
            </w:r>
          </w:p>
        </w:tc>
        <w:tc>
          <w:tcPr>
            <w:tcW w:w="2376" w:type="dxa"/>
            <w:vAlign w:val="center"/>
          </w:tcPr>
          <w:p>
            <w:pPr>
              <w:spacing w:before="0" w:after="0" w:line="240" w:lineRule="atLeast"/>
              <w:jc w:val="center"/>
              <w:rPr>
                <w:color w:val="000000"/>
                <w:sz w:val="18"/>
                <w:szCs w:val="18"/>
              </w:rPr>
            </w:pPr>
            <w:r>
              <w:rPr>
                <w:color w:val="000000"/>
                <w:sz w:val="18"/>
                <w:szCs w:val="18"/>
              </w:rPr>
              <w:t>Ala376(GCC→GCT);</w:t>
            </w:r>
          </w:p>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Leu416(CTT→CTC);</w:t>
            </w:r>
          </w:p>
          <w:p>
            <w:pPr>
              <w:spacing w:before="0" w:after="0" w:line="240" w:lineRule="atLeast"/>
              <w:jc w:val="center"/>
              <w:rPr>
                <w:color w:val="000000"/>
                <w:sz w:val="18"/>
                <w:szCs w:val="18"/>
              </w:rPr>
            </w:pPr>
            <w:r>
              <w:rPr>
                <w:color w:val="000000"/>
                <w:sz w:val="18"/>
                <w:szCs w:val="18"/>
              </w:rPr>
              <w:t>Ser451(TCC→TCT);</w:t>
            </w:r>
          </w:p>
          <w:p>
            <w:pPr>
              <w:spacing w:before="0" w:after="0" w:line="240" w:lineRule="atLeast"/>
              <w:jc w:val="center"/>
              <w:rPr>
                <w:color w:val="000000"/>
                <w:sz w:val="18"/>
                <w:szCs w:val="18"/>
              </w:rPr>
            </w:pPr>
            <w:r>
              <w:rPr>
                <w:color w:val="000000"/>
                <w:sz w:val="18"/>
                <w:szCs w:val="18"/>
              </w:rPr>
              <w:t>Asp473(GAC→GAT)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K-JX19e02</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p>
            <w:pPr>
              <w:spacing w:before="0" w:after="0" w:line="240" w:lineRule="atLeast"/>
              <w:jc w:val="center"/>
              <w:rPr>
                <w:color w:val="000000"/>
                <w:sz w:val="18"/>
                <w:szCs w:val="18"/>
              </w:rPr>
            </w:pPr>
            <w:r>
              <w:rPr>
                <w:color w:val="000000"/>
                <w:sz w:val="18"/>
                <w:szCs w:val="18"/>
              </w:rPr>
              <w:t>Ala468(GCG→GCC</w:t>
            </w:r>
            <w:r>
              <w:rPr>
                <w:rFonts w:hint="eastAsia"/>
                <w:color w:val="000000"/>
                <w:sz w:val="18"/>
                <w:szCs w:val="18"/>
              </w:rPr>
              <w: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Lys400(AAG→AAA)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K-JX19b13</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p>
            <w:pPr>
              <w:spacing w:before="0" w:after="0" w:line="240" w:lineRule="atLeast"/>
              <w:jc w:val="center"/>
              <w:rPr>
                <w:color w:val="000000"/>
                <w:sz w:val="18"/>
                <w:szCs w:val="18"/>
              </w:rPr>
            </w:pPr>
            <w:r>
              <w:rPr>
                <w:color w:val="000000"/>
                <w:sz w:val="18"/>
                <w:szCs w:val="18"/>
              </w:rPr>
              <w:t>Ala468(GCG→GCC</w:t>
            </w:r>
            <w:r>
              <w:rPr>
                <w:rFonts w:hint="eastAsia"/>
                <w:color w:val="000000"/>
                <w:sz w:val="18"/>
                <w:szCs w:val="18"/>
              </w:rPr>
              <w: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Lys400(AAG→AAA);</w:t>
            </w:r>
          </w:p>
          <w:p>
            <w:pPr>
              <w:spacing w:before="0" w:after="0" w:line="240" w:lineRule="atLeast"/>
              <w:jc w:val="center"/>
              <w:rPr>
                <w:color w:val="000000"/>
                <w:sz w:val="18"/>
                <w:szCs w:val="18"/>
              </w:rPr>
            </w:pP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K-MJD19e34</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p>
            <w:pPr>
              <w:spacing w:before="0" w:after="0" w:line="240" w:lineRule="atLeast"/>
              <w:jc w:val="center"/>
              <w:rPr>
                <w:color w:val="000000"/>
                <w:sz w:val="18"/>
                <w:szCs w:val="18"/>
              </w:rPr>
            </w:pPr>
            <w:r>
              <w:rPr>
                <w:color w:val="000000"/>
                <w:sz w:val="18"/>
                <w:szCs w:val="18"/>
              </w:rPr>
              <w:t>Ala468(GCG→GCC</w:t>
            </w:r>
            <w:r>
              <w:rPr>
                <w:rFonts w:hint="eastAsia"/>
                <w:color w:val="000000"/>
                <w:sz w:val="18"/>
                <w:szCs w:val="18"/>
              </w:rPr>
              <w: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Lys400(AAG→AAA);</w:t>
            </w:r>
          </w:p>
          <w:p>
            <w:pPr>
              <w:spacing w:before="0" w:after="0" w:line="240" w:lineRule="atLeast"/>
              <w:jc w:val="center"/>
              <w:rPr>
                <w:color w:val="000000"/>
                <w:sz w:val="18"/>
                <w:szCs w:val="18"/>
              </w:rPr>
            </w:pP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K-MJD19b50</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Pro164</w:t>
            </w:r>
            <w:r>
              <w:rPr>
                <w:rFonts w:hint="eastAsia"/>
                <w:color w:val="000000"/>
                <w:sz w:val="18"/>
                <w:szCs w:val="18"/>
              </w:rPr>
              <w:t>(</w:t>
            </w:r>
            <w:r>
              <w:rPr>
                <w:color w:val="000000"/>
                <w:sz w:val="18"/>
                <w:szCs w:val="18"/>
              </w:rPr>
              <w:t>CCT→CCC</w:t>
            </w:r>
            <w:r>
              <w:rPr>
                <w:rFonts w:hint="eastAsia"/>
                <w:color w:val="000000"/>
                <w:sz w:val="18"/>
                <w:szCs w:val="18"/>
              </w:rPr>
              <w:t>)</w:t>
            </w:r>
            <w:r>
              <w:rPr>
                <w:color w:val="000000"/>
                <w:sz w:val="18"/>
                <w:szCs w:val="18"/>
              </w:rPr>
              <w:t>;</w:t>
            </w:r>
          </w:p>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p>
        </w:tc>
        <w:tc>
          <w:tcPr>
            <w:tcW w:w="2232" w:type="dxa"/>
            <w:vAlign w:val="center"/>
          </w:tcPr>
          <w:p>
            <w:pPr>
              <w:spacing w:before="0" w:after="0" w:line="240" w:lineRule="atLeast"/>
              <w:jc w:val="center"/>
              <w:rPr>
                <w:color w:val="000000"/>
                <w:sz w:val="18"/>
                <w:szCs w:val="18"/>
              </w:rPr>
            </w:pPr>
            <w:r>
              <w:rPr>
                <w:color w:val="000000"/>
                <w:sz w:val="18"/>
                <w:szCs w:val="18"/>
              </w:rPr>
              <w:t>Glu351(GAA→GAG)</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Val401(CTG→CTA);</w:t>
            </w:r>
          </w:p>
          <w:p>
            <w:pPr>
              <w:spacing w:before="0" w:after="0" w:line="240" w:lineRule="atLeast"/>
              <w:jc w:val="center"/>
              <w:rPr>
                <w:color w:val="000000"/>
                <w:sz w:val="18"/>
                <w:szCs w:val="18"/>
              </w:rPr>
            </w:pPr>
            <w:r>
              <w:rPr>
                <w:color w:val="000000"/>
                <w:sz w:val="18"/>
                <w:szCs w:val="18"/>
              </w:rPr>
              <w:t>Leu416(CTT→CTC);</w:t>
            </w:r>
          </w:p>
          <w:p>
            <w:pPr>
              <w:spacing w:before="0" w:after="0" w:line="240" w:lineRule="atLeast"/>
              <w:jc w:val="center"/>
              <w:rPr>
                <w:color w:val="000000"/>
                <w:sz w:val="18"/>
                <w:szCs w:val="18"/>
              </w:rPr>
            </w:pPr>
            <w:r>
              <w:rPr>
                <w:color w:val="000000"/>
                <w:sz w:val="18"/>
                <w:szCs w:val="18"/>
              </w:rPr>
              <w:t>Gly424(GGC→GGT);</w:t>
            </w:r>
          </w:p>
          <w:p>
            <w:pPr>
              <w:spacing w:before="0" w:after="0" w:line="240" w:lineRule="atLeast"/>
              <w:jc w:val="center"/>
              <w:rPr>
                <w:color w:val="000000"/>
                <w:sz w:val="18"/>
                <w:szCs w:val="18"/>
              </w:rPr>
            </w:pPr>
            <w:r>
              <w:rPr>
                <w:color w:val="000000"/>
                <w:sz w:val="18"/>
                <w:szCs w:val="18"/>
              </w:rPr>
              <w:t>Ser451(TCC→TCT);</w:t>
            </w:r>
          </w:p>
          <w:p>
            <w:pPr>
              <w:spacing w:before="0" w:after="0" w:line="240" w:lineRule="atLeast"/>
              <w:jc w:val="center"/>
              <w:rPr>
                <w:color w:val="000000"/>
                <w:sz w:val="18"/>
                <w:szCs w:val="18"/>
              </w:rPr>
            </w:pPr>
            <w:r>
              <w:rPr>
                <w:color w:val="000000"/>
                <w:sz w:val="18"/>
                <w:szCs w:val="18"/>
              </w:rPr>
              <w:t>Asp473(GAC→GAT);</w:t>
            </w:r>
          </w:p>
          <w:p>
            <w:pPr>
              <w:spacing w:before="0" w:after="0" w:line="240" w:lineRule="atLeast"/>
              <w:jc w:val="center"/>
              <w:rPr>
                <w:color w:val="000000"/>
                <w:sz w:val="18"/>
                <w:szCs w:val="18"/>
              </w:rPr>
            </w:pP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K-MJD19b56</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p>
            <w:pPr>
              <w:spacing w:before="0" w:after="0" w:line="240" w:lineRule="atLeast"/>
              <w:jc w:val="center"/>
              <w:rPr>
                <w:color w:val="000000"/>
                <w:sz w:val="18"/>
                <w:szCs w:val="18"/>
              </w:rPr>
            </w:pPr>
            <w:r>
              <w:rPr>
                <w:color w:val="000000"/>
                <w:sz w:val="18"/>
                <w:szCs w:val="18"/>
              </w:rPr>
              <w:t>Ala468(GCG→GCC</w:t>
            </w:r>
            <w:r>
              <w:rPr>
                <w:rFonts w:hint="eastAsia"/>
                <w:color w:val="000000"/>
                <w:sz w:val="18"/>
                <w:szCs w:val="18"/>
              </w:rPr>
              <w: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Ala382(GCG→GCC);</w:t>
            </w:r>
          </w:p>
          <w:p>
            <w:pPr>
              <w:spacing w:before="0" w:after="0" w:line="240" w:lineRule="atLeast"/>
              <w:jc w:val="center"/>
              <w:rPr>
                <w:color w:val="000000"/>
                <w:sz w:val="18"/>
                <w:szCs w:val="18"/>
              </w:rPr>
            </w:pPr>
            <w:r>
              <w:rPr>
                <w:color w:val="000000"/>
                <w:sz w:val="18"/>
                <w:szCs w:val="18"/>
              </w:rPr>
              <w:t>Lys400(AAG→AAA);</w:t>
            </w:r>
          </w:p>
          <w:p>
            <w:pPr>
              <w:spacing w:before="0" w:after="0" w:line="240" w:lineRule="atLeast"/>
              <w:jc w:val="center"/>
              <w:rPr>
                <w:color w:val="000000"/>
                <w:sz w:val="18"/>
                <w:szCs w:val="18"/>
              </w:rPr>
            </w:pPr>
            <w:r>
              <w:rPr>
                <w:color w:val="000000"/>
                <w:sz w:val="18"/>
                <w:szCs w:val="18"/>
              </w:rPr>
              <w:t>Ser493(TCC→TCT)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K-BYS20c105</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Glu351(GAA→GAG);</w:t>
            </w:r>
          </w:p>
          <w:p>
            <w:pPr>
              <w:spacing w:before="0" w:after="0" w:line="240" w:lineRule="atLeast"/>
              <w:jc w:val="center"/>
              <w:rPr>
                <w:color w:val="000000"/>
                <w:sz w:val="18"/>
                <w:szCs w:val="18"/>
              </w:rPr>
            </w:pPr>
            <w:r>
              <w:rPr>
                <w:color w:val="000000"/>
                <w:sz w:val="18"/>
                <w:szCs w:val="18"/>
              </w:rPr>
              <w:t>Ala388</w:t>
            </w:r>
            <w:r>
              <w:rPr>
                <w:rFonts w:hint="eastAsia"/>
                <w:color w:val="000000"/>
                <w:sz w:val="18"/>
                <w:szCs w:val="18"/>
              </w:rPr>
              <w:t>(</w:t>
            </w:r>
            <w:r>
              <w:rPr>
                <w:color w:val="000000"/>
                <w:sz w:val="18"/>
                <w:szCs w:val="18"/>
              </w:rPr>
              <w:t>GCC→GCT);</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rFonts w:eastAsia="Times New Roman"/>
                <w:sz w:val="18"/>
                <w:szCs w:val="18"/>
              </w:rPr>
            </w:pPr>
            <w:r>
              <w:rPr>
                <w:color w:val="000000"/>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04" w:type="dxa"/>
            <w:vAlign w:val="center"/>
          </w:tcPr>
          <w:p>
            <w:pPr>
              <w:spacing w:before="0" w:after="0" w:line="240" w:lineRule="atLeast"/>
              <w:jc w:val="center"/>
              <w:rPr>
                <w:color w:val="000000"/>
                <w:sz w:val="18"/>
                <w:szCs w:val="18"/>
              </w:rPr>
            </w:pPr>
            <w:r>
              <w:rPr>
                <w:color w:val="000000"/>
                <w:sz w:val="18"/>
                <w:szCs w:val="18"/>
              </w:rPr>
              <w:t>K-DXH20e214</w:t>
            </w:r>
          </w:p>
        </w:tc>
        <w:tc>
          <w:tcPr>
            <w:tcW w:w="1191" w:type="dxa"/>
            <w:vAlign w:val="center"/>
          </w:tcPr>
          <w:p>
            <w:pPr>
              <w:spacing w:before="0" w:after="0" w:line="240" w:lineRule="atLeast"/>
              <w:jc w:val="center"/>
              <w:rPr>
                <w:color w:val="000000"/>
                <w:sz w:val="18"/>
                <w:szCs w:val="18"/>
              </w:rPr>
            </w:pPr>
            <w:r>
              <w:rPr>
                <w:color w:val="000000"/>
                <w:sz w:val="18"/>
                <w:szCs w:val="18"/>
              </w:rPr>
              <w:t>≤0.25</w:t>
            </w:r>
          </w:p>
        </w:tc>
        <w:tc>
          <w:tcPr>
            <w:tcW w:w="1898" w:type="dxa"/>
            <w:vAlign w:val="center"/>
          </w:tcPr>
          <w:p>
            <w:pPr>
              <w:spacing w:before="0" w:after="0" w:line="240" w:lineRule="atLeast"/>
              <w:jc w:val="center"/>
              <w:rPr>
                <w:color w:val="000000"/>
                <w:sz w:val="18"/>
                <w:szCs w:val="18"/>
              </w:rPr>
            </w:pPr>
            <w:r>
              <w:rPr>
                <w:color w:val="000000"/>
                <w:sz w:val="18"/>
                <w:szCs w:val="18"/>
              </w:rPr>
              <w:t>Pro184</w:t>
            </w:r>
            <w:r>
              <w:rPr>
                <w:rFonts w:hint="eastAsia"/>
                <w:color w:val="000000"/>
                <w:sz w:val="18"/>
                <w:szCs w:val="18"/>
              </w:rPr>
              <w:t>(</w:t>
            </w:r>
            <w:r>
              <w:rPr>
                <w:color w:val="000000"/>
                <w:sz w:val="18"/>
                <w:szCs w:val="18"/>
              </w:rPr>
              <w:t>CCA→CCG</w:t>
            </w:r>
            <w:r>
              <w:rPr>
                <w:rFonts w:hint="eastAsia"/>
                <w:color w:val="000000"/>
                <w:sz w:val="18"/>
                <w:szCs w:val="18"/>
              </w:rPr>
              <w:t>)</w:t>
            </w:r>
          </w:p>
        </w:tc>
        <w:tc>
          <w:tcPr>
            <w:tcW w:w="2232" w:type="dxa"/>
            <w:vAlign w:val="center"/>
          </w:tcPr>
          <w:p>
            <w:pPr>
              <w:spacing w:before="0" w:after="0" w:line="240" w:lineRule="atLeast"/>
              <w:jc w:val="center"/>
              <w:rPr>
                <w:color w:val="000000"/>
                <w:sz w:val="18"/>
                <w:szCs w:val="18"/>
              </w:rPr>
            </w:pPr>
            <w:r>
              <w:rPr>
                <w:color w:val="000000"/>
                <w:sz w:val="18"/>
                <w:szCs w:val="18"/>
              </w:rPr>
              <w:t>Glu351(GAA→GAG);</w:t>
            </w:r>
          </w:p>
          <w:p>
            <w:pPr>
              <w:spacing w:before="0" w:after="0" w:line="240" w:lineRule="atLeast"/>
              <w:jc w:val="center"/>
              <w:rPr>
                <w:color w:val="000000"/>
                <w:sz w:val="18"/>
                <w:szCs w:val="18"/>
              </w:rPr>
            </w:pPr>
            <w:r>
              <w:rPr>
                <w:color w:val="000000"/>
                <w:sz w:val="18"/>
                <w:szCs w:val="18"/>
              </w:rPr>
              <w:t>Arg393</w:t>
            </w:r>
            <w:r>
              <w:rPr>
                <w:rFonts w:hint="eastAsia"/>
                <w:color w:val="000000"/>
                <w:sz w:val="18"/>
                <w:szCs w:val="18"/>
              </w:rPr>
              <w:t>(</w:t>
            </w:r>
            <w:r>
              <w:rPr>
                <w:color w:val="000000"/>
                <w:sz w:val="18"/>
                <w:szCs w:val="18"/>
              </w:rPr>
              <w:t>CGC→CGT)</w:t>
            </w:r>
          </w:p>
        </w:tc>
        <w:tc>
          <w:tcPr>
            <w:tcW w:w="1956" w:type="dxa"/>
            <w:vAlign w:val="center"/>
          </w:tcPr>
          <w:p>
            <w:pPr>
              <w:spacing w:before="0" w:after="0" w:line="240" w:lineRule="atLeast"/>
              <w:jc w:val="center"/>
              <w:rPr>
                <w:color w:val="000000"/>
                <w:sz w:val="18"/>
                <w:szCs w:val="18"/>
              </w:rPr>
            </w:pPr>
            <w:r>
              <w:rPr>
                <w:color w:val="000000"/>
                <w:sz w:val="18"/>
                <w:szCs w:val="18"/>
              </w:rPr>
              <w:t>–</w:t>
            </w:r>
          </w:p>
        </w:tc>
        <w:tc>
          <w:tcPr>
            <w:tcW w:w="2376" w:type="dxa"/>
            <w:vAlign w:val="center"/>
          </w:tcPr>
          <w:p>
            <w:pPr>
              <w:spacing w:before="0" w:after="0" w:line="240" w:lineRule="atLeast"/>
              <w:jc w:val="center"/>
              <w:rPr>
                <w:color w:val="000000"/>
                <w:sz w:val="18"/>
                <w:szCs w:val="18"/>
              </w:rPr>
            </w:pPr>
            <w:r>
              <w:rPr>
                <w:color w:val="000000"/>
                <w:sz w:val="18"/>
                <w:szCs w:val="18"/>
              </w:rPr>
              <w:t>Glu418(GAA→GAG);</w:t>
            </w:r>
          </w:p>
          <w:p>
            <w:pPr>
              <w:spacing w:before="0" w:after="0" w:line="240" w:lineRule="atLeast"/>
              <w:jc w:val="center"/>
              <w:rPr>
                <w:color w:val="000000"/>
                <w:sz w:val="18"/>
                <w:szCs w:val="18"/>
              </w:rPr>
            </w:pPr>
            <w:r>
              <w:rPr>
                <w:color w:val="000000"/>
                <w:sz w:val="18"/>
                <w:szCs w:val="18"/>
              </w:rPr>
              <w:t>Ser451(TCC→TCT);</w:t>
            </w:r>
          </w:p>
          <w:p>
            <w:pPr>
              <w:spacing w:before="0" w:after="0" w:line="240" w:lineRule="atLeast"/>
              <w:jc w:val="center"/>
              <w:rPr>
                <w:color w:val="000000"/>
                <w:sz w:val="18"/>
                <w:szCs w:val="18"/>
              </w:rPr>
            </w:pPr>
            <w:r>
              <w:rPr>
                <w:color w:val="000000"/>
                <w:sz w:val="18"/>
                <w:szCs w:val="18"/>
              </w:rPr>
              <w:t>Asp473(GAC→GAT)</w:t>
            </w:r>
          </w:p>
        </w:tc>
      </w:tr>
    </w:tbl>
    <w:p>
      <w:pPr>
        <w:rPr>
          <w:szCs w:val="24"/>
        </w:rPr>
        <w:sectPr>
          <w:type w:val="continuous"/>
          <w:pgSz w:w="16838" w:h="11906" w:orient="landscape"/>
          <w:pgMar w:top="1800" w:right="1440" w:bottom="1800" w:left="1440" w:header="851" w:footer="992" w:gutter="0"/>
          <w:cols w:space="720" w:num="1"/>
          <w:docGrid w:type="lines" w:linePitch="312" w:charSpace="0"/>
        </w:sectPr>
      </w:pPr>
    </w:p>
    <w:p>
      <w:pPr>
        <w:rPr>
          <w:szCs w:val="24"/>
        </w:rPr>
        <w:sectPr>
          <w:type w:val="continuous"/>
          <w:pgSz w:w="16838" w:h="11906" w:orient="landscape"/>
          <w:pgMar w:top="1800" w:right="1440" w:bottom="1800" w:left="1440" w:header="851" w:footer="992" w:gutter="0"/>
          <w:cols w:space="720" w:num="1"/>
          <w:docGrid w:type="lines" w:linePitch="312" w:charSpace="0"/>
        </w:sectPr>
      </w:pPr>
      <w:r>
        <w:rPr>
          <w:rFonts w:hint="eastAsia"/>
          <w:szCs w:val="24"/>
          <w:vertAlign w:val="superscript"/>
        </w:rPr>
        <w:t>a</w:t>
      </w:r>
      <w:r>
        <w:rPr>
          <w:rFonts w:hint="eastAsia"/>
          <w:szCs w:val="24"/>
        </w:rPr>
        <w:t xml:space="preserve"> </w:t>
      </w:r>
      <w:r>
        <w:rPr>
          <w:color w:val="000000"/>
          <w:szCs w:val="24"/>
        </w:rPr>
        <w:t>–</w:t>
      </w:r>
      <w:r>
        <w:rPr>
          <w:rFonts w:hint="eastAsia"/>
          <w:szCs w:val="24"/>
        </w:rPr>
        <w:t xml:space="preserve"> Indicates isolates with no mutations.</w:t>
      </w:r>
    </w:p>
    <w:p>
      <w:pPr>
        <w:rPr>
          <w:b/>
        </w:rPr>
      </w:pPr>
      <w:r>
        <w:rPr>
          <w:b/>
        </w:rPr>
        <w:t>REFERENCE</w:t>
      </w:r>
    </w:p>
    <w:p>
      <w:pPr>
        <w:ind w:left="480" w:hanging="480" w:hangingChars="200"/>
        <w:rPr>
          <w:rFonts w:eastAsia="宋体"/>
          <w:bCs/>
          <w:lang w:eastAsia="zh-CN"/>
        </w:rPr>
      </w:pPr>
      <w:r>
        <w:rPr>
          <w:rFonts w:hint="eastAsia"/>
          <w:bCs/>
        </w:rPr>
        <w:t>Almaghrabi</w:t>
      </w:r>
      <w:r>
        <w:rPr>
          <w:rFonts w:hint="eastAsia" w:eastAsia="宋体"/>
          <w:bCs/>
          <w:lang w:eastAsia="zh-CN"/>
        </w:rPr>
        <w:t>,</w:t>
      </w:r>
      <w:r>
        <w:rPr>
          <w:rFonts w:hint="eastAsia"/>
          <w:bCs/>
        </w:rPr>
        <w:t xml:space="preserve"> R</w:t>
      </w:r>
      <w:r>
        <w:rPr>
          <w:rFonts w:hint="eastAsia" w:eastAsia="宋体"/>
          <w:bCs/>
          <w:lang w:eastAsia="zh-CN"/>
        </w:rPr>
        <w:t>.</w:t>
      </w:r>
      <w:r>
        <w:rPr>
          <w:rFonts w:hint="eastAsia"/>
          <w:bCs/>
        </w:rPr>
        <w:t>, Clancy</w:t>
      </w:r>
      <w:r>
        <w:rPr>
          <w:rFonts w:hint="eastAsia" w:eastAsia="宋体"/>
          <w:bCs/>
          <w:lang w:eastAsia="zh-CN"/>
        </w:rPr>
        <w:t>,</w:t>
      </w:r>
      <w:r>
        <w:rPr>
          <w:rFonts w:hint="eastAsia"/>
          <w:bCs/>
        </w:rPr>
        <w:t xml:space="preserve"> C</w:t>
      </w:r>
      <w:r>
        <w:rPr>
          <w:rFonts w:hint="eastAsia" w:eastAsia="宋体"/>
          <w:bCs/>
          <w:lang w:eastAsia="zh-CN"/>
        </w:rPr>
        <w:t>.</w:t>
      </w:r>
      <w:r>
        <w:rPr>
          <w:rFonts w:hint="eastAsia"/>
          <w:bCs/>
        </w:rPr>
        <w:t xml:space="preserve"> J</w:t>
      </w:r>
      <w:r>
        <w:rPr>
          <w:rFonts w:hint="eastAsia" w:eastAsia="宋体"/>
          <w:bCs/>
          <w:lang w:eastAsia="zh-CN"/>
        </w:rPr>
        <w:t>.</w:t>
      </w:r>
      <w:r>
        <w:rPr>
          <w:rFonts w:hint="eastAsia"/>
          <w:bCs/>
        </w:rPr>
        <w:t>, Doi</w:t>
      </w:r>
      <w:r>
        <w:rPr>
          <w:rFonts w:hint="eastAsia" w:eastAsia="宋体"/>
          <w:bCs/>
          <w:lang w:eastAsia="zh-CN"/>
        </w:rPr>
        <w:t>,</w:t>
      </w:r>
      <w:r>
        <w:rPr>
          <w:rFonts w:hint="eastAsia"/>
          <w:bCs/>
        </w:rPr>
        <w:t xml:space="preserve"> Y</w:t>
      </w:r>
      <w:r>
        <w:rPr>
          <w:rFonts w:hint="eastAsia" w:eastAsia="宋体"/>
          <w:bCs/>
          <w:lang w:eastAsia="zh-CN"/>
        </w:rPr>
        <w:t>.</w:t>
      </w:r>
      <w:r>
        <w:rPr>
          <w:rFonts w:hint="eastAsia"/>
          <w:bCs/>
        </w:rPr>
        <w:t>, Hao</w:t>
      </w:r>
      <w:r>
        <w:rPr>
          <w:rFonts w:hint="eastAsia" w:eastAsia="宋体"/>
          <w:bCs/>
          <w:lang w:eastAsia="zh-CN"/>
        </w:rPr>
        <w:t>,</w:t>
      </w:r>
      <w:r>
        <w:rPr>
          <w:rFonts w:hint="eastAsia"/>
          <w:bCs/>
        </w:rPr>
        <w:t xml:space="preserve"> B</w:t>
      </w:r>
      <w:r>
        <w:rPr>
          <w:rFonts w:hint="eastAsia" w:eastAsia="宋体"/>
          <w:bCs/>
          <w:lang w:eastAsia="zh-CN"/>
        </w:rPr>
        <w:t>.</w:t>
      </w:r>
      <w:r>
        <w:rPr>
          <w:rFonts w:hint="eastAsia"/>
          <w:bCs/>
        </w:rPr>
        <w:t>, Chen</w:t>
      </w:r>
      <w:r>
        <w:rPr>
          <w:rFonts w:hint="eastAsia" w:eastAsia="宋体"/>
          <w:bCs/>
          <w:lang w:eastAsia="zh-CN"/>
        </w:rPr>
        <w:t>,</w:t>
      </w:r>
      <w:r>
        <w:rPr>
          <w:rFonts w:hint="eastAsia"/>
          <w:bCs/>
        </w:rPr>
        <w:t xml:space="preserve"> L</w:t>
      </w:r>
      <w:r>
        <w:rPr>
          <w:rFonts w:hint="eastAsia" w:eastAsia="宋体"/>
          <w:bCs/>
          <w:lang w:eastAsia="zh-CN"/>
        </w:rPr>
        <w:t>.</w:t>
      </w:r>
      <w:r>
        <w:rPr>
          <w:rFonts w:hint="eastAsia"/>
          <w:bCs/>
        </w:rPr>
        <w:t>, Shields</w:t>
      </w:r>
      <w:r>
        <w:rPr>
          <w:rFonts w:hint="eastAsia" w:eastAsia="宋体"/>
          <w:bCs/>
          <w:lang w:eastAsia="zh-CN"/>
        </w:rPr>
        <w:t>,</w:t>
      </w:r>
      <w:r>
        <w:rPr>
          <w:rFonts w:hint="eastAsia"/>
          <w:bCs/>
        </w:rPr>
        <w:t xml:space="preserve"> R</w:t>
      </w:r>
      <w:r>
        <w:rPr>
          <w:rFonts w:hint="eastAsia" w:eastAsia="宋体"/>
          <w:bCs/>
          <w:lang w:eastAsia="zh-CN"/>
        </w:rPr>
        <w:t>.</w:t>
      </w:r>
      <w:r>
        <w:rPr>
          <w:rFonts w:hint="eastAsia"/>
          <w:bCs/>
        </w:rPr>
        <w:t xml:space="preserve"> K</w:t>
      </w:r>
      <w:r>
        <w:rPr>
          <w:rFonts w:hint="eastAsia" w:eastAsia="宋体"/>
          <w:bCs/>
          <w:lang w:eastAsia="zh-CN"/>
        </w:rPr>
        <w:t>.</w:t>
      </w:r>
      <w:r>
        <w:rPr>
          <w:rFonts w:hint="eastAsia"/>
          <w:bCs/>
        </w:rPr>
        <w:t xml:space="preserve">, </w:t>
      </w:r>
      <w:r>
        <w:rPr>
          <w:rFonts w:hint="eastAsia" w:eastAsia="宋体"/>
          <w:bCs/>
          <w:lang w:eastAsia="zh-CN"/>
        </w:rPr>
        <w:t>et al. (2014)</w:t>
      </w:r>
      <w:r>
        <w:rPr>
          <w:rFonts w:hint="eastAsia"/>
          <w:bCs/>
        </w:rPr>
        <w:t>. Carbapenem-</w:t>
      </w:r>
      <w:r>
        <w:rPr>
          <w:rFonts w:hint="eastAsia" w:eastAsia="宋体"/>
          <w:bCs/>
          <w:lang w:eastAsia="zh-CN"/>
        </w:rPr>
        <w:t>r</w:t>
      </w:r>
      <w:r>
        <w:rPr>
          <w:rFonts w:hint="eastAsia"/>
          <w:bCs/>
        </w:rPr>
        <w:t xml:space="preserve">esistant </w:t>
      </w:r>
      <w:r>
        <w:rPr>
          <w:rFonts w:hint="eastAsia"/>
          <w:bCs/>
          <w:i/>
          <w:iCs/>
        </w:rPr>
        <w:t xml:space="preserve">Klebsiella </w:t>
      </w:r>
      <w:r>
        <w:rPr>
          <w:rFonts w:hint="eastAsia" w:eastAsia="宋体"/>
          <w:bCs/>
          <w:i/>
          <w:iCs/>
          <w:lang w:eastAsia="zh-CN"/>
        </w:rPr>
        <w:t>p</w:t>
      </w:r>
      <w:r>
        <w:rPr>
          <w:rFonts w:hint="eastAsia"/>
          <w:bCs/>
          <w:i/>
          <w:iCs/>
        </w:rPr>
        <w:t>neumoniae</w:t>
      </w:r>
      <w:r>
        <w:rPr>
          <w:rFonts w:hint="eastAsia"/>
          <w:bCs/>
        </w:rPr>
        <w:t xml:space="preserve"> </w:t>
      </w:r>
      <w:r>
        <w:rPr>
          <w:rFonts w:hint="eastAsia" w:eastAsia="宋体"/>
          <w:bCs/>
          <w:lang w:eastAsia="zh-CN"/>
        </w:rPr>
        <w:t>s</w:t>
      </w:r>
      <w:r>
        <w:rPr>
          <w:rFonts w:hint="eastAsia"/>
          <w:bCs/>
        </w:rPr>
        <w:t xml:space="preserve">trains </w:t>
      </w:r>
      <w:r>
        <w:rPr>
          <w:rFonts w:hint="eastAsia" w:eastAsia="宋体"/>
          <w:bCs/>
          <w:lang w:eastAsia="zh-CN"/>
        </w:rPr>
        <w:t>e</w:t>
      </w:r>
      <w:r>
        <w:rPr>
          <w:rFonts w:hint="eastAsia"/>
          <w:bCs/>
        </w:rPr>
        <w:t xml:space="preserve">xhibit </w:t>
      </w:r>
      <w:r>
        <w:rPr>
          <w:rFonts w:hint="eastAsia" w:eastAsia="宋体"/>
          <w:bCs/>
          <w:lang w:eastAsia="zh-CN"/>
        </w:rPr>
        <w:t>d</w:t>
      </w:r>
      <w:r>
        <w:rPr>
          <w:rFonts w:hint="eastAsia"/>
          <w:bCs/>
        </w:rPr>
        <w:t xml:space="preserve">iversity in </w:t>
      </w:r>
      <w:r>
        <w:rPr>
          <w:rFonts w:hint="eastAsia" w:eastAsia="宋体"/>
          <w:bCs/>
          <w:lang w:eastAsia="zh-CN"/>
        </w:rPr>
        <w:t>a</w:t>
      </w:r>
      <w:r>
        <w:rPr>
          <w:rFonts w:hint="eastAsia"/>
          <w:bCs/>
        </w:rPr>
        <w:t>minoglycoside-</w:t>
      </w:r>
      <w:r>
        <w:rPr>
          <w:rFonts w:hint="eastAsia" w:eastAsia="宋体"/>
          <w:bCs/>
          <w:lang w:eastAsia="zh-CN"/>
        </w:rPr>
        <w:t>m</w:t>
      </w:r>
      <w:r>
        <w:rPr>
          <w:rFonts w:hint="eastAsia"/>
          <w:bCs/>
        </w:rPr>
        <w:t xml:space="preserve">odifying </w:t>
      </w:r>
      <w:r>
        <w:rPr>
          <w:rFonts w:hint="eastAsia" w:eastAsia="宋体"/>
          <w:bCs/>
          <w:lang w:eastAsia="zh-CN"/>
        </w:rPr>
        <w:t>e</w:t>
      </w:r>
      <w:r>
        <w:rPr>
          <w:rFonts w:hint="eastAsia"/>
          <w:bCs/>
        </w:rPr>
        <w:t xml:space="preserve">nzymes, </w:t>
      </w:r>
      <w:r>
        <w:rPr>
          <w:rFonts w:hint="eastAsia" w:eastAsia="宋体"/>
          <w:bCs/>
          <w:lang w:eastAsia="zh-CN"/>
        </w:rPr>
        <w:t>w</w:t>
      </w:r>
      <w:r>
        <w:rPr>
          <w:rFonts w:hint="eastAsia"/>
          <w:bCs/>
        </w:rPr>
        <w:t xml:space="preserve">hich </w:t>
      </w:r>
      <w:r>
        <w:rPr>
          <w:rFonts w:hint="eastAsia" w:eastAsia="宋体"/>
          <w:bCs/>
          <w:lang w:eastAsia="zh-CN"/>
        </w:rPr>
        <w:t>e</w:t>
      </w:r>
      <w:r>
        <w:rPr>
          <w:rFonts w:hint="eastAsia"/>
          <w:bCs/>
        </w:rPr>
        <w:t xml:space="preserve">xert </w:t>
      </w:r>
      <w:r>
        <w:rPr>
          <w:rFonts w:hint="eastAsia" w:eastAsia="宋体"/>
          <w:bCs/>
          <w:lang w:eastAsia="zh-CN"/>
        </w:rPr>
        <w:t>d</w:t>
      </w:r>
      <w:r>
        <w:rPr>
          <w:rFonts w:hint="eastAsia"/>
          <w:bCs/>
        </w:rPr>
        <w:t xml:space="preserve">iffering </w:t>
      </w:r>
      <w:r>
        <w:rPr>
          <w:rFonts w:hint="eastAsia" w:eastAsia="宋体"/>
          <w:bCs/>
          <w:lang w:eastAsia="zh-CN"/>
        </w:rPr>
        <w:t>e</w:t>
      </w:r>
      <w:r>
        <w:rPr>
          <w:rFonts w:hint="eastAsia"/>
          <w:bCs/>
        </w:rPr>
        <w:t xml:space="preserve">ffects </w:t>
      </w:r>
      <w:r>
        <w:rPr>
          <w:rFonts w:hint="eastAsia" w:eastAsia="宋体"/>
          <w:bCs/>
          <w:lang w:eastAsia="zh-CN"/>
        </w:rPr>
        <w:t>o</w:t>
      </w:r>
      <w:r>
        <w:rPr>
          <w:rFonts w:hint="eastAsia"/>
          <w:bCs/>
        </w:rPr>
        <w:t xml:space="preserve">n </w:t>
      </w:r>
      <w:r>
        <w:rPr>
          <w:rFonts w:hint="eastAsia" w:eastAsia="宋体"/>
          <w:bCs/>
          <w:lang w:eastAsia="zh-CN"/>
        </w:rPr>
        <w:t>p</w:t>
      </w:r>
      <w:r>
        <w:rPr>
          <w:rFonts w:hint="eastAsia"/>
          <w:bCs/>
        </w:rPr>
        <w:t xml:space="preserve">lazomicin and </w:t>
      </w:r>
      <w:r>
        <w:rPr>
          <w:rFonts w:hint="eastAsia" w:eastAsia="宋体"/>
          <w:bCs/>
          <w:lang w:eastAsia="zh-CN"/>
        </w:rPr>
        <w:t>o</w:t>
      </w:r>
      <w:r>
        <w:rPr>
          <w:rFonts w:hint="eastAsia"/>
          <w:bCs/>
        </w:rPr>
        <w:t xml:space="preserve">ther </w:t>
      </w:r>
      <w:r>
        <w:rPr>
          <w:rFonts w:hint="eastAsia" w:eastAsia="宋体"/>
          <w:bCs/>
          <w:lang w:eastAsia="zh-CN"/>
        </w:rPr>
        <w:t>a</w:t>
      </w:r>
      <w:r>
        <w:rPr>
          <w:rFonts w:hint="eastAsia"/>
          <w:bCs/>
        </w:rPr>
        <w:t xml:space="preserve">gents. </w:t>
      </w:r>
      <w:r>
        <w:rPr>
          <w:rFonts w:hint="eastAsia"/>
          <w:bCs/>
          <w:i/>
          <w:iCs/>
        </w:rPr>
        <w:t>Antimicrob Agents Chemother</w:t>
      </w:r>
      <w:r>
        <w:rPr>
          <w:rFonts w:hint="eastAsia" w:eastAsia="宋体"/>
          <w:bCs/>
          <w:lang w:eastAsia="zh-CN"/>
        </w:rPr>
        <w:t>.</w:t>
      </w:r>
      <w:r>
        <w:rPr>
          <w:rFonts w:hint="eastAsia"/>
          <w:bCs/>
        </w:rPr>
        <w:t xml:space="preserve"> 58 (8): 4443</w:t>
      </w:r>
      <w:r>
        <w:rPr>
          <w:rFonts w:cs="Times New Roman"/>
          <w:szCs w:val="24"/>
        </w:rPr>
        <w:t>–</w:t>
      </w:r>
      <w:r>
        <w:rPr>
          <w:rFonts w:hint="eastAsia"/>
          <w:bCs/>
        </w:rPr>
        <w:t>4451.</w:t>
      </w:r>
      <w:r>
        <w:rPr>
          <w:rFonts w:hint="eastAsia" w:eastAsia="宋体"/>
          <w:bCs/>
          <w:lang w:eastAsia="zh-CN"/>
        </w:rPr>
        <w:t xml:space="preserve"> doi: 10.1128/AAC.00099-14.</w:t>
      </w:r>
    </w:p>
    <w:p>
      <w:pPr>
        <w:autoSpaceDE w:val="0"/>
        <w:autoSpaceDN w:val="0"/>
        <w:adjustRightInd w:val="0"/>
        <w:ind w:left="480" w:hanging="480"/>
        <w:rPr>
          <w:rFonts w:cs="Times New Roman"/>
          <w:szCs w:val="24"/>
        </w:rPr>
      </w:pPr>
      <w:r>
        <w:fldChar w:fldCharType="begin" w:fldLock="1"/>
      </w:r>
      <w:r>
        <w:instrText xml:space="preserve">ADDIN Mendeley Bibliography CSL_BIBLIOGRAPHY </w:instrText>
      </w:r>
      <w:r>
        <w:fldChar w:fldCharType="separate"/>
      </w:r>
      <w:r>
        <w:rPr>
          <w:rFonts w:cs="Times New Roman"/>
          <w:szCs w:val="24"/>
        </w:rPr>
        <w:t xml:space="preserve">Al-Marzooq, F., Ngeow, Y. F., and Tay, S. T. (2015). Emergence of </w:t>
      </w:r>
      <w:r>
        <w:rPr>
          <w:rFonts w:cs="Times New Roman"/>
          <w:i/>
          <w:iCs/>
          <w:szCs w:val="24"/>
        </w:rPr>
        <w:t>Klebsiella pneumoniae</w:t>
      </w:r>
      <w:r>
        <w:rPr>
          <w:rFonts w:cs="Times New Roman"/>
          <w:szCs w:val="24"/>
        </w:rPr>
        <w:t xml:space="preserve"> producing dual carbapenemases (</w:t>
      </w:r>
      <w:r>
        <w:rPr>
          <w:rFonts w:cs="Times New Roman"/>
          <w:i/>
          <w:iCs/>
          <w:szCs w:val="24"/>
        </w:rPr>
        <w:t>NDM-1</w:t>
      </w:r>
      <w:r>
        <w:rPr>
          <w:rFonts w:cs="Times New Roman"/>
          <w:szCs w:val="24"/>
        </w:rPr>
        <w:t xml:space="preserve"> and </w:t>
      </w:r>
      <w:r>
        <w:rPr>
          <w:rFonts w:cs="Times New Roman"/>
          <w:i/>
          <w:iCs/>
          <w:szCs w:val="24"/>
        </w:rPr>
        <w:t>OXA-232</w:t>
      </w:r>
      <w:r>
        <w:rPr>
          <w:rFonts w:cs="Times New Roman"/>
          <w:szCs w:val="24"/>
        </w:rPr>
        <w:t>) and 16S rRNA methylase (</w:t>
      </w:r>
      <w:r>
        <w:rPr>
          <w:rFonts w:cs="Times New Roman"/>
          <w:i/>
          <w:iCs/>
          <w:szCs w:val="24"/>
        </w:rPr>
        <w:t>armA</w:t>
      </w:r>
      <w:r>
        <w:rPr>
          <w:rFonts w:cs="Times New Roman"/>
          <w:szCs w:val="24"/>
        </w:rPr>
        <w:t xml:space="preserve">) isolated from a Malaysian patient returning from India. </w:t>
      </w:r>
      <w:r>
        <w:rPr>
          <w:rFonts w:hint="eastAsia" w:cs="Times New Roman"/>
          <w:i/>
          <w:iCs/>
          <w:szCs w:val="24"/>
        </w:rPr>
        <w:t>Int J Antimicrob Agents.</w:t>
      </w:r>
      <w:r>
        <w:rPr>
          <w:rFonts w:cs="Times New Roman"/>
          <w:szCs w:val="24"/>
        </w:rPr>
        <w:t xml:space="preserve"> 45, 445–446. doi:10.1016/j.ijantimicag.2014.12.013.</w:t>
      </w:r>
    </w:p>
    <w:p>
      <w:pPr>
        <w:autoSpaceDE w:val="0"/>
        <w:autoSpaceDN w:val="0"/>
        <w:adjustRightInd w:val="0"/>
        <w:ind w:left="480" w:hanging="480"/>
        <w:rPr>
          <w:rFonts w:cs="Times New Roman"/>
          <w:szCs w:val="24"/>
        </w:rPr>
      </w:pPr>
      <w:r>
        <w:rPr>
          <w:rFonts w:cs="Times New Roman"/>
          <w:szCs w:val="24"/>
        </w:rPr>
        <w:t xml:space="preserve">Andrade, L. N., Novais, Â., Stegani, L. M. M., Ferreira, J. C., Rodrigues, C., Darini, A. L. C., </w:t>
      </w:r>
      <w:r>
        <w:rPr>
          <w:rFonts w:hint="eastAsia" w:eastAsia="宋体" w:cs="Times New Roman"/>
          <w:szCs w:val="24"/>
          <w:lang w:eastAsia="zh-CN"/>
        </w:rPr>
        <w:t>et al.</w:t>
      </w:r>
      <w:r>
        <w:rPr>
          <w:rFonts w:cs="Times New Roman"/>
          <w:szCs w:val="24"/>
        </w:rPr>
        <w:t xml:space="preserve"> (2018). Virulence genes, capsular and plasmid types of multidrug-resistant </w:t>
      </w:r>
      <w:r>
        <w:rPr>
          <w:rFonts w:cs="Times New Roman"/>
          <w:i/>
          <w:iCs/>
          <w:szCs w:val="24"/>
        </w:rPr>
        <w:t>CTX-M</w:t>
      </w:r>
      <w:r>
        <w:rPr>
          <w:rFonts w:cs="Times New Roman"/>
          <w:szCs w:val="24"/>
        </w:rPr>
        <w:t xml:space="preserve">(-2, -8, -15) and </w:t>
      </w:r>
      <w:r>
        <w:rPr>
          <w:rFonts w:cs="Times New Roman"/>
          <w:i/>
          <w:iCs/>
          <w:szCs w:val="24"/>
        </w:rPr>
        <w:t>KPC</w:t>
      </w:r>
      <w:r>
        <w:rPr>
          <w:rFonts w:cs="Times New Roman"/>
          <w:szCs w:val="24"/>
        </w:rPr>
        <w:t xml:space="preserve">-2-producing </w:t>
      </w:r>
      <w:r>
        <w:rPr>
          <w:rFonts w:cs="Times New Roman"/>
          <w:i/>
          <w:iCs/>
          <w:szCs w:val="24"/>
        </w:rPr>
        <w:t>Klebsiella pneumoniae</w:t>
      </w:r>
      <w:r>
        <w:rPr>
          <w:rFonts w:cs="Times New Roman"/>
          <w:szCs w:val="24"/>
        </w:rPr>
        <w:t xml:space="preserve"> isolates from four major hospitals in Brazil. </w:t>
      </w:r>
      <w:r>
        <w:rPr>
          <w:rFonts w:hint="eastAsia" w:cs="Times New Roman"/>
          <w:i/>
          <w:iCs/>
          <w:szCs w:val="24"/>
        </w:rPr>
        <w:t>Diagn Microbiol Infect Dis.</w:t>
      </w:r>
      <w:r>
        <w:rPr>
          <w:rFonts w:cs="Times New Roman"/>
          <w:szCs w:val="24"/>
        </w:rPr>
        <w:t xml:space="preserve"> 91, 164–168. doi:10.1016/j.diagmicrobio.2018.01.007.</w:t>
      </w:r>
    </w:p>
    <w:p>
      <w:pPr>
        <w:autoSpaceDE w:val="0"/>
        <w:autoSpaceDN w:val="0"/>
        <w:adjustRightInd w:val="0"/>
        <w:ind w:left="480" w:hanging="480"/>
        <w:rPr>
          <w:rFonts w:cs="Times New Roman"/>
          <w:szCs w:val="24"/>
        </w:rPr>
      </w:pPr>
      <w:r>
        <w:rPr>
          <w:rFonts w:cs="Times New Roman"/>
          <w:szCs w:val="24"/>
        </w:rPr>
        <w:t xml:space="preserve">Candan, E. D., and Aksöz, N. (2015). </w:t>
      </w:r>
      <w:r>
        <w:rPr>
          <w:rFonts w:cs="Times New Roman"/>
          <w:i/>
          <w:iCs/>
          <w:szCs w:val="24"/>
        </w:rPr>
        <w:t>Klebsiella pneumoniae</w:t>
      </w:r>
      <w:r>
        <w:rPr>
          <w:rFonts w:cs="Times New Roman"/>
          <w:szCs w:val="24"/>
        </w:rPr>
        <w:t xml:space="preserve">: Characteristics of carbapenem resistance and virulence factors. </w:t>
      </w:r>
      <w:r>
        <w:rPr>
          <w:rFonts w:hint="eastAsia" w:cs="Times New Roman"/>
          <w:i/>
          <w:iCs/>
          <w:szCs w:val="24"/>
        </w:rPr>
        <w:t>Acta Biochim Pol.</w:t>
      </w:r>
      <w:r>
        <w:rPr>
          <w:rFonts w:cs="Times New Roman"/>
          <w:szCs w:val="24"/>
        </w:rPr>
        <w:t xml:space="preserve"> 62, 867–874. doi:10.18388/abp.2015_1148.</w:t>
      </w:r>
    </w:p>
    <w:p>
      <w:pPr>
        <w:autoSpaceDE w:val="0"/>
        <w:autoSpaceDN w:val="0"/>
        <w:adjustRightInd w:val="0"/>
        <w:ind w:left="480" w:hanging="480"/>
        <w:rPr>
          <w:rFonts w:cs="Times New Roman"/>
          <w:szCs w:val="24"/>
        </w:rPr>
      </w:pPr>
      <w:r>
        <w:rPr>
          <w:rFonts w:cs="Times New Roman"/>
          <w:szCs w:val="24"/>
        </w:rPr>
        <w:t xml:space="preserve">Chuong, L. Van, Prachayasittikul, V., Isarankura Na Ayudhya, C., and Lawung, R. (2018). Multiplex PCR scheme for variant plasmid mediated class C β-lactamase typing. </w:t>
      </w:r>
      <w:r>
        <w:rPr>
          <w:rFonts w:hint="eastAsia" w:cs="Times New Roman"/>
          <w:i/>
          <w:iCs/>
          <w:szCs w:val="24"/>
        </w:rPr>
        <w:t>J Clin Lab Anal.</w:t>
      </w:r>
      <w:r>
        <w:rPr>
          <w:rFonts w:cs="Times New Roman"/>
          <w:szCs w:val="24"/>
        </w:rPr>
        <w:t xml:space="preserve"> 32, e22298. doi:10.1002/jcla.22298.</w:t>
      </w:r>
    </w:p>
    <w:p>
      <w:pPr>
        <w:autoSpaceDE w:val="0"/>
        <w:autoSpaceDN w:val="0"/>
        <w:adjustRightInd w:val="0"/>
        <w:ind w:left="480" w:hanging="480"/>
        <w:rPr>
          <w:rFonts w:cs="Times New Roman"/>
          <w:szCs w:val="24"/>
        </w:rPr>
      </w:pPr>
      <w:r>
        <w:rPr>
          <w:rFonts w:cs="Times New Roman"/>
          <w:szCs w:val="24"/>
        </w:rPr>
        <w:t xml:space="preserve">Derakhshan, S., Peerayeh, S. N., and Bakhshi, B. (2016). Association between presence of virulence genes and antibiotic resistance in clinical </w:t>
      </w:r>
      <w:r>
        <w:rPr>
          <w:rFonts w:hint="eastAsia" w:eastAsia="宋体" w:cs="Times New Roman"/>
          <w:i/>
          <w:iCs/>
          <w:szCs w:val="24"/>
          <w:lang w:eastAsia="zh-CN"/>
        </w:rPr>
        <w:t>K</w:t>
      </w:r>
      <w:r>
        <w:rPr>
          <w:rFonts w:cs="Times New Roman"/>
          <w:i/>
          <w:iCs/>
          <w:szCs w:val="24"/>
        </w:rPr>
        <w:t>lebsiella pneumoniae</w:t>
      </w:r>
      <w:r>
        <w:rPr>
          <w:rFonts w:cs="Times New Roman"/>
          <w:szCs w:val="24"/>
        </w:rPr>
        <w:t xml:space="preserve"> isolates. </w:t>
      </w:r>
      <w:r>
        <w:rPr>
          <w:rFonts w:hint="eastAsia" w:cs="Times New Roman"/>
          <w:i/>
          <w:iCs/>
          <w:szCs w:val="24"/>
        </w:rPr>
        <w:t xml:space="preserve"> Lab Med.</w:t>
      </w:r>
      <w:r>
        <w:rPr>
          <w:rFonts w:cs="Times New Roman"/>
          <w:szCs w:val="24"/>
        </w:rPr>
        <w:t xml:space="preserve"> 47, 306–311. doi:10.1093/labmed/lmw030.</w:t>
      </w:r>
    </w:p>
    <w:p>
      <w:pPr>
        <w:autoSpaceDE w:val="0"/>
        <w:autoSpaceDN w:val="0"/>
        <w:adjustRightInd w:val="0"/>
        <w:ind w:left="480" w:hanging="480"/>
        <w:rPr>
          <w:rFonts w:cs="Times New Roman"/>
          <w:szCs w:val="24"/>
        </w:rPr>
      </w:pPr>
      <w:r>
        <w:rPr>
          <w:rFonts w:cs="Times New Roman"/>
          <w:szCs w:val="24"/>
        </w:rPr>
        <w:t xml:space="preserve">Fadare, F. T., Adefisoye, M. A., and Okoh, A. I. (2020). Occurrence, identification, and antibiogram signatures of selected Enterobacteriaceae from Tsomo and Tyhume rivers in the Eastern Cape Province, Republic of South Africa. </w:t>
      </w:r>
      <w:r>
        <w:rPr>
          <w:rFonts w:cs="Times New Roman"/>
          <w:i/>
          <w:iCs/>
          <w:szCs w:val="24"/>
        </w:rPr>
        <w:t>PLoS O</w:t>
      </w:r>
      <w:r>
        <w:rPr>
          <w:rFonts w:hint="eastAsia" w:eastAsia="宋体" w:cs="Times New Roman"/>
          <w:i/>
          <w:iCs/>
          <w:szCs w:val="24"/>
          <w:lang w:eastAsia="zh-CN"/>
        </w:rPr>
        <w:t>ne.</w:t>
      </w:r>
      <w:r>
        <w:rPr>
          <w:rFonts w:cs="Times New Roman"/>
          <w:szCs w:val="24"/>
        </w:rPr>
        <w:t xml:space="preserve"> 15, 1–27. doi:10.1371/journal.pone.0238084.</w:t>
      </w:r>
    </w:p>
    <w:p>
      <w:pPr>
        <w:autoSpaceDE w:val="0"/>
        <w:autoSpaceDN w:val="0"/>
        <w:adjustRightInd w:val="0"/>
        <w:ind w:left="480" w:hanging="480"/>
        <w:rPr>
          <w:rFonts w:cs="Times New Roman"/>
          <w:szCs w:val="24"/>
        </w:rPr>
      </w:pPr>
      <w:r>
        <w:rPr>
          <w:rFonts w:cs="Times New Roman"/>
          <w:szCs w:val="24"/>
        </w:rPr>
        <w:t xml:space="preserve">Fazel, F., Jamshidi, A., and Khoramian, B. (2019). Phenotypic and genotypic study on antimicrobial resistance patterns of </w:t>
      </w:r>
      <w:r>
        <w:rPr>
          <w:rFonts w:cs="Times New Roman"/>
          <w:i/>
          <w:iCs/>
          <w:szCs w:val="24"/>
        </w:rPr>
        <w:t>E. coli</w:t>
      </w:r>
      <w:r>
        <w:rPr>
          <w:rFonts w:cs="Times New Roman"/>
          <w:szCs w:val="24"/>
        </w:rPr>
        <w:t xml:space="preserve"> isolates from bovine mastitis. </w:t>
      </w:r>
      <w:r>
        <w:rPr>
          <w:rFonts w:hint="eastAsia" w:cs="Times New Roman"/>
          <w:i/>
          <w:iCs/>
          <w:szCs w:val="24"/>
        </w:rPr>
        <w:t>Microb Pathog.</w:t>
      </w:r>
      <w:r>
        <w:rPr>
          <w:rFonts w:cs="Times New Roman"/>
          <w:szCs w:val="24"/>
        </w:rPr>
        <w:t xml:space="preserve"> 132, 355–361. doi:10.1016/j.micpath.2019.05.018.</w:t>
      </w:r>
    </w:p>
    <w:p>
      <w:pPr>
        <w:autoSpaceDE w:val="0"/>
        <w:autoSpaceDN w:val="0"/>
        <w:adjustRightInd w:val="0"/>
        <w:ind w:left="480" w:hanging="480"/>
        <w:rPr>
          <w:rFonts w:cs="Times New Roman"/>
          <w:szCs w:val="24"/>
        </w:rPr>
      </w:pPr>
      <w:r>
        <w:rPr>
          <w:rFonts w:cs="Times New Roman"/>
          <w:szCs w:val="24"/>
        </w:rPr>
        <w:t xml:space="preserve">Gharout-Sait, A., Alsharapy, S. A., Brasme, L., Touati, A., Kermas, R., Bakour, S., et al. (2014). Enterobacteriaceae isolates carrying the New Delhi metallo-β-lactamase gene in Yemen. </w:t>
      </w:r>
      <w:r>
        <w:rPr>
          <w:rFonts w:hint="eastAsia" w:cs="Times New Roman"/>
          <w:i/>
          <w:iCs/>
          <w:szCs w:val="24"/>
        </w:rPr>
        <w:t>J Med Microbiol.</w:t>
      </w:r>
      <w:r>
        <w:rPr>
          <w:rFonts w:cs="Times New Roman"/>
          <w:szCs w:val="24"/>
        </w:rPr>
        <w:t xml:space="preserve"> 63, 1316–1323. doi:10.1099/jmm.0.073767-0.</w:t>
      </w:r>
    </w:p>
    <w:p>
      <w:pPr>
        <w:autoSpaceDE w:val="0"/>
        <w:autoSpaceDN w:val="0"/>
        <w:adjustRightInd w:val="0"/>
        <w:ind w:left="480" w:hanging="480"/>
        <w:rPr>
          <w:rFonts w:cs="Times New Roman"/>
          <w:szCs w:val="24"/>
        </w:rPr>
      </w:pPr>
      <w:r>
        <w:rPr>
          <w:rFonts w:cs="Times New Roman"/>
          <w:szCs w:val="24"/>
        </w:rPr>
        <w:t xml:space="preserve">Granier, S. A., Hidalgo, L., Millan, A. S., Escudero, J. A., Gutierrez, B., Brisabois, A., et al. (2011). </w:t>
      </w:r>
      <w:r>
        <w:rPr>
          <w:rFonts w:cs="Times New Roman"/>
          <w:i/>
          <w:iCs/>
          <w:szCs w:val="24"/>
        </w:rPr>
        <w:t>ArmA</w:t>
      </w:r>
      <w:r>
        <w:rPr>
          <w:rFonts w:cs="Times New Roman"/>
          <w:szCs w:val="24"/>
        </w:rPr>
        <w:t xml:space="preserve"> methyltransferase in a monophasic </w:t>
      </w:r>
      <w:r>
        <w:rPr>
          <w:rFonts w:cs="Times New Roman"/>
          <w:i/>
          <w:iCs/>
          <w:szCs w:val="24"/>
        </w:rPr>
        <w:t>Salmonella enterica</w:t>
      </w:r>
      <w:r>
        <w:rPr>
          <w:rFonts w:cs="Times New Roman"/>
          <w:szCs w:val="24"/>
        </w:rPr>
        <w:t xml:space="preserve"> isolate from food. </w:t>
      </w:r>
      <w:r>
        <w:rPr>
          <w:rFonts w:hint="eastAsia" w:cs="Times New Roman"/>
          <w:i/>
          <w:iCs/>
          <w:szCs w:val="24"/>
        </w:rPr>
        <w:t>Antimicrob Agents Chemother.</w:t>
      </w:r>
      <w:r>
        <w:rPr>
          <w:rFonts w:cs="Times New Roman"/>
          <w:szCs w:val="24"/>
        </w:rPr>
        <w:t xml:space="preserve"> 55, 5262–5266. doi:10.1128/AAC.00308-11.</w:t>
      </w:r>
    </w:p>
    <w:p>
      <w:pPr>
        <w:autoSpaceDE w:val="0"/>
        <w:autoSpaceDN w:val="0"/>
        <w:adjustRightInd w:val="0"/>
        <w:ind w:left="480" w:hanging="480"/>
        <w:rPr>
          <w:rFonts w:cs="Times New Roman"/>
          <w:szCs w:val="24"/>
        </w:rPr>
      </w:pPr>
      <w:r>
        <w:rPr>
          <w:rFonts w:cs="Times New Roman"/>
          <w:szCs w:val="24"/>
        </w:rPr>
        <w:t xml:space="preserve">Harada, S., and Doia, Y. (2018). Hypervirulent </w:t>
      </w:r>
      <w:r>
        <w:rPr>
          <w:rFonts w:cs="Times New Roman"/>
          <w:i/>
          <w:iCs/>
          <w:szCs w:val="24"/>
        </w:rPr>
        <w:t>Klebsiella pneumoniae</w:t>
      </w:r>
      <w:r>
        <w:rPr>
          <w:rFonts w:cs="Times New Roman"/>
          <w:szCs w:val="24"/>
        </w:rPr>
        <w:t xml:space="preserve">: A call for consensus definition and international collaboration. </w:t>
      </w:r>
      <w:r>
        <w:rPr>
          <w:rFonts w:hint="eastAsia" w:cs="Times New Roman"/>
          <w:i/>
          <w:iCs/>
          <w:szCs w:val="24"/>
        </w:rPr>
        <w:t>J Clin Microbiol.</w:t>
      </w:r>
      <w:r>
        <w:rPr>
          <w:rFonts w:cs="Times New Roman"/>
          <w:szCs w:val="24"/>
        </w:rPr>
        <w:t xml:space="preserve"> 56, e00959-18. doi:10.1128/JCM.00959-18.</w:t>
      </w:r>
    </w:p>
    <w:p>
      <w:pPr>
        <w:autoSpaceDE w:val="0"/>
        <w:autoSpaceDN w:val="0"/>
        <w:adjustRightInd w:val="0"/>
        <w:ind w:left="480" w:hanging="480"/>
        <w:rPr>
          <w:rFonts w:cs="Times New Roman"/>
          <w:szCs w:val="24"/>
        </w:rPr>
      </w:pPr>
      <w:r>
        <w:rPr>
          <w:rFonts w:cs="Times New Roman"/>
          <w:szCs w:val="24"/>
        </w:rPr>
        <w:t xml:space="preserve">He, J. (2012). Study on serotypes and distribution characteristic of virulence genes of </w:t>
      </w:r>
      <w:r>
        <w:rPr>
          <w:rFonts w:cs="Times New Roman"/>
          <w:i/>
          <w:iCs/>
          <w:szCs w:val="24"/>
        </w:rPr>
        <w:t>Klebsiella Pneumoniae</w:t>
      </w:r>
      <w:r>
        <w:rPr>
          <w:rFonts w:cs="Times New Roman"/>
          <w:szCs w:val="24"/>
        </w:rPr>
        <w:t xml:space="preserve">. </w:t>
      </w:r>
      <w:r>
        <w:rPr>
          <w:rFonts w:cs="Times New Roman"/>
          <w:i/>
          <w:iCs/>
          <w:szCs w:val="24"/>
        </w:rPr>
        <w:t>ChongQing Medical University</w:t>
      </w:r>
      <w:r>
        <w:rPr>
          <w:rFonts w:cs="Times New Roman"/>
          <w:szCs w:val="24"/>
        </w:rPr>
        <w:t>.</w:t>
      </w:r>
    </w:p>
    <w:p>
      <w:pPr>
        <w:autoSpaceDE w:val="0"/>
        <w:autoSpaceDN w:val="0"/>
        <w:adjustRightInd w:val="0"/>
        <w:ind w:left="480" w:hanging="480"/>
        <w:rPr>
          <w:rFonts w:cs="Times New Roman"/>
          <w:szCs w:val="24"/>
        </w:rPr>
      </w:pPr>
      <w:r>
        <w:rPr>
          <w:rFonts w:cs="Times New Roman"/>
          <w:szCs w:val="24"/>
        </w:rPr>
        <w:t xml:space="preserve">Huang, S., Dai, W., Sun, S., Zhang, X., and Zhang, L. (2012). Prevalence of Plasmid-Mediated Quinolone Resistance and Aminoglycoside Resistance Determinants among Carbapeneme Non-Susceptible Enterobacter cloacae. </w:t>
      </w:r>
      <w:r>
        <w:rPr>
          <w:rFonts w:cs="Times New Roman"/>
          <w:i/>
          <w:iCs/>
          <w:szCs w:val="24"/>
        </w:rPr>
        <w:t>PLoS O</w:t>
      </w:r>
      <w:r>
        <w:rPr>
          <w:rFonts w:hint="eastAsia" w:eastAsia="宋体" w:cs="Times New Roman"/>
          <w:i/>
          <w:iCs/>
          <w:szCs w:val="24"/>
          <w:lang w:eastAsia="zh-CN"/>
        </w:rPr>
        <w:t>ne.</w:t>
      </w:r>
      <w:r>
        <w:rPr>
          <w:rFonts w:cs="Times New Roman"/>
          <w:szCs w:val="24"/>
        </w:rPr>
        <w:t xml:space="preserve"> 7, e47636. doi:10.1371/journal.pone.0047636.</w:t>
      </w:r>
    </w:p>
    <w:p>
      <w:pPr>
        <w:autoSpaceDE w:val="0"/>
        <w:autoSpaceDN w:val="0"/>
        <w:adjustRightInd w:val="0"/>
        <w:ind w:left="480" w:hanging="480"/>
        <w:rPr>
          <w:rFonts w:cs="Times New Roman"/>
          <w:szCs w:val="24"/>
        </w:rPr>
      </w:pPr>
      <w:r>
        <w:rPr>
          <w:rFonts w:cs="Times New Roman"/>
          <w:szCs w:val="24"/>
        </w:rPr>
        <w:t xml:space="preserve">Jaja, I. F., Bhembe, N. L., Green, E., Oguttu, J., and Muchenje, V. (2019). Molecular characterisation of antibiotic-resistant </w:t>
      </w:r>
      <w:r>
        <w:rPr>
          <w:rFonts w:cs="Times New Roman"/>
          <w:i/>
          <w:iCs/>
          <w:szCs w:val="24"/>
        </w:rPr>
        <w:t>Salmonella enterica</w:t>
      </w:r>
      <w:r>
        <w:rPr>
          <w:rFonts w:cs="Times New Roman"/>
          <w:szCs w:val="24"/>
        </w:rPr>
        <w:t xml:space="preserve"> isolates recovered from meat in South Africa. </w:t>
      </w:r>
      <w:r>
        <w:rPr>
          <w:rFonts w:hint="eastAsia" w:cs="Times New Roman"/>
          <w:i/>
          <w:iCs/>
          <w:szCs w:val="24"/>
        </w:rPr>
        <w:t xml:space="preserve">Acta Trop. </w:t>
      </w:r>
      <w:r>
        <w:rPr>
          <w:rFonts w:cs="Times New Roman"/>
          <w:szCs w:val="24"/>
        </w:rPr>
        <w:t xml:space="preserve"> 190, 129–136. doi:10.1016/j.actatropica.2018.11.003.</w:t>
      </w:r>
    </w:p>
    <w:p>
      <w:pPr>
        <w:autoSpaceDE w:val="0"/>
        <w:autoSpaceDN w:val="0"/>
        <w:adjustRightInd w:val="0"/>
        <w:ind w:left="480" w:hanging="480"/>
        <w:rPr>
          <w:rFonts w:cs="Times New Roman"/>
          <w:szCs w:val="24"/>
        </w:rPr>
      </w:pPr>
      <w:r>
        <w:rPr>
          <w:rFonts w:cs="Times New Roman"/>
          <w:szCs w:val="24"/>
        </w:rPr>
        <w:t xml:space="preserve">Jousset, A. B., Bernabeu, S., Bonnin, R. A., Creton, E., Cotellon, G., Sauvadet, A., et al. (2019). Development and validation of a multiplex polymerase chain reaction assay for detection of the five families of plasmid-encoded colistin resistance. </w:t>
      </w:r>
      <w:r>
        <w:rPr>
          <w:rFonts w:hint="eastAsia" w:cs="Times New Roman"/>
          <w:i/>
          <w:iCs/>
          <w:szCs w:val="24"/>
        </w:rPr>
        <w:t xml:space="preserve">Int J Antimicrob Agents. </w:t>
      </w:r>
      <w:r>
        <w:rPr>
          <w:rFonts w:cs="Times New Roman"/>
          <w:szCs w:val="24"/>
        </w:rPr>
        <w:t>53, 302–309. doi:10.1016/j.ijantimicag.2018.10.022.</w:t>
      </w:r>
    </w:p>
    <w:p>
      <w:pPr>
        <w:autoSpaceDE w:val="0"/>
        <w:autoSpaceDN w:val="0"/>
        <w:adjustRightInd w:val="0"/>
        <w:ind w:left="480" w:hanging="480"/>
        <w:rPr>
          <w:rFonts w:cs="Times New Roman"/>
          <w:szCs w:val="24"/>
        </w:rPr>
      </w:pPr>
      <w:r>
        <w:rPr>
          <w:rFonts w:cs="Times New Roman"/>
          <w:szCs w:val="24"/>
        </w:rPr>
        <w:t xml:space="preserve">Kuang, X. (2015). Prevalence and molecular characteristic of resistance and virulence of three different livestock pathogen bacteria in central China. </w:t>
      </w:r>
      <w:r>
        <w:rPr>
          <w:rFonts w:cs="Times New Roman"/>
          <w:i/>
          <w:iCs/>
          <w:szCs w:val="24"/>
        </w:rPr>
        <w:t>HuaZhong Agricultural University</w:t>
      </w:r>
      <w:r>
        <w:rPr>
          <w:rFonts w:cs="Times New Roman"/>
          <w:szCs w:val="24"/>
        </w:rPr>
        <w:t>.</w:t>
      </w:r>
    </w:p>
    <w:p>
      <w:pPr>
        <w:autoSpaceDE w:val="0"/>
        <w:autoSpaceDN w:val="0"/>
        <w:adjustRightInd w:val="0"/>
        <w:ind w:left="480" w:hanging="480"/>
        <w:rPr>
          <w:rFonts w:cs="Times New Roman"/>
          <w:szCs w:val="24"/>
        </w:rPr>
      </w:pPr>
      <w:r>
        <w:rPr>
          <w:rFonts w:cs="Times New Roman"/>
          <w:szCs w:val="24"/>
        </w:rPr>
        <w:t xml:space="preserve">Lan, Y., Zhou, M., Jian, Z., Yan, Q., Wang, S., and Liu, W. (2019). Prevalence of pks gene cluster and characteristics of </w:t>
      </w:r>
      <w:r>
        <w:rPr>
          <w:rFonts w:cs="Times New Roman"/>
          <w:i/>
          <w:iCs/>
          <w:szCs w:val="24"/>
        </w:rPr>
        <w:t>Klebsiella pneumoniae</w:t>
      </w:r>
      <w:r>
        <w:rPr>
          <w:rFonts w:cs="Times New Roman"/>
          <w:szCs w:val="24"/>
        </w:rPr>
        <w:t xml:space="preserve">-induced bloodstream infections. </w:t>
      </w:r>
      <w:r>
        <w:rPr>
          <w:rFonts w:hint="eastAsia" w:cs="Times New Roman"/>
          <w:i/>
          <w:iCs/>
          <w:szCs w:val="24"/>
        </w:rPr>
        <w:t>J Clin Lab Anal.</w:t>
      </w:r>
      <w:r>
        <w:rPr>
          <w:rFonts w:cs="Times New Roman"/>
          <w:szCs w:val="24"/>
        </w:rPr>
        <w:t xml:space="preserve"> 33, 1–7. doi:10.1002/jcla.22838.</w:t>
      </w:r>
    </w:p>
    <w:p>
      <w:pPr>
        <w:autoSpaceDE w:val="0"/>
        <w:autoSpaceDN w:val="0"/>
        <w:adjustRightInd w:val="0"/>
        <w:ind w:left="480" w:hanging="480"/>
        <w:rPr>
          <w:rFonts w:cs="Times New Roman"/>
          <w:szCs w:val="24"/>
        </w:rPr>
      </w:pPr>
      <w:r>
        <w:rPr>
          <w:rFonts w:cs="Times New Roman"/>
          <w:szCs w:val="24"/>
        </w:rPr>
        <w:t xml:space="preserve">Li, L., Ye, L., Zhang, S., and Meng, H. (2016). Isolation and </w:t>
      </w:r>
      <w:r>
        <w:rPr>
          <w:rFonts w:hint="eastAsia" w:eastAsia="宋体" w:cs="Times New Roman"/>
          <w:szCs w:val="24"/>
          <w:lang w:eastAsia="zh-CN"/>
        </w:rPr>
        <w:t>i</w:t>
      </w:r>
      <w:r>
        <w:rPr>
          <w:rFonts w:cs="Times New Roman"/>
          <w:szCs w:val="24"/>
        </w:rPr>
        <w:t xml:space="preserve">dentification of </w:t>
      </w:r>
      <w:r>
        <w:rPr>
          <w:rFonts w:hint="eastAsia" w:eastAsia="宋体" w:cs="Times New Roman"/>
          <w:szCs w:val="24"/>
          <w:lang w:eastAsia="zh-CN"/>
        </w:rPr>
        <w:t>a</w:t>
      </w:r>
      <w:r>
        <w:rPr>
          <w:rFonts w:cs="Times New Roman"/>
          <w:szCs w:val="24"/>
        </w:rPr>
        <w:t xml:space="preserve">erobic </w:t>
      </w:r>
      <w:r>
        <w:rPr>
          <w:rFonts w:hint="eastAsia" w:eastAsia="宋体" w:cs="Times New Roman"/>
          <w:szCs w:val="24"/>
          <w:lang w:eastAsia="zh-CN"/>
        </w:rPr>
        <w:t>b</w:t>
      </w:r>
      <w:r>
        <w:rPr>
          <w:rFonts w:cs="Times New Roman"/>
          <w:szCs w:val="24"/>
        </w:rPr>
        <w:t xml:space="preserve">acteria </w:t>
      </w:r>
      <w:r>
        <w:rPr>
          <w:rFonts w:hint="eastAsia" w:eastAsia="宋体" w:cs="Times New Roman"/>
          <w:szCs w:val="24"/>
          <w:lang w:eastAsia="zh-CN"/>
        </w:rPr>
        <w:t>c</w:t>
      </w:r>
      <w:r>
        <w:rPr>
          <w:rFonts w:cs="Times New Roman"/>
          <w:szCs w:val="24"/>
        </w:rPr>
        <w:t xml:space="preserve">arrying </w:t>
      </w:r>
      <w:r>
        <w:rPr>
          <w:rFonts w:hint="eastAsia" w:eastAsia="宋体" w:cs="Times New Roman"/>
          <w:szCs w:val="24"/>
          <w:lang w:eastAsia="zh-CN"/>
        </w:rPr>
        <w:t>t</w:t>
      </w:r>
      <w:r>
        <w:rPr>
          <w:rFonts w:cs="Times New Roman"/>
          <w:szCs w:val="24"/>
        </w:rPr>
        <w:t xml:space="preserve">etracycline and </w:t>
      </w:r>
      <w:r>
        <w:rPr>
          <w:rFonts w:hint="eastAsia" w:eastAsia="宋体" w:cs="Times New Roman"/>
          <w:szCs w:val="24"/>
          <w:lang w:eastAsia="zh-CN"/>
        </w:rPr>
        <w:t>s</w:t>
      </w:r>
      <w:r>
        <w:rPr>
          <w:rFonts w:cs="Times New Roman"/>
          <w:szCs w:val="24"/>
        </w:rPr>
        <w:t xml:space="preserve">ulfonamide </w:t>
      </w:r>
      <w:r>
        <w:rPr>
          <w:rFonts w:hint="eastAsia" w:eastAsia="宋体" w:cs="Times New Roman"/>
          <w:szCs w:val="24"/>
          <w:lang w:eastAsia="zh-CN"/>
        </w:rPr>
        <w:t>r</w:t>
      </w:r>
      <w:r>
        <w:rPr>
          <w:rFonts w:cs="Times New Roman"/>
          <w:szCs w:val="24"/>
        </w:rPr>
        <w:t xml:space="preserve">esistance </w:t>
      </w:r>
      <w:r>
        <w:rPr>
          <w:rFonts w:hint="eastAsia" w:eastAsia="宋体" w:cs="Times New Roman"/>
          <w:szCs w:val="24"/>
          <w:lang w:eastAsia="zh-CN"/>
        </w:rPr>
        <w:t>g</w:t>
      </w:r>
      <w:r>
        <w:rPr>
          <w:rFonts w:cs="Times New Roman"/>
          <w:szCs w:val="24"/>
        </w:rPr>
        <w:t xml:space="preserve">enes </w:t>
      </w:r>
      <w:r>
        <w:rPr>
          <w:rFonts w:hint="eastAsia" w:eastAsia="宋体" w:cs="Times New Roman"/>
          <w:szCs w:val="24"/>
          <w:lang w:eastAsia="zh-CN"/>
        </w:rPr>
        <w:t>o</w:t>
      </w:r>
      <w:r>
        <w:rPr>
          <w:rFonts w:cs="Times New Roman"/>
          <w:szCs w:val="24"/>
        </w:rPr>
        <w:t xml:space="preserve">btained from a </w:t>
      </w:r>
      <w:r>
        <w:rPr>
          <w:rFonts w:hint="eastAsia" w:eastAsia="宋体" w:cs="Times New Roman"/>
          <w:szCs w:val="24"/>
          <w:lang w:eastAsia="zh-CN"/>
        </w:rPr>
        <w:t>m</w:t>
      </w:r>
      <w:r>
        <w:rPr>
          <w:rFonts w:cs="Times New Roman"/>
          <w:szCs w:val="24"/>
        </w:rPr>
        <w:t xml:space="preserve">eat </w:t>
      </w:r>
      <w:r>
        <w:rPr>
          <w:rFonts w:hint="eastAsia" w:eastAsia="宋体" w:cs="Times New Roman"/>
          <w:szCs w:val="24"/>
          <w:lang w:eastAsia="zh-CN"/>
        </w:rPr>
        <w:t>p</w:t>
      </w:r>
      <w:r>
        <w:rPr>
          <w:rFonts w:cs="Times New Roman"/>
          <w:szCs w:val="24"/>
        </w:rPr>
        <w:t xml:space="preserve">rocessing </w:t>
      </w:r>
      <w:r>
        <w:rPr>
          <w:rFonts w:hint="eastAsia" w:eastAsia="宋体" w:cs="Times New Roman"/>
          <w:szCs w:val="24"/>
          <w:lang w:eastAsia="zh-CN"/>
        </w:rPr>
        <w:t>p</w:t>
      </w:r>
      <w:r>
        <w:rPr>
          <w:rFonts w:cs="Times New Roman"/>
          <w:szCs w:val="24"/>
        </w:rPr>
        <w:t xml:space="preserve">lant. </w:t>
      </w:r>
      <w:r>
        <w:rPr>
          <w:rFonts w:hint="eastAsia" w:cs="Times New Roman"/>
          <w:i/>
          <w:iCs/>
          <w:szCs w:val="24"/>
        </w:rPr>
        <w:t>J Food Sci.</w:t>
      </w:r>
      <w:r>
        <w:rPr>
          <w:rFonts w:cs="Times New Roman"/>
          <w:szCs w:val="24"/>
        </w:rPr>
        <w:t xml:space="preserve"> 81, M1480–M1484. doi:10.1111/1750-3841.13318.</w:t>
      </w:r>
    </w:p>
    <w:p>
      <w:pPr>
        <w:autoSpaceDE w:val="0"/>
        <w:autoSpaceDN w:val="0"/>
        <w:adjustRightInd w:val="0"/>
        <w:ind w:left="480" w:hanging="480"/>
        <w:rPr>
          <w:rFonts w:cs="Times New Roman"/>
          <w:szCs w:val="24"/>
        </w:rPr>
      </w:pPr>
      <w:r>
        <w:rPr>
          <w:rFonts w:cs="Times New Roman"/>
          <w:szCs w:val="24"/>
        </w:rPr>
        <w:t xml:space="preserve">Liu, C., Fang, Y., Zeng, Y., Lu, J., Sun, Q., Zhou, H., et al. (2020). First report of </w:t>
      </w:r>
      <w:r>
        <w:rPr>
          <w:rFonts w:cs="Times New Roman"/>
          <w:i/>
          <w:iCs/>
          <w:szCs w:val="24"/>
        </w:rPr>
        <w:t>OXA-181</w:t>
      </w:r>
      <w:r>
        <w:rPr>
          <w:rFonts w:cs="Times New Roman"/>
          <w:szCs w:val="24"/>
        </w:rPr>
        <w:t xml:space="preserve">-producing </w:t>
      </w:r>
      <w:r>
        <w:rPr>
          <w:rFonts w:cs="Times New Roman"/>
          <w:i/>
          <w:iCs/>
          <w:szCs w:val="24"/>
        </w:rPr>
        <w:t>Klebsiella pneumonia</w:t>
      </w:r>
      <w:r>
        <w:rPr>
          <w:rFonts w:cs="Times New Roman"/>
          <w:szCs w:val="24"/>
        </w:rPr>
        <w:t>e in China.</w:t>
      </w:r>
      <w:r>
        <w:rPr>
          <w:rFonts w:hint="eastAsia" w:eastAsia="宋体" w:cs="Times New Roman"/>
          <w:szCs w:val="24"/>
          <w:lang w:eastAsia="zh-CN"/>
        </w:rPr>
        <w:t xml:space="preserve"> </w:t>
      </w:r>
      <w:r>
        <w:rPr>
          <w:rFonts w:hint="eastAsia" w:cs="Times New Roman"/>
          <w:i/>
          <w:iCs/>
          <w:szCs w:val="24"/>
        </w:rPr>
        <w:t>Infect Drug Resist</w:t>
      </w:r>
      <w:r>
        <w:rPr>
          <w:rFonts w:hint="eastAsia" w:cs="Times New Roman"/>
          <w:szCs w:val="24"/>
        </w:rPr>
        <w:t>.</w:t>
      </w:r>
      <w:r>
        <w:rPr>
          <w:rFonts w:hint="eastAsia" w:eastAsia="宋体" w:cs="Times New Roman"/>
          <w:szCs w:val="24"/>
          <w:lang w:eastAsia="zh-CN"/>
        </w:rPr>
        <w:t xml:space="preserve"> </w:t>
      </w:r>
      <w:r>
        <w:rPr>
          <w:rFonts w:cs="Times New Roman"/>
          <w:szCs w:val="24"/>
        </w:rPr>
        <w:t>13, 995–998. doi:10.2147/IDR.S237793.</w:t>
      </w:r>
    </w:p>
    <w:p>
      <w:pPr>
        <w:autoSpaceDE w:val="0"/>
        <w:autoSpaceDN w:val="0"/>
        <w:adjustRightInd w:val="0"/>
        <w:ind w:left="480" w:hanging="480"/>
        <w:rPr>
          <w:rFonts w:cs="Times New Roman"/>
          <w:szCs w:val="24"/>
        </w:rPr>
      </w:pPr>
      <w:r>
        <w:rPr>
          <w:rFonts w:cs="Times New Roman"/>
          <w:szCs w:val="24"/>
        </w:rPr>
        <w:t xml:space="preserve">Ma, C. (2014). Detection and sequence analysis of correlative virulence genes and drug resistance genes of superiority </w:t>
      </w:r>
      <w:r>
        <w:rPr>
          <w:rFonts w:cs="Times New Roman"/>
          <w:i/>
          <w:iCs/>
          <w:szCs w:val="24"/>
        </w:rPr>
        <w:t>Escherichia coli</w:t>
      </w:r>
      <w:r>
        <w:rPr>
          <w:rFonts w:cs="Times New Roman"/>
          <w:szCs w:val="24"/>
        </w:rPr>
        <w:t xml:space="preserve"> serotypes isolated from cow mastitis. </w:t>
      </w:r>
      <w:r>
        <w:rPr>
          <w:rFonts w:cs="Times New Roman"/>
          <w:i/>
          <w:iCs/>
          <w:szCs w:val="24"/>
        </w:rPr>
        <w:t>Ningxia University</w:t>
      </w:r>
      <w:r>
        <w:rPr>
          <w:rFonts w:cs="Times New Roman"/>
          <w:szCs w:val="24"/>
        </w:rPr>
        <w:t>.</w:t>
      </w:r>
    </w:p>
    <w:p>
      <w:pPr>
        <w:autoSpaceDE w:val="0"/>
        <w:autoSpaceDN w:val="0"/>
        <w:adjustRightInd w:val="0"/>
        <w:ind w:left="480" w:hanging="480"/>
        <w:rPr>
          <w:rFonts w:cs="Times New Roman"/>
          <w:szCs w:val="24"/>
        </w:rPr>
      </w:pPr>
      <w:r>
        <w:rPr>
          <w:rFonts w:cs="Times New Roman"/>
          <w:szCs w:val="24"/>
        </w:rPr>
        <w:t xml:space="preserve">Maynard, C., Bekal, S., Sanschagrin, F., Levesque, R. C., Brousseau, R., Masson, L., et al. (2004). Heterogeneity among virulence and antimicrobial resistance gene profiles of extraintestinal </w:t>
      </w:r>
      <w:r>
        <w:rPr>
          <w:rFonts w:cs="Times New Roman"/>
          <w:i/>
          <w:iCs/>
          <w:szCs w:val="24"/>
        </w:rPr>
        <w:t>Escherichia coli</w:t>
      </w:r>
      <w:r>
        <w:rPr>
          <w:rFonts w:cs="Times New Roman"/>
          <w:szCs w:val="24"/>
        </w:rPr>
        <w:t xml:space="preserve"> isolates of animal and human origin. </w:t>
      </w:r>
      <w:r>
        <w:rPr>
          <w:rFonts w:hint="eastAsia" w:cs="Times New Roman"/>
          <w:i/>
          <w:iCs/>
          <w:szCs w:val="24"/>
        </w:rPr>
        <w:t>J Clin Microbiol.</w:t>
      </w:r>
      <w:r>
        <w:rPr>
          <w:rFonts w:cs="Times New Roman"/>
          <w:szCs w:val="24"/>
        </w:rPr>
        <w:t xml:space="preserve"> 42, 5444–5452. doi:10.1128/JCM.42.12.5444-5452.2004.</w:t>
      </w:r>
    </w:p>
    <w:p>
      <w:pPr>
        <w:autoSpaceDE w:val="0"/>
        <w:autoSpaceDN w:val="0"/>
        <w:adjustRightInd w:val="0"/>
        <w:ind w:left="480" w:hanging="480"/>
        <w:rPr>
          <w:rFonts w:cs="Times New Roman"/>
          <w:szCs w:val="24"/>
        </w:rPr>
      </w:pPr>
      <w:r>
        <w:rPr>
          <w:rFonts w:cs="Times New Roman"/>
          <w:szCs w:val="24"/>
        </w:rPr>
        <w:t>Ojo, K. K., Ulep, C., Van Kirk, N., Luis, H., Bernardo, M., Leitao, J., et al. (2004). The</w:t>
      </w:r>
      <w:r>
        <w:rPr>
          <w:rFonts w:cs="Times New Roman"/>
          <w:i/>
          <w:iCs/>
          <w:szCs w:val="24"/>
        </w:rPr>
        <w:t xml:space="preserve"> mef</w:t>
      </w:r>
      <w:r>
        <w:rPr>
          <w:rFonts w:cs="Times New Roman"/>
          <w:szCs w:val="24"/>
        </w:rPr>
        <w:t xml:space="preserve">(A) gene predominates among seven macrolide resistance genes identified in gram-negative strains representing 13 genera, isolated from healthy Portuguese children. </w:t>
      </w:r>
      <w:r>
        <w:rPr>
          <w:rFonts w:hint="eastAsia" w:cs="Times New Roman"/>
          <w:i/>
          <w:iCs/>
          <w:szCs w:val="24"/>
        </w:rPr>
        <w:t xml:space="preserve">Antimicrob Agents Chemother. </w:t>
      </w:r>
      <w:r>
        <w:rPr>
          <w:rFonts w:cs="Times New Roman"/>
          <w:szCs w:val="24"/>
        </w:rPr>
        <w:t>48, 3451–3456. doi:10.1128/AAC.48.9.3451-3456.2004.</w:t>
      </w:r>
    </w:p>
    <w:p>
      <w:pPr>
        <w:autoSpaceDE w:val="0"/>
        <w:autoSpaceDN w:val="0"/>
        <w:adjustRightInd w:val="0"/>
        <w:ind w:left="480" w:hanging="480"/>
        <w:rPr>
          <w:rFonts w:cs="Times New Roman"/>
          <w:szCs w:val="24"/>
        </w:rPr>
      </w:pPr>
      <w:r>
        <w:rPr>
          <w:rFonts w:cs="Times New Roman"/>
          <w:szCs w:val="24"/>
        </w:rPr>
        <w:t xml:space="preserve">Osman, K. M., Hassan, H. M., Orabi, A., and Abdelhafez, A. S. T. (2014). Phenotypic, antimicrobial susceptibility profile and virulence factors of </w:t>
      </w:r>
      <w:r>
        <w:rPr>
          <w:rFonts w:cs="Times New Roman"/>
          <w:i/>
          <w:iCs/>
          <w:szCs w:val="24"/>
        </w:rPr>
        <w:t>Klebsiella pneumoniae</w:t>
      </w:r>
      <w:r>
        <w:rPr>
          <w:rFonts w:cs="Times New Roman"/>
          <w:szCs w:val="24"/>
        </w:rPr>
        <w:t xml:space="preserve"> isolated from buffalo and cow mastitic milk. </w:t>
      </w:r>
      <w:r>
        <w:rPr>
          <w:rFonts w:hint="eastAsia" w:cs="Times New Roman"/>
          <w:i/>
          <w:iCs/>
          <w:szCs w:val="24"/>
        </w:rPr>
        <w:t>Pathog Glob Health.</w:t>
      </w:r>
      <w:r>
        <w:rPr>
          <w:rFonts w:cs="Times New Roman"/>
          <w:szCs w:val="24"/>
        </w:rPr>
        <w:t xml:space="preserve"> 108, 191–199. doi:10.1179/2047773214Y.0000000141.</w:t>
      </w:r>
    </w:p>
    <w:p>
      <w:pPr>
        <w:autoSpaceDE w:val="0"/>
        <w:autoSpaceDN w:val="0"/>
        <w:adjustRightInd w:val="0"/>
        <w:ind w:left="480" w:hanging="480"/>
        <w:rPr>
          <w:rFonts w:cs="Times New Roman"/>
          <w:szCs w:val="24"/>
        </w:rPr>
      </w:pPr>
      <w:r>
        <w:rPr>
          <w:rFonts w:cs="Times New Roman"/>
          <w:szCs w:val="24"/>
        </w:rPr>
        <w:t xml:space="preserve">Park, C. H., Robicsek, A., Jacoby, G. A., Sahm, D., and Hooper, D. C. (2006). Prevalence in the United States of </w:t>
      </w:r>
      <w:r>
        <w:rPr>
          <w:rFonts w:cs="Times New Roman"/>
          <w:i/>
          <w:iCs/>
          <w:szCs w:val="24"/>
        </w:rPr>
        <w:t>aac(6′)-Ib-cr</w:t>
      </w:r>
      <w:r>
        <w:rPr>
          <w:rFonts w:cs="Times New Roman"/>
          <w:szCs w:val="24"/>
        </w:rPr>
        <w:t xml:space="preserve"> encoding a ciprofloxacin-modifying enzyme. </w:t>
      </w:r>
      <w:r>
        <w:rPr>
          <w:rFonts w:hint="eastAsia" w:cs="Times New Roman"/>
          <w:i/>
          <w:iCs/>
          <w:szCs w:val="24"/>
        </w:rPr>
        <w:t xml:space="preserve">Antimicrob Agents Chemother. </w:t>
      </w:r>
      <w:r>
        <w:rPr>
          <w:rFonts w:cs="Times New Roman"/>
          <w:szCs w:val="24"/>
        </w:rPr>
        <w:t>50, 3953–3955. doi:10.1128/AAC.00915-06.</w:t>
      </w:r>
    </w:p>
    <w:p>
      <w:pPr>
        <w:autoSpaceDE w:val="0"/>
        <w:autoSpaceDN w:val="0"/>
        <w:adjustRightInd w:val="0"/>
        <w:ind w:left="480" w:hanging="480"/>
        <w:rPr>
          <w:rFonts w:cs="Times New Roman"/>
          <w:szCs w:val="24"/>
        </w:rPr>
      </w:pPr>
      <w:r>
        <w:rPr>
          <w:rFonts w:cs="Times New Roman"/>
          <w:szCs w:val="24"/>
        </w:rPr>
        <w:t xml:space="preserve">Poirel, L., Walsh, T. R., Cuvillier, V., and Nordmann, P. (2011). Multiplex PCR for detection of acquired carbapenemase genes. </w:t>
      </w:r>
      <w:r>
        <w:rPr>
          <w:rFonts w:hint="eastAsia" w:cs="Times New Roman"/>
          <w:i/>
          <w:iCs/>
          <w:szCs w:val="24"/>
        </w:rPr>
        <w:t xml:space="preserve">Diagn Microbiol Infect Dis. </w:t>
      </w:r>
      <w:r>
        <w:rPr>
          <w:rFonts w:cs="Times New Roman"/>
          <w:szCs w:val="24"/>
        </w:rPr>
        <w:t>70, 119–123. doi:10.1016/j.diagmicrobio.2010.12.002.</w:t>
      </w:r>
    </w:p>
    <w:p>
      <w:pPr>
        <w:autoSpaceDE w:val="0"/>
        <w:autoSpaceDN w:val="0"/>
        <w:adjustRightInd w:val="0"/>
        <w:ind w:left="480" w:hanging="480"/>
        <w:rPr>
          <w:rFonts w:cs="Times New Roman"/>
          <w:szCs w:val="24"/>
        </w:rPr>
      </w:pPr>
      <w:r>
        <w:rPr>
          <w:rFonts w:cs="Times New Roman"/>
          <w:szCs w:val="24"/>
        </w:rPr>
        <w:t xml:space="preserve">Rebelo, A. R., Bortolaia, V., Kjeldgaard, J. S., Pedersen, S. K., Leekitcharoenphon, P., Hansen, I. M., et al. (2018). Multiplex PCR for detection of plasmid-mediated colistin resistance determinants, </w:t>
      </w:r>
      <w:r>
        <w:rPr>
          <w:rFonts w:cs="Times New Roman"/>
          <w:i/>
          <w:iCs/>
          <w:szCs w:val="24"/>
        </w:rPr>
        <w:t>mcr-1</w:t>
      </w:r>
      <w:r>
        <w:rPr>
          <w:rFonts w:cs="Times New Roman"/>
          <w:szCs w:val="24"/>
        </w:rPr>
        <w:t xml:space="preserve">, </w:t>
      </w:r>
      <w:r>
        <w:rPr>
          <w:rFonts w:cs="Times New Roman"/>
          <w:i/>
          <w:iCs/>
          <w:szCs w:val="24"/>
        </w:rPr>
        <w:t>mcr-2,</w:t>
      </w:r>
      <w:r>
        <w:rPr>
          <w:rFonts w:cs="Times New Roman"/>
          <w:szCs w:val="24"/>
        </w:rPr>
        <w:t xml:space="preserve"> </w:t>
      </w:r>
      <w:r>
        <w:rPr>
          <w:rFonts w:cs="Times New Roman"/>
          <w:i/>
          <w:iCs/>
          <w:szCs w:val="24"/>
        </w:rPr>
        <w:t>mcr-3</w:t>
      </w:r>
      <w:r>
        <w:rPr>
          <w:rFonts w:cs="Times New Roman"/>
          <w:szCs w:val="24"/>
        </w:rPr>
        <w:t xml:space="preserve">, </w:t>
      </w:r>
      <w:r>
        <w:rPr>
          <w:rFonts w:cs="Times New Roman"/>
          <w:i/>
          <w:iCs/>
          <w:szCs w:val="24"/>
        </w:rPr>
        <w:t xml:space="preserve">mcr-4 </w:t>
      </w:r>
      <w:r>
        <w:rPr>
          <w:rFonts w:cs="Times New Roman"/>
          <w:szCs w:val="24"/>
        </w:rPr>
        <w:t xml:space="preserve">and </w:t>
      </w:r>
      <w:r>
        <w:rPr>
          <w:rFonts w:cs="Times New Roman"/>
          <w:i/>
          <w:iCs/>
          <w:szCs w:val="24"/>
        </w:rPr>
        <w:t xml:space="preserve">mcr-5 </w:t>
      </w:r>
      <w:r>
        <w:rPr>
          <w:rFonts w:cs="Times New Roman"/>
          <w:szCs w:val="24"/>
        </w:rPr>
        <w:t xml:space="preserve">for surveillance purposes. </w:t>
      </w:r>
      <w:r>
        <w:rPr>
          <w:rFonts w:cs="Times New Roman"/>
          <w:i/>
          <w:iCs/>
          <w:szCs w:val="24"/>
        </w:rPr>
        <w:t>Eurosurveillance</w:t>
      </w:r>
      <w:r>
        <w:rPr>
          <w:rFonts w:hint="eastAsia" w:eastAsia="宋体" w:cs="Times New Roman"/>
          <w:i/>
          <w:iCs/>
          <w:szCs w:val="24"/>
          <w:lang w:eastAsia="zh-CN"/>
        </w:rPr>
        <w:t>.</w:t>
      </w:r>
      <w:r>
        <w:rPr>
          <w:rFonts w:cs="Times New Roman"/>
          <w:szCs w:val="24"/>
        </w:rPr>
        <w:t xml:space="preserve"> 23, 1–11. doi:10.2807/1560-7917.ES.2018.23.6.17-00672.</w:t>
      </w:r>
    </w:p>
    <w:p>
      <w:pPr>
        <w:autoSpaceDE w:val="0"/>
        <w:autoSpaceDN w:val="0"/>
        <w:adjustRightInd w:val="0"/>
        <w:ind w:left="480" w:hanging="480"/>
        <w:rPr>
          <w:rFonts w:cs="Times New Roman"/>
          <w:szCs w:val="24"/>
        </w:rPr>
      </w:pPr>
      <w:r>
        <w:rPr>
          <w:rFonts w:cs="Times New Roman"/>
          <w:szCs w:val="24"/>
        </w:rPr>
        <w:t xml:space="preserve">Riaño, I., Moreno, M. A., Teshager, T., Sáenz, Y., Domínguez, L., and Torres, C. (2006). Detection and characterization of extended-spectrum β-lactamases in </w:t>
      </w:r>
      <w:r>
        <w:rPr>
          <w:rFonts w:cs="Times New Roman"/>
          <w:i/>
          <w:iCs/>
          <w:szCs w:val="24"/>
        </w:rPr>
        <w:t>Salmonella enterica</w:t>
      </w:r>
      <w:r>
        <w:rPr>
          <w:rFonts w:cs="Times New Roman"/>
          <w:szCs w:val="24"/>
        </w:rPr>
        <w:t xml:space="preserve"> strains of healthy food animals in Spain. </w:t>
      </w:r>
      <w:r>
        <w:rPr>
          <w:rFonts w:hint="eastAsia" w:cs="Times New Roman"/>
          <w:i/>
          <w:iCs/>
          <w:szCs w:val="24"/>
        </w:rPr>
        <w:t xml:space="preserve">J Antimicrob Chemother. </w:t>
      </w:r>
      <w:r>
        <w:rPr>
          <w:rFonts w:cs="Times New Roman"/>
          <w:szCs w:val="24"/>
        </w:rPr>
        <w:t>58, 844–847. doi:10.1093/jac/dkl337.</w:t>
      </w:r>
    </w:p>
    <w:p>
      <w:pPr>
        <w:autoSpaceDE w:val="0"/>
        <w:autoSpaceDN w:val="0"/>
        <w:adjustRightInd w:val="0"/>
        <w:ind w:left="480" w:hanging="480"/>
        <w:rPr>
          <w:rFonts w:cs="Times New Roman"/>
          <w:szCs w:val="24"/>
        </w:rPr>
      </w:pPr>
      <w:r>
        <w:rPr>
          <w:rFonts w:cs="Times New Roman"/>
          <w:szCs w:val="24"/>
        </w:rPr>
        <w:t xml:space="preserve">Sáenz, Y., Briñas, L., Domínguez, E., Ruiz, J., Zarazaga, M., Vila, J., et al. (2004). Mechanisms of resistance in multiple-antibiotic-resistant </w:t>
      </w:r>
      <w:r>
        <w:rPr>
          <w:rFonts w:cs="Times New Roman"/>
          <w:i/>
          <w:iCs/>
          <w:szCs w:val="24"/>
        </w:rPr>
        <w:t xml:space="preserve">Escherichia coli </w:t>
      </w:r>
      <w:r>
        <w:rPr>
          <w:rFonts w:cs="Times New Roman"/>
          <w:szCs w:val="24"/>
        </w:rPr>
        <w:t xml:space="preserve">strains of human, animal, and food origins. </w:t>
      </w:r>
      <w:r>
        <w:rPr>
          <w:rFonts w:hint="eastAsia" w:cs="Times New Roman"/>
          <w:i/>
          <w:iCs/>
          <w:szCs w:val="24"/>
        </w:rPr>
        <w:t>Antimicrob Agents Chemother.</w:t>
      </w:r>
      <w:r>
        <w:rPr>
          <w:rFonts w:cs="Times New Roman"/>
          <w:szCs w:val="24"/>
        </w:rPr>
        <w:t xml:space="preserve"> 48, 3996–4001. doi:10.1128/AAC.48.10.3996-4001.2004.</w:t>
      </w:r>
    </w:p>
    <w:p>
      <w:pPr>
        <w:autoSpaceDE w:val="0"/>
        <w:autoSpaceDN w:val="0"/>
        <w:adjustRightInd w:val="0"/>
        <w:ind w:left="480" w:hanging="480"/>
        <w:rPr>
          <w:rFonts w:cs="Times New Roman"/>
          <w:szCs w:val="24"/>
        </w:rPr>
      </w:pPr>
      <w:r>
        <w:rPr>
          <w:rFonts w:cs="Times New Roman"/>
          <w:szCs w:val="24"/>
        </w:rPr>
        <w:t xml:space="preserve">Tabaran, A., Mihaiu, M., Tăbăran, F., Colobatiu, L., Reget, O., Borzan, M. M., et al. (2017). First study on characterization of virulence and antibiotic resistance genes in verotoxigenic and enterotoxigenic </w:t>
      </w:r>
      <w:r>
        <w:rPr>
          <w:rFonts w:cs="Times New Roman"/>
          <w:i/>
          <w:iCs/>
          <w:szCs w:val="24"/>
        </w:rPr>
        <w:t xml:space="preserve">E. coli </w:t>
      </w:r>
      <w:r>
        <w:rPr>
          <w:rFonts w:cs="Times New Roman"/>
          <w:szCs w:val="24"/>
        </w:rPr>
        <w:t xml:space="preserve">isolated from raw milk and unpasteurized traditional cheeses in Romania. </w:t>
      </w:r>
      <w:r>
        <w:rPr>
          <w:rFonts w:hint="eastAsia" w:cs="Times New Roman"/>
          <w:i/>
          <w:iCs/>
          <w:szCs w:val="24"/>
        </w:rPr>
        <w:t>Folia Microbiol (Praha).</w:t>
      </w:r>
      <w:r>
        <w:rPr>
          <w:rFonts w:cs="Times New Roman"/>
          <w:szCs w:val="24"/>
        </w:rPr>
        <w:t xml:space="preserve"> 62, 145–150. doi:10.1007/s12223-016-0481-8.</w:t>
      </w:r>
    </w:p>
    <w:p>
      <w:pPr>
        <w:autoSpaceDE w:val="0"/>
        <w:autoSpaceDN w:val="0"/>
        <w:adjustRightInd w:val="0"/>
        <w:ind w:left="480" w:hanging="480"/>
        <w:rPr>
          <w:rFonts w:cs="Times New Roman"/>
          <w:szCs w:val="24"/>
        </w:rPr>
      </w:pPr>
      <w:r>
        <w:rPr>
          <w:rFonts w:cs="Times New Roman"/>
          <w:szCs w:val="24"/>
        </w:rPr>
        <w:t xml:space="preserve">Veldman, K., Cavaco, L. M., Mevius, D., Battisti, A., Franco, A., Botteldoorn, N., et al. (2011). International collaborative study on the occurrence of plasmid-mediated quinolone resistance in </w:t>
      </w:r>
      <w:r>
        <w:rPr>
          <w:rFonts w:cs="Times New Roman"/>
          <w:i/>
          <w:iCs/>
          <w:szCs w:val="24"/>
        </w:rPr>
        <w:t xml:space="preserve">Salmonella enterica </w:t>
      </w:r>
      <w:r>
        <w:rPr>
          <w:rFonts w:cs="Times New Roman"/>
          <w:szCs w:val="24"/>
        </w:rPr>
        <w:t xml:space="preserve">and </w:t>
      </w:r>
      <w:r>
        <w:rPr>
          <w:rFonts w:cs="Times New Roman"/>
          <w:i/>
          <w:iCs/>
          <w:szCs w:val="24"/>
        </w:rPr>
        <w:t>Escherichia coli</w:t>
      </w:r>
      <w:r>
        <w:rPr>
          <w:rFonts w:cs="Times New Roman"/>
          <w:szCs w:val="24"/>
        </w:rPr>
        <w:t xml:space="preserve"> isolated from animals, humans, food and the environment in 13 European countries. </w:t>
      </w:r>
      <w:r>
        <w:rPr>
          <w:rFonts w:hint="eastAsia" w:cs="Times New Roman"/>
          <w:i/>
          <w:iCs/>
          <w:szCs w:val="24"/>
        </w:rPr>
        <w:t xml:space="preserve">J Antimicrob Chemother. </w:t>
      </w:r>
      <w:r>
        <w:rPr>
          <w:rFonts w:cs="Times New Roman"/>
          <w:szCs w:val="24"/>
        </w:rPr>
        <w:t>66, 1278–1286. doi:10.1093/jac/dkr084.</w:t>
      </w:r>
    </w:p>
    <w:p>
      <w:pPr>
        <w:autoSpaceDE w:val="0"/>
        <w:autoSpaceDN w:val="0"/>
        <w:adjustRightInd w:val="0"/>
        <w:ind w:left="480" w:hanging="480"/>
        <w:rPr>
          <w:rFonts w:cs="Times New Roman"/>
          <w:szCs w:val="24"/>
        </w:rPr>
      </w:pPr>
      <w:r>
        <w:rPr>
          <w:rFonts w:cs="Times New Roman"/>
          <w:szCs w:val="24"/>
        </w:rPr>
        <w:t>Xu</w:t>
      </w:r>
      <w:r>
        <w:rPr>
          <w:rFonts w:hint="eastAsia" w:eastAsia="宋体" w:cs="Times New Roman"/>
          <w:szCs w:val="24"/>
          <w:lang w:eastAsia="zh-CN"/>
        </w:rPr>
        <w:t xml:space="preserve">, </w:t>
      </w:r>
      <w:r>
        <w:rPr>
          <w:rFonts w:cs="Times New Roman"/>
          <w:szCs w:val="24"/>
        </w:rPr>
        <w:t>S</w:t>
      </w:r>
      <w:r>
        <w:rPr>
          <w:rFonts w:hint="eastAsia" w:eastAsia="宋体" w:cs="Times New Roman"/>
          <w:szCs w:val="24"/>
          <w:lang w:eastAsia="zh-CN"/>
        </w:rPr>
        <w:t>.</w:t>
      </w:r>
      <w:r>
        <w:rPr>
          <w:rFonts w:cs="Times New Roman"/>
          <w:szCs w:val="24"/>
        </w:rPr>
        <w:t>, Yang</w:t>
      </w:r>
      <w:r>
        <w:rPr>
          <w:rFonts w:hint="eastAsia" w:eastAsia="宋体" w:cs="Times New Roman"/>
          <w:szCs w:val="24"/>
          <w:lang w:eastAsia="zh-CN"/>
        </w:rPr>
        <w:t>,</w:t>
      </w:r>
      <w:r>
        <w:rPr>
          <w:rFonts w:cs="Times New Roman"/>
          <w:szCs w:val="24"/>
        </w:rPr>
        <w:t xml:space="preserve"> S</w:t>
      </w:r>
      <w:r>
        <w:rPr>
          <w:rFonts w:hint="eastAsia" w:eastAsia="宋体" w:cs="Times New Roman"/>
          <w:szCs w:val="24"/>
          <w:lang w:eastAsia="zh-CN"/>
        </w:rPr>
        <w:t>.</w:t>
      </w:r>
      <w:r>
        <w:rPr>
          <w:rFonts w:cs="Times New Roman"/>
          <w:szCs w:val="24"/>
        </w:rPr>
        <w:t>, Weng</w:t>
      </w:r>
      <w:r>
        <w:rPr>
          <w:rFonts w:hint="eastAsia" w:eastAsia="宋体" w:cs="Times New Roman"/>
          <w:szCs w:val="24"/>
          <w:lang w:eastAsia="zh-CN"/>
        </w:rPr>
        <w:t>,</w:t>
      </w:r>
      <w:r>
        <w:rPr>
          <w:rFonts w:cs="Times New Roman"/>
          <w:szCs w:val="24"/>
        </w:rPr>
        <w:t xml:space="preserve"> S</w:t>
      </w:r>
      <w:r>
        <w:rPr>
          <w:rFonts w:hint="eastAsia" w:eastAsia="宋体" w:cs="Times New Roman"/>
          <w:szCs w:val="24"/>
          <w:lang w:eastAsia="zh-CN"/>
        </w:rPr>
        <w:t>.</w:t>
      </w:r>
      <w:r>
        <w:rPr>
          <w:rFonts w:cs="Times New Roman"/>
          <w:szCs w:val="24"/>
        </w:rPr>
        <w:t>, Chen</w:t>
      </w:r>
      <w:r>
        <w:rPr>
          <w:rFonts w:hint="eastAsia" w:eastAsia="宋体" w:cs="Times New Roman"/>
          <w:szCs w:val="24"/>
          <w:lang w:eastAsia="zh-CN"/>
        </w:rPr>
        <w:t>,</w:t>
      </w:r>
      <w:r>
        <w:rPr>
          <w:rFonts w:cs="Times New Roman"/>
          <w:szCs w:val="24"/>
        </w:rPr>
        <w:t xml:space="preserve"> C, Zhang</w:t>
      </w:r>
      <w:r>
        <w:rPr>
          <w:rFonts w:hint="eastAsia" w:eastAsia="宋体" w:cs="Times New Roman"/>
          <w:szCs w:val="24"/>
          <w:lang w:eastAsia="zh-CN"/>
        </w:rPr>
        <w:t>,</w:t>
      </w:r>
      <w:r>
        <w:rPr>
          <w:rFonts w:cs="Times New Roman"/>
          <w:szCs w:val="24"/>
        </w:rPr>
        <w:t xml:space="preserve"> W</w:t>
      </w:r>
      <w:r>
        <w:rPr>
          <w:rFonts w:hint="eastAsia" w:eastAsia="宋体" w:cs="Times New Roman"/>
          <w:szCs w:val="24"/>
          <w:lang w:eastAsia="zh-CN"/>
        </w:rPr>
        <w:t>.</w:t>
      </w:r>
      <w:r>
        <w:rPr>
          <w:rFonts w:cs="Times New Roman"/>
          <w:szCs w:val="24"/>
        </w:rPr>
        <w:t>, J</w:t>
      </w:r>
      <w:r>
        <w:rPr>
          <w:rFonts w:hint="eastAsia" w:eastAsia="宋体" w:cs="Times New Roman"/>
          <w:szCs w:val="24"/>
          <w:lang w:eastAsia="zh-CN"/>
        </w:rPr>
        <w:t>,</w:t>
      </w:r>
      <w:r>
        <w:rPr>
          <w:rFonts w:cs="Times New Roman"/>
          <w:szCs w:val="24"/>
        </w:rPr>
        <w:t xml:space="preserve"> J. (2019). Distribution of serotypes and virulence genes in hypervirulent </w:t>
      </w:r>
      <w:r>
        <w:rPr>
          <w:rFonts w:cs="Times New Roman"/>
          <w:i/>
          <w:iCs/>
          <w:szCs w:val="24"/>
        </w:rPr>
        <w:t>Klebsiella pneumoniae</w:t>
      </w:r>
      <w:r>
        <w:rPr>
          <w:rFonts w:cs="Times New Roman"/>
          <w:szCs w:val="24"/>
        </w:rPr>
        <w:t xml:space="preserve"> and exploration of molecular markers. </w:t>
      </w:r>
      <w:r>
        <w:rPr>
          <w:rFonts w:cs="Times New Roman"/>
          <w:i/>
          <w:iCs/>
          <w:szCs w:val="24"/>
        </w:rPr>
        <w:t>Journal of Microbes and Infection</w:t>
      </w:r>
      <w:r>
        <w:rPr>
          <w:rFonts w:cs="Times New Roman"/>
          <w:szCs w:val="24"/>
        </w:rPr>
        <w:t xml:space="preserve"> 14, 338–344.</w:t>
      </w:r>
    </w:p>
    <w:p>
      <w:pPr>
        <w:autoSpaceDE w:val="0"/>
        <w:autoSpaceDN w:val="0"/>
        <w:adjustRightInd w:val="0"/>
        <w:ind w:left="480" w:hanging="480"/>
        <w:rPr>
          <w:rFonts w:cs="Times New Roman"/>
          <w:szCs w:val="24"/>
        </w:rPr>
      </w:pPr>
      <w:r>
        <w:rPr>
          <w:rFonts w:cs="Times New Roman"/>
          <w:szCs w:val="24"/>
        </w:rPr>
        <w:t xml:space="preserve">Yang, F., Deng, B., Liao, W., Wang, P., Chen, P., and Wei, J. (2019). High rate of multiresistant </w:t>
      </w:r>
      <w:r>
        <w:rPr>
          <w:rFonts w:cs="Times New Roman"/>
          <w:i/>
          <w:iCs/>
          <w:szCs w:val="24"/>
        </w:rPr>
        <w:t xml:space="preserve">klebsiella pneumoniae </w:t>
      </w:r>
      <w:r>
        <w:rPr>
          <w:rFonts w:cs="Times New Roman"/>
          <w:szCs w:val="24"/>
        </w:rPr>
        <w:t xml:space="preserve">from human and animal origin. </w:t>
      </w:r>
      <w:r>
        <w:rPr>
          <w:rFonts w:hint="eastAsia" w:cs="Times New Roman"/>
          <w:i/>
          <w:iCs/>
          <w:szCs w:val="24"/>
        </w:rPr>
        <w:t>Infect Drug Resist.</w:t>
      </w:r>
      <w:r>
        <w:rPr>
          <w:rFonts w:cs="Times New Roman"/>
          <w:szCs w:val="24"/>
        </w:rPr>
        <w:t xml:space="preserve"> 12, 2729–2737. doi:10.2147/IDR.S219155.</w:t>
      </w:r>
    </w:p>
    <w:p>
      <w:pPr>
        <w:autoSpaceDE w:val="0"/>
        <w:autoSpaceDN w:val="0"/>
        <w:adjustRightInd w:val="0"/>
        <w:ind w:left="480" w:hanging="480"/>
      </w:pPr>
      <w:r>
        <w:rPr>
          <w:rFonts w:cs="Times New Roman"/>
          <w:szCs w:val="24"/>
        </w:rPr>
        <w:t xml:space="preserve">Zhang, Y., Zhao, C., Wang, Q., Wang, X., Chen, H., Li, H., et al. (2016). High prevalence of hypervirulent </w:t>
      </w:r>
      <w:r>
        <w:rPr>
          <w:rFonts w:cs="Times New Roman"/>
          <w:i/>
          <w:iCs/>
          <w:szCs w:val="24"/>
        </w:rPr>
        <w:t>Klebsiella pneumoniae</w:t>
      </w:r>
      <w:r>
        <w:rPr>
          <w:rFonts w:cs="Times New Roman"/>
          <w:szCs w:val="24"/>
        </w:rPr>
        <w:t xml:space="preserve"> infection in China: Geographic distribution, clinical characteristics, and antimicrobial resistance. </w:t>
      </w:r>
      <w:r>
        <w:rPr>
          <w:rFonts w:hint="eastAsia" w:cs="Times New Roman"/>
          <w:i/>
          <w:iCs/>
          <w:szCs w:val="24"/>
        </w:rPr>
        <w:t>Antimicrob Agents Chemother.</w:t>
      </w:r>
      <w:r>
        <w:rPr>
          <w:rFonts w:cs="Times New Roman"/>
          <w:szCs w:val="24"/>
        </w:rPr>
        <w:t xml:space="preserve"> 60, 6115–6120. doi:10.1128/AAC.01127-16.</w:t>
      </w:r>
      <w:r>
        <w:fldChar w:fldCharType="end"/>
      </w:r>
    </w:p>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40001" w:csb1="00000000"/>
  </w:font>
  <w:font w:name="TimesNewRomanPS-ItalicM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dvOT596495f2">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24</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24</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eastAsia="zh-CN"/>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0pt;margin-top:0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eastAsia="zh-CN"/>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720"/>
  <w:noPunctuationKerning w:val="1"/>
  <w:characterSpacingControl w:val="doNotCompress"/>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D191D"/>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C6143"/>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873EE"/>
    <w:rsid w:val="006B7D14"/>
    <w:rsid w:val="00701727"/>
    <w:rsid w:val="0070566C"/>
    <w:rsid w:val="00714C50"/>
    <w:rsid w:val="00725A7D"/>
    <w:rsid w:val="007501BE"/>
    <w:rsid w:val="00790BB3"/>
    <w:rsid w:val="007C206C"/>
    <w:rsid w:val="00817DD6"/>
    <w:rsid w:val="0082233E"/>
    <w:rsid w:val="0083759F"/>
    <w:rsid w:val="00885156"/>
    <w:rsid w:val="009151AA"/>
    <w:rsid w:val="0093429D"/>
    <w:rsid w:val="00937826"/>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CE5F74"/>
    <w:rsid w:val="00D060CF"/>
    <w:rsid w:val="00DB59C3"/>
    <w:rsid w:val="00DC259A"/>
    <w:rsid w:val="00DE23E8"/>
    <w:rsid w:val="00E52377"/>
    <w:rsid w:val="00E537AD"/>
    <w:rsid w:val="00E64E17"/>
    <w:rsid w:val="00E866C9"/>
    <w:rsid w:val="00EA3D3C"/>
    <w:rsid w:val="00EC090A"/>
    <w:rsid w:val="00ED20B5"/>
    <w:rsid w:val="00EF6118"/>
    <w:rsid w:val="00F46900"/>
    <w:rsid w:val="00F61D89"/>
    <w:rsid w:val="0F835409"/>
    <w:rsid w:val="0FBB7183"/>
    <w:rsid w:val="0FFD54BA"/>
    <w:rsid w:val="15B0724D"/>
    <w:rsid w:val="1A1A3838"/>
    <w:rsid w:val="20313E6F"/>
    <w:rsid w:val="23004430"/>
    <w:rsid w:val="28AD3393"/>
    <w:rsid w:val="2B935A9F"/>
    <w:rsid w:val="2D6B3A68"/>
    <w:rsid w:val="3263535B"/>
    <w:rsid w:val="386B0FF4"/>
    <w:rsid w:val="38A440AF"/>
    <w:rsid w:val="3A63223A"/>
    <w:rsid w:val="46453DF9"/>
    <w:rsid w:val="49497EFA"/>
    <w:rsid w:val="503A4920"/>
    <w:rsid w:val="56B93600"/>
    <w:rsid w:val="57927F7F"/>
    <w:rsid w:val="58CF3B86"/>
    <w:rsid w:val="5F975FB6"/>
    <w:rsid w:val="626B46DC"/>
    <w:rsid w:val="65E03468"/>
    <w:rsid w:val="6860722E"/>
    <w:rsid w:val="7530786C"/>
    <w:rsid w:val="78222E99"/>
    <w:rsid w:val="7A833359"/>
    <w:rsid w:val="7AA658D8"/>
    <w:rsid w:val="7B1703F1"/>
    <w:rsid w:val="7EEF3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Heading 1 Char"/>
    <w:basedOn w:val="22"/>
    <w:link w:val="2"/>
    <w:qFormat/>
    <w:uiPriority w:val="2"/>
    <w:rPr>
      <w:rFonts w:ascii="Times New Roman" w:hAnsi="Times New Roman" w:eastAsia="Cambria" w:cs="Times New Roman"/>
      <w:b/>
      <w:sz w:val="24"/>
      <w:szCs w:val="24"/>
    </w:rPr>
  </w:style>
  <w:style w:type="character" w:customStyle="1" w:styleId="32">
    <w:name w:val="Heading 2 Char"/>
    <w:basedOn w:val="22"/>
    <w:link w:val="4"/>
    <w:qFormat/>
    <w:uiPriority w:val="2"/>
    <w:rPr>
      <w:rFonts w:ascii="Times New Roman" w:hAnsi="Times New Roman" w:eastAsia="Cambria" w:cs="Times New Roman"/>
      <w:b/>
      <w:sz w:val="24"/>
      <w:szCs w:val="24"/>
    </w:rPr>
  </w:style>
  <w:style w:type="character" w:customStyle="1" w:styleId="33">
    <w:name w:val="Subtitle Char"/>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Balloon Text Char"/>
    <w:basedOn w:val="22"/>
    <w:link w:val="12"/>
    <w:semiHidden/>
    <w:qFormat/>
    <w:uiPriority w:val="99"/>
    <w:rPr>
      <w:rFonts w:ascii="Tahoma" w:hAnsi="Tahoma" w:cs="Tahoma"/>
      <w:sz w:val="16"/>
      <w:szCs w:val="16"/>
    </w:rPr>
  </w:style>
  <w:style w:type="character" w:customStyle="1" w:styleId="36">
    <w:name w:val="书籍标题1"/>
    <w:basedOn w:val="22"/>
    <w:qFormat/>
    <w:uiPriority w:val="33"/>
    <w:rPr>
      <w:rFonts w:ascii="Times New Roman" w:hAnsi="Times New Roman"/>
      <w:b/>
      <w:bCs/>
      <w:i/>
      <w:iCs/>
      <w:spacing w:val="5"/>
    </w:rPr>
  </w:style>
  <w:style w:type="character" w:customStyle="1" w:styleId="37">
    <w:name w:val="Comment Text Char"/>
    <w:basedOn w:val="22"/>
    <w:link w:val="10"/>
    <w:semiHidden/>
    <w:qFormat/>
    <w:uiPriority w:val="99"/>
    <w:rPr>
      <w:rFonts w:ascii="Times New Roman" w:hAnsi="Times New Roman"/>
      <w:sz w:val="20"/>
      <w:szCs w:val="20"/>
    </w:rPr>
  </w:style>
  <w:style w:type="character" w:customStyle="1" w:styleId="38">
    <w:name w:val="Comment Subject Char"/>
    <w:basedOn w:val="37"/>
    <w:link w:val="19"/>
    <w:semiHidden/>
    <w:qFormat/>
    <w:uiPriority w:val="99"/>
    <w:rPr>
      <w:rFonts w:ascii="Times New Roman" w:hAnsi="Times New Roman"/>
      <w:b/>
      <w:bCs/>
      <w:sz w:val="20"/>
      <w:szCs w:val="20"/>
    </w:rPr>
  </w:style>
  <w:style w:type="character" w:customStyle="1" w:styleId="39">
    <w:name w:val="Endnote Text Char"/>
    <w:basedOn w:val="22"/>
    <w:link w:val="11"/>
    <w:semiHidden/>
    <w:qFormat/>
    <w:uiPriority w:val="99"/>
    <w:rPr>
      <w:rFonts w:ascii="Times New Roman" w:hAnsi="Times New Roman"/>
      <w:sz w:val="20"/>
      <w:szCs w:val="20"/>
    </w:rPr>
  </w:style>
  <w:style w:type="character" w:customStyle="1" w:styleId="40">
    <w:name w:val="Footer Char"/>
    <w:basedOn w:val="22"/>
    <w:link w:val="13"/>
    <w:qFormat/>
    <w:uiPriority w:val="99"/>
    <w:rPr>
      <w:rFonts w:ascii="Times New Roman" w:hAnsi="Times New Roman"/>
      <w:sz w:val="24"/>
    </w:rPr>
  </w:style>
  <w:style w:type="character" w:customStyle="1" w:styleId="41">
    <w:name w:val="Footnote Text Char"/>
    <w:basedOn w:val="22"/>
    <w:link w:val="16"/>
    <w:semiHidden/>
    <w:qFormat/>
    <w:uiPriority w:val="99"/>
    <w:rPr>
      <w:rFonts w:ascii="Times New Roman" w:hAnsi="Times New Roman"/>
      <w:sz w:val="20"/>
      <w:szCs w:val="20"/>
    </w:rPr>
  </w:style>
  <w:style w:type="character" w:customStyle="1" w:styleId="42">
    <w:name w:val="Header Char"/>
    <w:basedOn w:val="22"/>
    <w:link w:val="14"/>
    <w:qFormat/>
    <w:uiPriority w:val="99"/>
    <w:rPr>
      <w:rFonts w:ascii="Times New Roman" w:hAnsi="Times New Roman"/>
      <w:b/>
      <w:sz w:val="24"/>
    </w:rPr>
  </w:style>
  <w:style w:type="character" w:customStyle="1" w:styleId="43">
    <w:name w:val="明显强调1"/>
    <w:basedOn w:val="22"/>
    <w:unhideWhenUsed/>
    <w:qFormat/>
    <w:uiPriority w:val="21"/>
    <w:rPr>
      <w:rFonts w:ascii="Times New Roman" w:hAnsi="Times New Roman"/>
      <w:i/>
      <w:iCs/>
      <w:color w:val="auto"/>
    </w:rPr>
  </w:style>
  <w:style w:type="character" w:customStyle="1" w:styleId="44">
    <w:name w:val="明显参考1"/>
    <w:basedOn w:val="22"/>
    <w:qFormat/>
    <w:uiPriority w:val="32"/>
    <w:rPr>
      <w:b/>
      <w:bCs/>
      <w:smallCaps/>
      <w:color w:val="auto"/>
      <w:spacing w:val="5"/>
    </w:rPr>
  </w:style>
  <w:style w:type="character" w:customStyle="1" w:styleId="45">
    <w:name w:val="Heading 3 Char"/>
    <w:basedOn w:val="22"/>
    <w:link w:val="5"/>
    <w:qFormat/>
    <w:uiPriority w:val="2"/>
    <w:rPr>
      <w:rFonts w:ascii="Times New Roman" w:hAnsi="Times New Roman" w:eastAsiaTheme="majorEastAsia" w:cstheme="majorBidi"/>
      <w:b/>
      <w:sz w:val="24"/>
      <w:szCs w:val="24"/>
    </w:rPr>
  </w:style>
  <w:style w:type="character" w:customStyle="1" w:styleId="46">
    <w:name w:val="Heading 4 Char"/>
    <w:basedOn w:val="22"/>
    <w:link w:val="6"/>
    <w:qFormat/>
    <w:uiPriority w:val="2"/>
    <w:rPr>
      <w:rFonts w:ascii="Times New Roman" w:hAnsi="Times New Roman" w:eastAsiaTheme="majorEastAsia" w:cstheme="majorBidi"/>
      <w:b/>
      <w:iCs/>
      <w:sz w:val="24"/>
      <w:szCs w:val="24"/>
    </w:rPr>
  </w:style>
  <w:style w:type="character" w:customStyle="1" w:styleId="47">
    <w:name w:val="Heading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不明显强调1"/>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No Spacing1"/>
    <w:qFormat/>
    <w:uiPriority w:val="1"/>
    <w:rPr>
      <w:rFonts w:ascii="Times New Roman" w:hAnsi="Times New Roman" w:eastAsia="Calibri" w:cs="Times New Roman"/>
      <w:sz w:val="22"/>
      <w:szCs w:val="22"/>
      <w:lang w:val="pt-BR"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884270-141E-4CB0-BEA4-2FB0253AA81D}">
  <ds:schemaRefs/>
</ds:datastoreItem>
</file>

<file path=docProps/app.xml><?xml version="1.0" encoding="utf-8"?>
<Properties xmlns="http://schemas.openxmlformats.org/officeDocument/2006/extended-properties" xmlns:vt="http://schemas.openxmlformats.org/officeDocument/2006/docPropsVTypes">
  <Template>Supplementary_Material</Template>
  <Pages>45</Pages>
  <Words>7463</Words>
  <Characters>46533</Characters>
  <Lines>1936</Lines>
  <Paragraphs>545</Paragraphs>
  <TotalTime>6</TotalTime>
  <ScaleCrop>false</ScaleCrop>
  <LinksUpToDate>false</LinksUpToDate>
  <CharactersWithSpaces>50759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2022-04-08T15:37:00Z</dcterms:created>
  <dc:creator>Frontiers Media SA</dc:creator>
  <cp:lastModifiedBy>岁月忽已晚</cp:lastModifiedBy>
  <cp:lastPrinted>2013-10-03T12:51:00Z</cp:lastPrinted>
  <dcterms:modified xsi:type="dcterms:W3CDTF">2022-04-24T01:21:44Z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DBB64DB75A314A58BD857BDB0357BB0A</vt:lpwstr>
  </property>
  <property fmtid="{D5CDD505-2E9C-101B-9397-08002B2CF9AE}" pid="4" name="Mendeley Document_1">
    <vt:lpwstr>True</vt:lpwstr>
  </property>
  <property fmtid="{D5CDD505-2E9C-101B-9397-08002B2CF9AE}" pid="5" name="Mendeley Unique User Id_1">
    <vt:lpwstr>bea6fcad-5269-3c2f-87f4-22597f00d8cd</vt:lpwstr>
  </property>
  <property fmtid="{D5CDD505-2E9C-101B-9397-08002B2CF9AE}" pid="6" name="Mendeley Citation Style_1">
    <vt:lpwstr>http://www.zotero.org/styles/frontiers-in-microbiology</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http://www.zotero.org/styles/antimicrobial-agents-and-chemotherapy</vt:lpwstr>
  </property>
  <property fmtid="{D5CDD505-2E9C-101B-9397-08002B2CF9AE}" pid="10" name="Mendeley Recent Style Name 1_1">
    <vt:lpwstr>Antimicrobial Agents and Chemotherapy</vt:lpwstr>
  </property>
  <property fmtid="{D5CDD505-2E9C-101B-9397-08002B2CF9AE}" pid="11" name="Mendeley Recent Style Id 2_1">
    <vt:lpwstr>http://www.zotero.org/styles/chinese-gb7714-2005-author-date</vt:lpwstr>
  </property>
  <property fmtid="{D5CDD505-2E9C-101B-9397-08002B2CF9AE}" pid="12" name="Mendeley Recent Style Name 2_1">
    <vt:lpwstr>China National Standard GB/T 7714-2005 (author-date, Chinese)</vt:lpwstr>
  </property>
  <property fmtid="{D5CDD505-2E9C-101B-9397-08002B2CF9AE}" pid="13" name="Mendeley Recent Style Id 3_1">
    <vt:lpwstr>http://www.zotero.org/styles/chinese-gb7714-2005-numeric</vt:lpwstr>
  </property>
  <property fmtid="{D5CDD505-2E9C-101B-9397-08002B2CF9AE}" pid="14" name="Mendeley Recent Style Name 3_1">
    <vt:lpwstr>China National Standard GB/T 7714-2005 (numeric, Chinese)</vt:lpwstr>
  </property>
  <property fmtid="{D5CDD505-2E9C-101B-9397-08002B2CF9AE}" pid="15" name="Mendeley Recent Style Id 4_1">
    <vt:lpwstr>http://www.zotero.org/styles/china-national-standard-gb-t-7714-2015-author-date</vt:lpwstr>
  </property>
  <property fmtid="{D5CDD505-2E9C-101B-9397-08002B2CF9AE}" pid="16" name="Mendeley Recent Style Name 4_1">
    <vt:lpwstr>China National Standard GB/T 7714-2015 (author-date, Chinese)</vt:lpwstr>
  </property>
  <property fmtid="{D5CDD505-2E9C-101B-9397-08002B2CF9AE}" pid="17" name="Mendeley Recent Style Id 5_1">
    <vt:lpwstr>http://www.zotero.org/styles/china-national-standard-gb-t-7714-2015-note</vt:lpwstr>
  </property>
  <property fmtid="{D5CDD505-2E9C-101B-9397-08002B2CF9AE}" pid="18" name="Mendeley Recent Style Name 5_1">
    <vt:lpwstr>China National Standard GB/T 7714-2015 (note, Chinese)</vt:lpwstr>
  </property>
  <property fmtid="{D5CDD505-2E9C-101B-9397-08002B2CF9AE}" pid="19" name="Mendeley Recent Style Id 6_1">
    <vt:lpwstr>http://www.zotero.org/styles/frontiers-in-microbiology</vt:lpwstr>
  </property>
  <property fmtid="{D5CDD505-2E9C-101B-9397-08002B2CF9AE}" pid="20" name="Mendeley Recent Style Name 6_1">
    <vt:lpwstr>Frontiers in Microbiology</vt:lpwstr>
  </property>
  <property fmtid="{D5CDD505-2E9C-101B-9397-08002B2CF9AE}" pid="21" name="Mendeley Recent Style Id 7_1">
    <vt:lpwstr>http://www.zotero.org/styles/international-journal-of-antimicrobial-agents</vt:lpwstr>
  </property>
  <property fmtid="{D5CDD505-2E9C-101B-9397-08002B2CF9AE}" pid="22" name="Mendeley Recent Style Name 7_1">
    <vt:lpwstr>International Journal of Antimicrobial Agents</vt:lpwstr>
  </property>
  <property fmtid="{D5CDD505-2E9C-101B-9397-08002B2CF9AE}" pid="23" name="Mendeley Recent Style Id 8_1">
    <vt:lpwstr>http://www.zotero.org/styles/national-library-of-medicine</vt:lpwstr>
  </property>
  <property fmtid="{D5CDD505-2E9C-101B-9397-08002B2CF9AE}" pid="24" name="Mendeley Recent Style Name 8_1">
    <vt:lpwstr>National Library of Medicine</vt:lpwstr>
  </property>
  <property fmtid="{D5CDD505-2E9C-101B-9397-08002B2CF9AE}" pid="25" name="Mendeley Recent Style Id 9_1">
    <vt:lpwstr>http://www.zotero.org/styles/mbio</vt:lpwstr>
  </property>
  <property fmtid="{D5CDD505-2E9C-101B-9397-08002B2CF9AE}" pid="26" name="Mendeley Recent Style Name 9_1">
    <vt:lpwstr>mBio</vt:lpwstr>
  </property>
</Properties>
</file>