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B001" w14:textId="77777777" w:rsidR="00A8160A" w:rsidRDefault="00DA6382">
      <w:pPr>
        <w:pBdr>
          <w:top w:val="nil"/>
          <w:left w:val="nil"/>
          <w:bottom w:val="nil"/>
          <w:right w:val="nil"/>
          <w:between w:val="nil"/>
        </w:pBdr>
        <w:spacing w:before="0" w:after="0"/>
        <w:rPr>
          <w:color w:val="000000"/>
        </w:rPr>
      </w:pPr>
      <w:r>
        <w:rPr>
          <w:color w:val="000000"/>
        </w:rPr>
        <w:t xml:space="preserve">Table S1. </w:t>
      </w:r>
      <w:proofErr w:type="spellStart"/>
      <w:r>
        <w:rPr>
          <w:i/>
        </w:rPr>
        <w:t>Parelaphostrongylus</w:t>
      </w:r>
      <w:proofErr w:type="spellEnd"/>
      <w:r>
        <w:rPr>
          <w:i/>
        </w:rPr>
        <w:t xml:space="preserve"> tenuis</w:t>
      </w:r>
      <w:r>
        <w:t>-induced mortality</w:t>
      </w:r>
      <w:r>
        <w:rPr>
          <w:color w:val="000000"/>
        </w:rPr>
        <w:t xml:space="preserve"> by </w:t>
      </w:r>
      <w:r>
        <w:t>s</w:t>
      </w:r>
      <w:r>
        <w:rPr>
          <w:color w:val="000000"/>
        </w:rPr>
        <w:t xml:space="preserve">pecies, sex and reproductive status. Based on necropsies </w:t>
      </w:r>
      <w:r>
        <w:t>performed by</w:t>
      </w:r>
      <w:r>
        <w:rPr>
          <w:color w:val="000000"/>
        </w:rPr>
        <w:t xml:space="preserve"> the </w:t>
      </w:r>
      <w:r>
        <w:t>University of Minnesota Veterinary Diagnostic lab</w:t>
      </w:r>
      <w:r>
        <w:rPr>
          <w:color w:val="000000"/>
        </w:rPr>
        <w:t xml:space="preserve"> o</w:t>
      </w:r>
      <w:r>
        <w:t>n</w:t>
      </w:r>
      <w:r>
        <w:rPr>
          <w:color w:val="000000"/>
        </w:rPr>
        <w:t xml:space="preserve"> alpacas, llamas, goats and sheep diagnosed with </w:t>
      </w:r>
      <w:r>
        <w:rPr>
          <w:i/>
          <w:color w:val="000000"/>
        </w:rPr>
        <w:t>P. tenuis</w:t>
      </w:r>
      <w:r>
        <w:rPr>
          <w:color w:val="000000"/>
        </w:rPr>
        <w:t xml:space="preserve"> between 2001 and 2019.</w:t>
      </w:r>
    </w:p>
    <w:p w14:paraId="4F9EE2B7" w14:textId="77777777" w:rsidR="00A8160A" w:rsidRDefault="00DA6382">
      <w:pPr>
        <w:pBdr>
          <w:top w:val="nil"/>
          <w:left w:val="nil"/>
          <w:bottom w:val="nil"/>
          <w:right w:val="nil"/>
          <w:between w:val="nil"/>
        </w:pBdr>
        <w:spacing w:before="0" w:after="0"/>
        <w:jc w:val="center"/>
      </w:pPr>
      <w:r>
        <w:rPr>
          <w:noProof/>
        </w:rPr>
        <w:drawing>
          <wp:inline distT="114300" distB="114300" distL="114300" distR="114300" wp14:anchorId="5F6E7F92" wp14:editId="2D20E36D">
            <wp:extent cx="4184039" cy="2521268"/>
            <wp:effectExtent l="0" t="0" r="0" b="0"/>
            <wp:docPr id="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184039" cy="2521268"/>
                    </a:xfrm>
                    <a:prstGeom prst="rect">
                      <a:avLst/>
                    </a:prstGeom>
                    <a:ln/>
                  </pic:spPr>
                </pic:pic>
              </a:graphicData>
            </a:graphic>
          </wp:inline>
        </w:drawing>
      </w:r>
    </w:p>
    <w:p w14:paraId="1D6C63D8" w14:textId="77777777" w:rsidR="00A8160A" w:rsidRDefault="00A8160A">
      <w:pPr>
        <w:spacing w:before="0" w:after="0"/>
      </w:pPr>
    </w:p>
    <w:p w14:paraId="623F1561" w14:textId="77777777" w:rsidR="00A8160A" w:rsidRDefault="00A8160A">
      <w:pPr>
        <w:spacing w:before="0" w:after="0"/>
      </w:pPr>
    </w:p>
    <w:p w14:paraId="2924281F" w14:textId="77777777" w:rsidR="00A8160A" w:rsidRDefault="00DA6382">
      <w:pPr>
        <w:spacing w:before="0" w:after="0"/>
        <w:rPr>
          <w:rFonts w:ascii="Arial" w:eastAsia="Arial" w:hAnsi="Arial" w:cs="Arial"/>
          <w:sz w:val="36"/>
          <w:szCs w:val="36"/>
        </w:rPr>
      </w:pPr>
      <w:r>
        <w:t xml:space="preserve">Table S2. </w:t>
      </w:r>
      <w:proofErr w:type="spellStart"/>
      <w:r>
        <w:rPr>
          <w:i/>
        </w:rPr>
        <w:t>Parelaphostrongylus</w:t>
      </w:r>
      <w:proofErr w:type="spellEnd"/>
      <w:r>
        <w:rPr>
          <w:i/>
        </w:rPr>
        <w:t xml:space="preserve"> tenuis</w:t>
      </w:r>
      <w:r>
        <w:t xml:space="preserve">-induced mortality by species, sex and sexual maturity (age). </w:t>
      </w:r>
    </w:p>
    <w:p w14:paraId="6B23E6BB" w14:textId="77777777" w:rsidR="00A8160A" w:rsidRDefault="00DA6382">
      <w:pPr>
        <w:jc w:val="center"/>
      </w:pPr>
      <w:r>
        <w:rPr>
          <w:noProof/>
        </w:rPr>
        <w:drawing>
          <wp:inline distT="114300" distB="114300" distL="114300" distR="114300" wp14:anchorId="61C188D7" wp14:editId="58AB7B71">
            <wp:extent cx="3715067" cy="3435868"/>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15067" cy="3435868"/>
                    </a:xfrm>
                    <a:prstGeom prst="rect">
                      <a:avLst/>
                    </a:prstGeom>
                    <a:ln/>
                  </pic:spPr>
                </pic:pic>
              </a:graphicData>
            </a:graphic>
          </wp:inline>
        </w:drawing>
      </w:r>
    </w:p>
    <w:p w14:paraId="5B5779FC" w14:textId="77777777" w:rsidR="00A8160A" w:rsidRDefault="00A8160A"/>
    <w:p w14:paraId="45EFA1AC" w14:textId="77777777" w:rsidR="00A8160A" w:rsidRDefault="00A8160A"/>
    <w:p w14:paraId="151A1742" w14:textId="77777777" w:rsidR="00A8160A" w:rsidRDefault="00A8160A"/>
    <w:p w14:paraId="24FAF54D" w14:textId="77777777" w:rsidR="00A8160A" w:rsidRDefault="00DA6382">
      <w:r>
        <w:rPr>
          <w:noProof/>
        </w:rPr>
        <w:lastRenderedPageBreak/>
        <w:drawing>
          <wp:inline distT="114300" distB="114300" distL="114300" distR="114300" wp14:anchorId="45AB8800" wp14:editId="132CDC81">
            <wp:extent cx="5170903" cy="8548077"/>
            <wp:effectExtent l="0" t="0" r="0" b="0"/>
            <wp:docPr id="6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172510" cy="8550734"/>
                    </a:xfrm>
                    <a:prstGeom prst="rect">
                      <a:avLst/>
                    </a:prstGeom>
                    <a:ln/>
                  </pic:spPr>
                </pic:pic>
              </a:graphicData>
            </a:graphic>
          </wp:inline>
        </w:drawing>
      </w:r>
    </w:p>
    <w:p w14:paraId="4AA158E6" w14:textId="77777777" w:rsidR="00A8160A" w:rsidRDefault="00DA6382">
      <w:r>
        <w:lastRenderedPageBreak/>
        <w:t xml:space="preserve">Figure S1. Posterior distribution of the estimated parameters of the three 3000-iterations chains. The first 1500 iterations of each chain were burned in. Left panels indicate the posterior distribution of each estimated parameter, while right panels indicate the convergence among the three Monte Carlo Markov Chains. </w:t>
      </w:r>
    </w:p>
    <w:p w14:paraId="2ADC45CC" w14:textId="77777777" w:rsidR="00A8160A" w:rsidRDefault="00A8160A">
      <w:pPr>
        <w:keepNext/>
        <w:jc w:val="center"/>
        <w:rPr>
          <w:b/>
        </w:rPr>
      </w:pPr>
    </w:p>
    <w:sectPr w:rsidR="00A8160A">
      <w:headerReference w:type="even" r:id="rId11"/>
      <w:headerReference w:type="default" r:id="rId12"/>
      <w:footerReference w:type="even" r:id="rId13"/>
      <w:footerReference w:type="default" r:id="rId14"/>
      <w:headerReference w:type="first" r:id="rId15"/>
      <w:footerReference w:type="first" r:id="rId16"/>
      <w:pgSz w:w="12240" w:h="15840"/>
      <w:pgMar w:top="1138" w:right="1181" w:bottom="660" w:left="1282"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3415" w14:textId="77777777" w:rsidR="00A33381" w:rsidRDefault="00A33381">
      <w:pPr>
        <w:spacing w:before="0" w:after="0"/>
      </w:pPr>
      <w:r>
        <w:separator/>
      </w:r>
    </w:p>
  </w:endnote>
  <w:endnote w:type="continuationSeparator" w:id="0">
    <w:p w14:paraId="5E04F577" w14:textId="77777777" w:rsidR="00A33381" w:rsidRDefault="00A333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F132" w14:textId="77777777" w:rsidR="008A7CA2" w:rsidRDefault="008A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3011" w14:textId="77777777" w:rsidR="00A8160A" w:rsidRDefault="00DA6382">
    <w:pPr>
      <w:rPr>
        <w:b/>
        <w:sz w:val="20"/>
        <w:szCs w:val="20"/>
      </w:rPr>
    </w:pPr>
    <w:r>
      <w:rPr>
        <w:noProof/>
      </w:rPr>
      <mc:AlternateContent>
        <mc:Choice Requires="wps">
          <w:drawing>
            <wp:anchor distT="0" distB="0" distL="114300" distR="114300" simplePos="0" relativeHeight="251658240" behindDoc="0" locked="0" layoutInCell="1" hidden="0" allowOverlap="1" wp14:anchorId="2384422E" wp14:editId="23EBB4CE">
              <wp:simplePos x="0" y="0"/>
              <wp:positionH relativeFrom="column">
                <wp:posOffset>4660900</wp:posOffset>
              </wp:positionH>
              <wp:positionV relativeFrom="paragraph">
                <wp:posOffset>0</wp:posOffset>
              </wp:positionV>
              <wp:extent cx="1537335" cy="424180"/>
              <wp:effectExtent l="0" t="0" r="0" b="0"/>
              <wp:wrapNone/>
              <wp:docPr id="66" name="Rectangle 66"/>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14:paraId="45455437" w14:textId="4AF09042" w:rsidR="00A8160A" w:rsidRDefault="00A8160A">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2384422E" id="Rectangle 66" o:spid="_x0000_s1026" style="position:absolute;margin-left:367pt;margin-top:0;width:121.05pt;height:3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" filled="f" stroked="f">
              <v:textbox inset="2.53958mm,1.2694mm,2.53958mm,1.2694mm">
                <w:txbxContent>
                  <w:p w14:paraId="45455437" w14:textId="4AF09042" w:rsidR="00A8160A" w:rsidRDefault="00A8160A">
                    <w:pPr>
                      <w:jc w:val="right"/>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DE9F" w14:textId="77777777" w:rsidR="008A7CA2" w:rsidRDefault="008A7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1F1F" w14:textId="77777777" w:rsidR="00A33381" w:rsidRDefault="00A33381">
      <w:pPr>
        <w:spacing w:before="0" w:after="0"/>
      </w:pPr>
      <w:r>
        <w:separator/>
      </w:r>
    </w:p>
  </w:footnote>
  <w:footnote w:type="continuationSeparator" w:id="0">
    <w:p w14:paraId="745B1B46" w14:textId="77777777" w:rsidR="00A33381" w:rsidRDefault="00A333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C9E4" w14:textId="77777777" w:rsidR="00A8160A" w:rsidRDefault="00DA6382">
    <w: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361" w14:textId="77777777" w:rsidR="008A7CA2" w:rsidRDefault="008A7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4E8F" w14:textId="77777777" w:rsidR="00A8160A" w:rsidRDefault="00DA6382">
    <w:r>
      <w:rPr>
        <w:b/>
        <w:noProof/>
        <w:color w:val="A6A6A6"/>
      </w:rPr>
      <w:drawing>
        <wp:inline distT="0" distB="0" distL="0" distR="0" wp14:anchorId="2484115D" wp14:editId="799ADE0B">
          <wp:extent cx="1534909" cy="551877"/>
          <wp:effectExtent l="0" t="0" r="0" b="0"/>
          <wp:docPr id="70" name="image2.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2.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r>
      <w:rPr>
        <w:b/>
        <w:sz w:val="32"/>
        <w:szCs w:val="32"/>
      </w:rPr>
      <w:t>Supplementary Material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2FD6"/>
    <w:multiLevelType w:val="multilevel"/>
    <w:tmpl w:val="C7BC26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0A"/>
    <w:rsid w:val="008A7CA2"/>
    <w:rsid w:val="00A33381"/>
    <w:rsid w:val="00A8160A"/>
    <w:rsid w:val="00DA6382"/>
    <w:rsid w:val="00E9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AE39"/>
  <w15:docId w15:val="{530021EA-1648-0546-A9FB-49F7FA72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style>
  <w:style w:type="paragraph" w:styleId="Heading1">
    <w:name w:val="heading 1"/>
    <w:basedOn w:val="ListParagraph"/>
    <w:next w:val="Normal"/>
    <w:link w:val="Heading1Char"/>
    <w:uiPriority w:val="9"/>
    <w:qFormat/>
    <w:rsid w:val="00AB6715"/>
    <w:pPr>
      <w:numPr>
        <w:numId w:val="1"/>
      </w:numPr>
      <w:spacing w:before="240"/>
      <w:contextualSpacing w:val="0"/>
      <w:outlineLvl w:val="0"/>
    </w:pPr>
    <w:rPr>
      <w:b/>
    </w:rPr>
  </w:style>
  <w:style w:type="paragraph" w:styleId="Heading2">
    <w:name w:val="heading 2"/>
    <w:basedOn w:val="Heading1"/>
    <w:next w:val="Normal"/>
    <w:link w:val="Heading2Char"/>
    <w:uiPriority w:val="9"/>
    <w:semiHidden/>
    <w:unhideWhenUsed/>
    <w:qFormat/>
    <w:rsid w:val="00AB6715"/>
    <w:pPr>
      <w:numPr>
        <w:ilvl w:val="1"/>
      </w:numPr>
      <w:spacing w:after="200"/>
      <w:outlineLvl w:val="1"/>
    </w:pPr>
  </w:style>
  <w:style w:type="paragraph" w:styleId="Heading3">
    <w:name w:val="heading 3"/>
    <w:basedOn w:val="Normal"/>
    <w:next w:val="Normal"/>
    <w:link w:val="Heading3Char"/>
    <w:uiPriority w:val="9"/>
    <w:semiHidden/>
    <w:unhideWhenUsed/>
    <w:qFormat/>
    <w:rsid w:val="00AB6715"/>
    <w:pPr>
      <w:keepNext/>
      <w:keepLines/>
      <w:numPr>
        <w:ilvl w:val="2"/>
        <w:numId w:val="1"/>
      </w:numPr>
      <w:spacing w:before="40" w:after="120"/>
      <w:outlineLvl w:val="2"/>
    </w:pPr>
    <w:rPr>
      <w:rFonts w:eastAsiaTheme="majorEastAsia" w:cstheme="majorBidi"/>
      <w:b/>
    </w:rPr>
  </w:style>
  <w:style w:type="paragraph" w:styleId="Heading4">
    <w:name w:val="heading 4"/>
    <w:basedOn w:val="Heading3"/>
    <w:next w:val="Normal"/>
    <w:link w:val="Heading4Char"/>
    <w:uiPriority w:val="9"/>
    <w:semiHidden/>
    <w:unhideWhenUsed/>
    <w:qFormat/>
    <w:rsid w:val="00AB6715"/>
    <w:pPr>
      <w:numPr>
        <w:ilvl w:val="3"/>
      </w:numPr>
      <w:outlineLvl w:val="3"/>
    </w:pPr>
    <w:rPr>
      <w:iCs/>
    </w:rPr>
  </w:style>
  <w:style w:type="paragraph" w:styleId="Heading5">
    <w:name w:val="heading 5"/>
    <w:basedOn w:val="Heading4"/>
    <w:next w:val="Normal"/>
    <w:link w:val="Heading5Char"/>
    <w:uiPriority w:val="9"/>
    <w:semiHidden/>
    <w:unhideWhenUsed/>
    <w:qFormat/>
    <w:rsid w:val="00AB6715"/>
    <w:pPr>
      <w:numPr>
        <w:ilvl w:val="4"/>
      </w:num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715"/>
    <w:pPr>
      <w:suppressLineNumbers/>
      <w:spacing w:before="240" w:after="360"/>
      <w:jc w:val="center"/>
    </w:pPr>
    <w:rPr>
      <w:b/>
      <w:sz w:val="32"/>
      <w:szCs w:val="32"/>
    </w:rPr>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qFormat/>
    <w:pPr>
      <w:spacing w:before="240"/>
    </w:pPr>
    <w:rPr>
      <w:b/>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b/>
      <w:bCs/>
    </w:rPr>
  </w:style>
  <w:style w:type="paragraph" w:styleId="NoSpacing">
    <w:name w:val="No Spacing"/>
    <w:uiPriority w:val="99"/>
    <w:unhideWhenUsed/>
    <w:qFormat/>
    <w:rsid w:val="00AB6715"/>
    <w:pPr>
      <w:spacing w:after="0"/>
    </w:p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tabs>
        <w:tab w:val="num" w:pos="720"/>
      </w:tabs>
      <w:ind w:left="720" w:hanging="720"/>
      <w:contextualSpacing/>
    </w:pPr>
    <w:rPr>
      <w:rFonts w:eastAsia="Cambria"/>
    </w:rPr>
  </w:style>
  <w:style w:type="numbering" w:customStyle="1" w:styleId="Headings">
    <w:name w:val="Headings"/>
    <w:uiPriority w:val="99"/>
    <w:rsid w:val="00AB6715"/>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KaU9kGHeoXDdTxhTqPc9/1CaaA==">AMUW2mXj6T5W9NcIO/6NH8Eb75NzFGxEjuDGMnwdWaFg4UcekGS5+OuUbVwq1RljQxtRsaA5cY7u+37Mpu5p1OosC4qwpqni7Xv0tDEsmB2iAvAJrFuNppY=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Ana Parra Munoz</cp:lastModifiedBy>
  <cp:revision>3</cp:revision>
  <dcterms:created xsi:type="dcterms:W3CDTF">2022-02-25T15:33:00Z</dcterms:created>
  <dcterms:modified xsi:type="dcterms:W3CDTF">2022-03-14T11:34:00Z</dcterms:modified>
</cp:coreProperties>
</file>