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245B" w14:textId="77777777" w:rsidR="00F34BD0" w:rsidRDefault="00E45EF5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45EF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23CF1D7" wp14:editId="5716B3C6">
            <wp:simplePos x="0" y="0"/>
            <wp:positionH relativeFrom="column">
              <wp:posOffset>-861695</wp:posOffset>
            </wp:positionH>
            <wp:positionV relativeFrom="paragraph">
              <wp:posOffset>567055</wp:posOffset>
            </wp:positionV>
            <wp:extent cx="7496175" cy="4493895"/>
            <wp:effectExtent l="0" t="0" r="9525" b="1905"/>
            <wp:wrapTight wrapText="bothSides">
              <wp:wrapPolygon edited="0">
                <wp:start x="0" y="0"/>
                <wp:lineTo x="0" y="21518"/>
                <wp:lineTo x="21573" y="21518"/>
                <wp:lineTo x="21573" y="0"/>
                <wp:lineTo x="0" y="0"/>
              </wp:wrapPolygon>
            </wp:wrapTight>
            <wp:docPr id="3" name="Obrázek 3" descr="D:\KINGSTON-zaloha 071217\DOCUMENTS\!ERLANGEN\!!!Rybar analyza\SO-ATERO in IIM pilot 39\ATERO in 39 IZM\REVISION\Suppl Fig 1 cropped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INGSTON-zaloha 071217\DOCUMENTS\!ERLANGEN\!!!Rybar analyza\SO-ATERO in IIM pilot 39\ATERO in 39 IZM\REVISION\Suppl Fig 1 cropped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BD0" w:rsidRPr="00F34BD0">
        <w:rPr>
          <w:rFonts w:ascii="Times New Roman" w:hAnsi="Times New Roman" w:cs="Times New Roman"/>
          <w:b/>
          <w:sz w:val="24"/>
          <w:szCs w:val="24"/>
          <w:lang w:val="en-GB"/>
        </w:rPr>
        <w:t>SUPPLEMENTARY FIGURE 1 | Recruitment of patients with idiopathic inflammatory myopathy (IIM) and healthy controls (HC)</w:t>
      </w:r>
    </w:p>
    <w:p w14:paraId="347D964B" w14:textId="77777777" w:rsidR="00F34BD0" w:rsidRDefault="00F34BD0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0FB8FEA" w14:textId="77777777" w:rsidR="00F34BD0" w:rsidRDefault="00F34BD0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DCCE796" w14:textId="77777777" w:rsidR="00F34BD0" w:rsidRDefault="00F34BD0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8DD4EB2" w14:textId="77777777" w:rsidR="00F34BD0" w:rsidRDefault="00F34BD0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D20B709" w14:textId="77777777" w:rsidR="00F34BD0" w:rsidRDefault="00F34BD0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B1AD332" w14:textId="77777777" w:rsidR="00F34BD0" w:rsidRDefault="00F34BD0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F2519F9" w14:textId="77777777" w:rsidR="00F34BD0" w:rsidRDefault="00F34BD0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D626C8D" w14:textId="77777777" w:rsidR="00F34BD0" w:rsidRDefault="00F34BD0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3EB4A3E" w14:textId="77777777" w:rsidR="00F34BD0" w:rsidRDefault="00F34BD0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48C1162" w14:textId="77777777" w:rsidR="00F34BD0" w:rsidRDefault="00F34BD0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C837C73" w14:textId="08016D26" w:rsidR="000F2C48" w:rsidRPr="008536FF" w:rsidRDefault="000F2C48" w:rsidP="000F2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36FF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FIGURE </w:t>
      </w:r>
      <w:r w:rsidR="00F34BD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BF403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8536FF">
        <w:rPr>
          <w:rFonts w:ascii="Times New Roman" w:hAnsi="Times New Roman" w:cs="Times New Roman"/>
          <w:b/>
          <w:sz w:val="24"/>
          <w:szCs w:val="24"/>
          <w:lang w:val="en-GB"/>
        </w:rPr>
        <w:t xml:space="preserve">| </w:t>
      </w:r>
      <w:r w:rsidRPr="008536FF">
        <w:rPr>
          <w:rFonts w:ascii="Times New Roman" w:hAnsi="Times New Roman" w:cs="Times New Roman"/>
          <w:sz w:val="24"/>
          <w:szCs w:val="24"/>
          <w:lang w:val="en-GB"/>
        </w:rPr>
        <w:t>Reclassification of the cardiovascular risk category based on the cardiovascular risk scoring systems (i.e., &lt; 5%, 5-10%, and &gt; 10% risk of fatal events) to the cardiovascular risk category according to ultrasound (US) markers of subclinical atherosclerosis (carotid intima-media thickness, and carotid plaques) (i.e., low, intermediate, and high risk) in patients with idiopathic inflammatory myopathies (IIM): A (SCORE vs. US), B (SCORE2 vs. US), C (</w:t>
      </w:r>
      <w:proofErr w:type="spellStart"/>
      <w:r w:rsidRPr="008536FF">
        <w:rPr>
          <w:rFonts w:ascii="Times New Roman" w:hAnsi="Times New Roman" w:cs="Times New Roman"/>
          <w:sz w:val="24"/>
          <w:szCs w:val="24"/>
          <w:lang w:val="en-GB"/>
        </w:rPr>
        <w:t>mSCORE</w:t>
      </w:r>
      <w:proofErr w:type="spellEnd"/>
      <w:r w:rsidRPr="008536FF">
        <w:rPr>
          <w:rFonts w:ascii="Times New Roman" w:hAnsi="Times New Roman" w:cs="Times New Roman"/>
          <w:sz w:val="24"/>
          <w:szCs w:val="24"/>
          <w:lang w:val="en-GB"/>
        </w:rPr>
        <w:t xml:space="preserve"> vs. US) and healthy controls (HC): D (SCORE vs. US), E (SCORE2 vs. US). </w:t>
      </w:r>
      <w:r w:rsidRPr="008536F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*low, </w:t>
      </w:r>
      <w:r w:rsidRPr="008536FF">
        <w:rPr>
          <w:rFonts w:ascii="Times New Roman" w:hAnsi="Times New Roman" w:cs="Times New Roman"/>
          <w:sz w:val="24"/>
          <w:szCs w:val="24"/>
          <w:lang w:val="en-GB"/>
        </w:rPr>
        <w:t xml:space="preserve">&lt;2.5% (for &lt;50 years of age), &lt;5% (for 50-69 years of age), &lt;7.5% (for ≥70 years of age); </w:t>
      </w:r>
      <w:r w:rsidRPr="008536F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*intermediate, </w:t>
      </w:r>
      <w:r w:rsidRPr="008536FF">
        <w:rPr>
          <w:rFonts w:ascii="Times New Roman" w:hAnsi="Times New Roman" w:cs="Times New Roman"/>
          <w:sz w:val="24"/>
          <w:szCs w:val="24"/>
          <w:lang w:val="en-GB"/>
        </w:rPr>
        <w:t xml:space="preserve">2.5-7.5% (for &lt;50 years of age), 5-10% (for 50-69 years of age), 7.5-15% (for ≥70 years of age); </w:t>
      </w:r>
      <w:r w:rsidRPr="008536F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*high, </w:t>
      </w:r>
      <w:r w:rsidRPr="008536FF">
        <w:rPr>
          <w:rFonts w:ascii="Times New Roman" w:hAnsi="Times New Roman" w:cs="Times New Roman"/>
          <w:sz w:val="24"/>
          <w:szCs w:val="24"/>
          <w:lang w:val="en-GB"/>
        </w:rPr>
        <w:t>≥7.5% (for &lt;50 years of age), ≥10% (for 50-69 years of age), ≥15% (for ≥70 years of age)</w:t>
      </w:r>
    </w:p>
    <w:p w14:paraId="2B4A02D3" w14:textId="77777777" w:rsidR="000F2C48" w:rsidRPr="008536FF" w:rsidRDefault="000F2C48" w:rsidP="000F2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15B1139" w14:textId="77777777" w:rsidR="000F2C48" w:rsidRPr="008536FF" w:rsidRDefault="000F2C48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536FF">
        <w:rPr>
          <w:noProof/>
          <w:lang w:eastAsia="cs-CZ"/>
        </w:rPr>
        <w:drawing>
          <wp:inline distT="0" distB="0" distL="0" distR="0" wp14:anchorId="1CFB97A3" wp14:editId="7AF5007C">
            <wp:extent cx="4834566" cy="2680504"/>
            <wp:effectExtent l="0" t="0" r="4445" b="571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DB096DE" w14:textId="77777777" w:rsidR="000F2C48" w:rsidRPr="008536FF" w:rsidRDefault="000F2C48" w:rsidP="000F2C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536FF">
        <w:rPr>
          <w:noProof/>
          <w:lang w:eastAsia="cs-CZ"/>
        </w:rPr>
        <w:drawing>
          <wp:inline distT="0" distB="0" distL="0" distR="0" wp14:anchorId="24207EB3" wp14:editId="0DA95101">
            <wp:extent cx="4870789" cy="2680504"/>
            <wp:effectExtent l="0" t="0" r="6350" b="5715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989059" w14:textId="77777777" w:rsidR="000F2C48" w:rsidRPr="008536FF" w:rsidRDefault="000F2C48" w:rsidP="000F2C4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536FF">
        <w:rPr>
          <w:noProof/>
          <w:lang w:eastAsia="cs-CZ"/>
        </w:rPr>
        <w:lastRenderedPageBreak/>
        <w:drawing>
          <wp:inline distT="0" distB="0" distL="0" distR="0" wp14:anchorId="33953AC7" wp14:editId="7EFCAC98">
            <wp:extent cx="4907598" cy="2680504"/>
            <wp:effectExtent l="0" t="0" r="7620" b="571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9E68E08" w14:textId="77777777" w:rsidR="000F2C48" w:rsidRPr="008536FF" w:rsidRDefault="000F2C48" w:rsidP="000F2C4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536FF">
        <w:rPr>
          <w:noProof/>
          <w:lang w:eastAsia="cs-CZ"/>
        </w:rPr>
        <w:drawing>
          <wp:inline distT="0" distB="0" distL="0" distR="0" wp14:anchorId="3E764E49" wp14:editId="5BA62527">
            <wp:extent cx="4878161" cy="2641147"/>
            <wp:effectExtent l="0" t="0" r="17780" b="698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E3B1BC" w14:textId="77777777" w:rsidR="000F2C48" w:rsidRPr="008536FF" w:rsidRDefault="000F2C48" w:rsidP="000F2C4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536FF">
        <w:rPr>
          <w:noProof/>
          <w:lang w:eastAsia="cs-CZ"/>
        </w:rPr>
        <w:drawing>
          <wp:inline distT="0" distB="0" distL="0" distR="0" wp14:anchorId="0FEC32D2" wp14:editId="73665A1C">
            <wp:extent cx="4871358" cy="2640965"/>
            <wp:effectExtent l="0" t="0" r="5715" b="698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263144" w14:textId="77777777" w:rsidR="00C52591" w:rsidRDefault="00BA4EEA"/>
    <w:sectPr w:rsidR="00C5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N7e0tDAwNzWxMDJQ0lEKTi0uzszPAykwrgUAdhZrbSwAAAA="/>
  </w:docVars>
  <w:rsids>
    <w:rsidRoot w:val="000F2C48"/>
    <w:rsid w:val="000F2C48"/>
    <w:rsid w:val="003A5900"/>
    <w:rsid w:val="004860F4"/>
    <w:rsid w:val="009E1AEB"/>
    <w:rsid w:val="00BA4EEA"/>
    <w:rsid w:val="00BF4038"/>
    <w:rsid w:val="00C72FBD"/>
    <w:rsid w:val="00E45EF5"/>
    <w:rsid w:val="00EA1069"/>
    <w:rsid w:val="00F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6FB3"/>
  <w15:chartTrackingRefBased/>
  <w15:docId w15:val="{CE79168B-60A5-4296-A6D0-1ED5F964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bina\Desktop\moje%20psan&#237;\&#269;l&#225;nky%20-%20psan&#237;\Atero%20prelim%2039ZKxIZM\reklasifikace%20CVR%20nov&#22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bina\Desktop\moje%20psan&#237;\&#269;l&#225;nky%20-%20psan&#237;\Atero%20prelim%2039ZKxIZM\reklasifikace%20CVR%20nov&#22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bina\Desktop\moje%20psan&#237;\&#269;l&#225;nky%20-%20psan&#237;\Atero%20prelim%2039ZKxIZM\reklasifikace%20CVR%20nov&#22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bina\Desktop\moje%20psan&#237;\&#269;l&#225;nky%20-%20psan&#237;\Atero%20prelim%2039ZKxIZM\reklasifikace%20CVR%20nov&#225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bina\Desktop\moje%20psan&#237;\&#269;l&#225;nky%20-%20psan&#237;\Atero%20prelim%2039ZKxIZM\reklasifikace%20CVR%20nov&#225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600" b="1"/>
              <a:t>A</a:t>
            </a:r>
            <a:endParaRPr lang="cs-CZ" b="1"/>
          </a:p>
        </c:rich>
      </c:tx>
      <c:layout>
        <c:manualLayout>
          <c:xMode val="edge"/>
          <c:yMode val="edge"/>
          <c:x val="1.1111111111111112E-2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List3!$A$8</c:f>
              <c:strCache>
                <c:ptCount val="1"/>
                <c:pt idx="0">
                  <c:v>low CV risk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List3!$B$7:$D$7</c:f>
              <c:strCache>
                <c:ptCount val="3"/>
                <c:pt idx="0">
                  <c:v>&lt;5%</c:v>
                </c:pt>
                <c:pt idx="1">
                  <c:v>5% - 10%</c:v>
                </c:pt>
                <c:pt idx="2">
                  <c:v>&gt; 10%</c:v>
                </c:pt>
              </c:strCache>
            </c:strRef>
          </c:cat>
          <c:val>
            <c:numRef>
              <c:f>List3!$B$8:$D$8</c:f>
              <c:numCache>
                <c:formatCode>0</c:formatCode>
                <c:ptCount val="3"/>
                <c:pt idx="0">
                  <c:v>51.28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52-4616-B844-B2E819FC070C}"/>
            </c:ext>
          </c:extLst>
        </c:ser>
        <c:ser>
          <c:idx val="1"/>
          <c:order val="1"/>
          <c:tx>
            <c:strRef>
              <c:f>List3!$A$9</c:f>
              <c:strCache>
                <c:ptCount val="1"/>
                <c:pt idx="0">
                  <c:v>intermediate CV risk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List3!$B$7:$D$7</c:f>
              <c:strCache>
                <c:ptCount val="3"/>
                <c:pt idx="0">
                  <c:v>&lt;5%</c:v>
                </c:pt>
                <c:pt idx="1">
                  <c:v>5% - 10%</c:v>
                </c:pt>
                <c:pt idx="2">
                  <c:v>&gt; 10%</c:v>
                </c:pt>
              </c:strCache>
            </c:strRef>
          </c:cat>
          <c:val>
            <c:numRef>
              <c:f>List3!$B$9:$D$9</c:f>
              <c:numCache>
                <c:formatCode>0</c:formatCode>
                <c:ptCount val="3"/>
                <c:pt idx="0">
                  <c:v>5.13</c:v>
                </c:pt>
                <c:pt idx="1">
                  <c:v>7.69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52-4616-B844-B2E819FC070C}"/>
            </c:ext>
          </c:extLst>
        </c:ser>
        <c:ser>
          <c:idx val="2"/>
          <c:order val="2"/>
          <c:tx>
            <c:strRef>
              <c:f>List3!$A$10</c:f>
              <c:strCache>
                <c:ptCount val="1"/>
                <c:pt idx="0">
                  <c:v>high CV risk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List3!$B$7:$D$7</c:f>
              <c:strCache>
                <c:ptCount val="3"/>
                <c:pt idx="0">
                  <c:v>&lt;5%</c:v>
                </c:pt>
                <c:pt idx="1">
                  <c:v>5% - 10%</c:v>
                </c:pt>
                <c:pt idx="2">
                  <c:v>&gt; 10%</c:v>
                </c:pt>
              </c:strCache>
            </c:strRef>
          </c:cat>
          <c:val>
            <c:numRef>
              <c:f>List3!$B$10:$D$10</c:f>
              <c:numCache>
                <c:formatCode>0</c:formatCode>
                <c:ptCount val="3"/>
                <c:pt idx="0">
                  <c:v>15.38</c:v>
                </c:pt>
                <c:pt idx="1">
                  <c:v>15.38</c:v>
                </c:pt>
                <c:pt idx="2">
                  <c:v>5.13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52-4616-B844-B2E819FC0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4781760"/>
        <c:axId val="484773560"/>
      </c:barChart>
      <c:catAx>
        <c:axId val="48478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773560"/>
        <c:crosses val="autoZero"/>
        <c:auto val="1"/>
        <c:lblAlgn val="ctr"/>
        <c:lblOffset val="100"/>
        <c:noMultiLvlLbl val="0"/>
      </c:catAx>
      <c:valAx>
        <c:axId val="48477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Proportion of IIM patients (%)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155231481481481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781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600" b="1"/>
              <a:t>B</a:t>
            </a:r>
          </a:p>
        </c:rich>
      </c:tx>
      <c:layout>
        <c:manualLayout>
          <c:xMode val="edge"/>
          <c:yMode val="edge"/>
          <c:x val="2.0874890638670172E-2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List3!$F$8</c:f>
              <c:strCache>
                <c:ptCount val="1"/>
                <c:pt idx="0">
                  <c:v>low CV risk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cat>
            <c:strRef>
              <c:f>List3!$G$7:$I$7</c:f>
              <c:strCache>
                <c:ptCount val="3"/>
                <c:pt idx="0">
                  <c:v>*low</c:v>
                </c:pt>
                <c:pt idx="1">
                  <c:v>*intermediate</c:v>
                </c:pt>
                <c:pt idx="2">
                  <c:v>*high</c:v>
                </c:pt>
              </c:strCache>
            </c:strRef>
          </c:cat>
          <c:val>
            <c:numRef>
              <c:f>List3!$G$8:$I$8</c:f>
              <c:numCache>
                <c:formatCode>0</c:formatCode>
                <c:ptCount val="3"/>
                <c:pt idx="0">
                  <c:v>43.59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AD-4733-8488-990D5A11999C}"/>
            </c:ext>
          </c:extLst>
        </c:ser>
        <c:ser>
          <c:idx val="1"/>
          <c:order val="1"/>
          <c:tx>
            <c:strRef>
              <c:f>List3!$F$9</c:f>
              <c:strCache>
                <c:ptCount val="1"/>
                <c:pt idx="0">
                  <c:v>intermediate CV risk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List3!$G$7:$I$7</c:f>
              <c:strCache>
                <c:ptCount val="3"/>
                <c:pt idx="0">
                  <c:v>*low</c:v>
                </c:pt>
                <c:pt idx="1">
                  <c:v>*intermediate</c:v>
                </c:pt>
                <c:pt idx="2">
                  <c:v>*high</c:v>
                </c:pt>
              </c:strCache>
            </c:strRef>
          </c:cat>
          <c:val>
            <c:numRef>
              <c:f>List3!$G$9:$I$9</c:f>
              <c:numCache>
                <c:formatCode>0</c:formatCode>
                <c:ptCount val="3"/>
                <c:pt idx="0">
                  <c:v>0</c:v>
                </c:pt>
                <c:pt idx="1">
                  <c:v>15.38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AD-4733-8488-990D5A11999C}"/>
            </c:ext>
          </c:extLst>
        </c:ser>
        <c:ser>
          <c:idx val="2"/>
          <c:order val="2"/>
          <c:tx>
            <c:strRef>
              <c:f>List3!$F$10</c:f>
              <c:strCache>
                <c:ptCount val="1"/>
                <c:pt idx="0">
                  <c:v>high CV risk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List3!$G$7:$I$7</c:f>
              <c:strCache>
                <c:ptCount val="3"/>
                <c:pt idx="0">
                  <c:v>*low</c:v>
                </c:pt>
                <c:pt idx="1">
                  <c:v>*intermediate</c:v>
                </c:pt>
                <c:pt idx="2">
                  <c:v>*high</c:v>
                </c:pt>
              </c:strCache>
            </c:strRef>
          </c:cat>
          <c:val>
            <c:numRef>
              <c:f>List3!$G$10:$I$10</c:f>
              <c:numCache>
                <c:formatCode>0</c:formatCode>
                <c:ptCount val="3"/>
                <c:pt idx="0">
                  <c:v>2.56</c:v>
                </c:pt>
                <c:pt idx="1">
                  <c:v>12.82</c:v>
                </c:pt>
                <c:pt idx="2">
                  <c:v>25.64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AD-4733-8488-990D5A1199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67538088"/>
        <c:axId val="567536776"/>
      </c:barChart>
      <c:catAx>
        <c:axId val="5675380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SCORE2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7536776"/>
        <c:crosses val="autoZero"/>
        <c:auto val="1"/>
        <c:lblAlgn val="ctr"/>
        <c:lblOffset val="100"/>
        <c:noMultiLvlLbl val="0"/>
      </c:catAx>
      <c:valAx>
        <c:axId val="567536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Proportion of IIM patients</a:t>
                </a:r>
                <a:r>
                  <a:rPr lang="cs-CZ" baseline="0"/>
                  <a:t> (%)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3.0555555555555555E-2"/>
              <c:y val="0.150601851851851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7538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600" b="1"/>
              <a:t>C</a:t>
            </a:r>
          </a:p>
        </c:rich>
      </c:tx>
      <c:layout>
        <c:manualLayout>
          <c:xMode val="edge"/>
          <c:yMode val="edge"/>
          <c:x val="1.740966754155732E-2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List3!$K$8</c:f>
              <c:strCache>
                <c:ptCount val="1"/>
                <c:pt idx="0">
                  <c:v>low CV risk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cat>
            <c:strRef>
              <c:f>List3!$L$7:$N$7</c:f>
              <c:strCache>
                <c:ptCount val="3"/>
                <c:pt idx="0">
                  <c:v>&lt;5%</c:v>
                </c:pt>
                <c:pt idx="1">
                  <c:v>5% - 10%</c:v>
                </c:pt>
                <c:pt idx="2">
                  <c:v>&gt; 10%</c:v>
                </c:pt>
              </c:strCache>
            </c:strRef>
          </c:cat>
          <c:val>
            <c:numRef>
              <c:f>List3!$L$8:$N$8</c:f>
              <c:numCache>
                <c:formatCode>0</c:formatCode>
                <c:ptCount val="3"/>
                <c:pt idx="0">
                  <c:v>51.28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2A-4D2C-8AF5-9359CFCA60C5}"/>
            </c:ext>
          </c:extLst>
        </c:ser>
        <c:ser>
          <c:idx val="1"/>
          <c:order val="1"/>
          <c:tx>
            <c:strRef>
              <c:f>List3!$K$9</c:f>
              <c:strCache>
                <c:ptCount val="1"/>
                <c:pt idx="0">
                  <c:v>intermediate CV risk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List3!$L$7:$N$7</c:f>
              <c:strCache>
                <c:ptCount val="3"/>
                <c:pt idx="0">
                  <c:v>&lt;5%</c:v>
                </c:pt>
                <c:pt idx="1">
                  <c:v>5% - 10%</c:v>
                </c:pt>
                <c:pt idx="2">
                  <c:v>&gt; 10%</c:v>
                </c:pt>
              </c:strCache>
            </c:strRef>
          </c:cat>
          <c:val>
            <c:numRef>
              <c:f>List3!$L$9:$N$9</c:f>
              <c:numCache>
                <c:formatCode>0</c:formatCode>
                <c:ptCount val="3"/>
                <c:pt idx="0">
                  <c:v>2.56</c:v>
                </c:pt>
                <c:pt idx="1">
                  <c:v>5.13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2A-4D2C-8AF5-9359CFCA60C5}"/>
            </c:ext>
          </c:extLst>
        </c:ser>
        <c:ser>
          <c:idx val="2"/>
          <c:order val="2"/>
          <c:tx>
            <c:strRef>
              <c:f>List3!$K$10</c:f>
              <c:strCache>
                <c:ptCount val="1"/>
                <c:pt idx="0">
                  <c:v>high CV risk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List3!$L$7:$N$7</c:f>
              <c:strCache>
                <c:ptCount val="3"/>
                <c:pt idx="0">
                  <c:v>&lt;5%</c:v>
                </c:pt>
                <c:pt idx="1">
                  <c:v>5% - 10%</c:v>
                </c:pt>
                <c:pt idx="2">
                  <c:v>&gt; 10%</c:v>
                </c:pt>
              </c:strCache>
            </c:strRef>
          </c:cat>
          <c:val>
            <c:numRef>
              <c:f>List3!$L$10:$N$10</c:f>
              <c:numCache>
                <c:formatCode>0</c:formatCode>
                <c:ptCount val="3"/>
                <c:pt idx="0">
                  <c:v>12.82</c:v>
                </c:pt>
                <c:pt idx="1">
                  <c:v>7.69</c:v>
                </c:pt>
                <c:pt idx="2">
                  <c:v>20.51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2A-4D2C-8AF5-9359CFCA60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71754432"/>
        <c:axId val="571753776"/>
      </c:barChart>
      <c:catAx>
        <c:axId val="571754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mSCORE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753776"/>
        <c:crosses val="autoZero"/>
        <c:auto val="1"/>
        <c:lblAlgn val="ctr"/>
        <c:lblOffset val="100"/>
        <c:noMultiLvlLbl val="0"/>
      </c:catAx>
      <c:valAx>
        <c:axId val="57175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Proportion of IIM patients (%)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143935185185185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75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600" b="1"/>
              <a:t>D</a:t>
            </a:r>
          </a:p>
        </c:rich>
      </c:tx>
      <c:layout>
        <c:manualLayout>
          <c:xMode val="edge"/>
          <c:yMode val="edge"/>
          <c:x val="1.740966754155732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List4!$A$8</c:f>
              <c:strCache>
                <c:ptCount val="1"/>
                <c:pt idx="0">
                  <c:v>low CV risk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cat>
            <c:strRef>
              <c:f>List4!$B$7:$D$7</c:f>
              <c:strCache>
                <c:ptCount val="3"/>
                <c:pt idx="0">
                  <c:v>&lt;5%</c:v>
                </c:pt>
                <c:pt idx="1">
                  <c:v>5% - 10%</c:v>
                </c:pt>
                <c:pt idx="2">
                  <c:v>&gt; 10%</c:v>
                </c:pt>
              </c:strCache>
            </c:strRef>
          </c:cat>
          <c:val>
            <c:numRef>
              <c:f>List4!$B$8:$D$8</c:f>
              <c:numCache>
                <c:formatCode>0.00</c:formatCode>
                <c:ptCount val="3"/>
                <c:pt idx="0" formatCode="0">
                  <c:v>56.41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AD-47E0-AD40-95F9CF37DF64}"/>
            </c:ext>
          </c:extLst>
        </c:ser>
        <c:ser>
          <c:idx val="1"/>
          <c:order val="1"/>
          <c:tx>
            <c:strRef>
              <c:f>List4!$A$9</c:f>
              <c:strCache>
                <c:ptCount val="1"/>
                <c:pt idx="0">
                  <c:v>intermediate CV risk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List4!$B$7:$D$7</c:f>
              <c:strCache>
                <c:ptCount val="3"/>
                <c:pt idx="0">
                  <c:v>&lt;5%</c:v>
                </c:pt>
                <c:pt idx="1">
                  <c:v>5% - 10%</c:v>
                </c:pt>
                <c:pt idx="2">
                  <c:v>&gt; 10%</c:v>
                </c:pt>
              </c:strCache>
            </c:strRef>
          </c:cat>
          <c:val>
            <c:numRef>
              <c:f>List4!$B$9:$D$9</c:f>
              <c:numCache>
                <c:formatCode>0.00</c:formatCode>
                <c:ptCount val="3"/>
                <c:pt idx="0">
                  <c:v>0</c:v>
                </c:pt>
                <c:pt idx="1">
                  <c:v>12.82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AD-47E0-AD40-95F9CF37DF64}"/>
            </c:ext>
          </c:extLst>
        </c:ser>
        <c:ser>
          <c:idx val="2"/>
          <c:order val="2"/>
          <c:tx>
            <c:strRef>
              <c:f>List4!$A$10</c:f>
              <c:strCache>
                <c:ptCount val="1"/>
                <c:pt idx="0">
                  <c:v>high CV risk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List4!$B$7:$D$7</c:f>
              <c:strCache>
                <c:ptCount val="3"/>
                <c:pt idx="0">
                  <c:v>&lt;5%</c:v>
                </c:pt>
                <c:pt idx="1">
                  <c:v>5% - 10%</c:v>
                </c:pt>
                <c:pt idx="2">
                  <c:v>&gt; 10%</c:v>
                </c:pt>
              </c:strCache>
            </c:strRef>
          </c:cat>
          <c:val>
            <c:numRef>
              <c:f>List4!$B$10:$D$10</c:f>
              <c:numCache>
                <c:formatCode>0.00</c:formatCode>
                <c:ptCount val="3"/>
                <c:pt idx="0">
                  <c:v>7.69</c:v>
                </c:pt>
                <c:pt idx="1">
                  <c:v>20.51</c:v>
                </c:pt>
                <c:pt idx="2">
                  <c:v>2.56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AD-47E0-AD40-95F9CF37DF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5080272"/>
        <c:axId val="485078304"/>
      </c:barChart>
      <c:catAx>
        <c:axId val="485080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SCORE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078304"/>
        <c:crosses val="autoZero"/>
        <c:auto val="1"/>
        <c:lblAlgn val="ctr"/>
        <c:lblOffset val="100"/>
        <c:noMultiLvlLbl val="0"/>
      </c:catAx>
      <c:valAx>
        <c:axId val="48507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Proportion of healthy controls (%)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1254166666666666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08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600" b="1"/>
              <a:t>E</a:t>
            </a:r>
          </a:p>
        </c:rich>
      </c:tx>
      <c:layout>
        <c:manualLayout>
          <c:xMode val="edge"/>
          <c:yMode val="edge"/>
          <c:x val="1.932633420822398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List4!$G$8</c:f>
              <c:strCache>
                <c:ptCount val="1"/>
                <c:pt idx="0">
                  <c:v>low CV risk</c:v>
                </c:pt>
              </c:strCache>
            </c:strRef>
          </c:tx>
          <c:spPr>
            <a:solidFill>
              <a:schemeClr val="bg2"/>
            </a:solidFill>
            <a:ln>
              <a:noFill/>
            </a:ln>
            <a:effectLst/>
          </c:spPr>
          <c:invertIfNegative val="0"/>
          <c:cat>
            <c:strRef>
              <c:f>List4!$H$7:$J$7</c:f>
              <c:strCache>
                <c:ptCount val="3"/>
                <c:pt idx="0">
                  <c:v>*low</c:v>
                </c:pt>
                <c:pt idx="1">
                  <c:v>*intermediate</c:v>
                </c:pt>
                <c:pt idx="2">
                  <c:v>*high</c:v>
                </c:pt>
              </c:strCache>
            </c:strRef>
          </c:cat>
          <c:val>
            <c:numRef>
              <c:f>List4!$H$8:$J$8</c:f>
              <c:numCache>
                <c:formatCode>General</c:formatCode>
                <c:ptCount val="3"/>
                <c:pt idx="0" formatCode="0">
                  <c:v>30.77</c:v>
                </c:pt>
                <c:pt idx="1">
                  <c:v>0</c:v>
                </c:pt>
                <c:pt idx="2" formatCode="0.0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6B-406B-9A71-E4A7F937D425}"/>
            </c:ext>
          </c:extLst>
        </c:ser>
        <c:ser>
          <c:idx val="1"/>
          <c:order val="1"/>
          <c:tx>
            <c:strRef>
              <c:f>List4!$G$9</c:f>
              <c:strCache>
                <c:ptCount val="1"/>
                <c:pt idx="0">
                  <c:v>intermediate CV risk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List4!$H$7:$J$7</c:f>
              <c:strCache>
                <c:ptCount val="3"/>
                <c:pt idx="0">
                  <c:v>*low</c:v>
                </c:pt>
                <c:pt idx="1">
                  <c:v>*intermediate</c:v>
                </c:pt>
                <c:pt idx="2">
                  <c:v>*high</c:v>
                </c:pt>
              </c:strCache>
            </c:strRef>
          </c:cat>
          <c:val>
            <c:numRef>
              <c:f>List4!$H$9:$J$9</c:f>
              <c:numCache>
                <c:formatCode>0.00</c:formatCode>
                <c:ptCount val="3"/>
                <c:pt idx="0">
                  <c:v>0</c:v>
                </c:pt>
                <c:pt idx="1">
                  <c:v>33.33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6B-406B-9A71-E4A7F937D425}"/>
            </c:ext>
          </c:extLst>
        </c:ser>
        <c:ser>
          <c:idx val="2"/>
          <c:order val="2"/>
          <c:tx>
            <c:strRef>
              <c:f>List4!$G$10</c:f>
              <c:strCache>
                <c:ptCount val="1"/>
                <c:pt idx="0">
                  <c:v>high CV risk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List4!$H$7:$J$7</c:f>
              <c:strCache>
                <c:ptCount val="3"/>
                <c:pt idx="0">
                  <c:v>*low</c:v>
                </c:pt>
                <c:pt idx="1">
                  <c:v>*intermediate</c:v>
                </c:pt>
                <c:pt idx="2">
                  <c:v>*high</c:v>
                </c:pt>
              </c:strCache>
            </c:strRef>
          </c:cat>
          <c:val>
            <c:numRef>
              <c:f>List4!$H$10:$J$10</c:f>
              <c:numCache>
                <c:formatCode>0.00</c:formatCode>
                <c:ptCount val="3"/>
                <c:pt idx="0">
                  <c:v>0</c:v>
                </c:pt>
                <c:pt idx="1">
                  <c:v>5.13</c:v>
                </c:pt>
                <c:pt idx="2">
                  <c:v>30.77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6B-406B-9A71-E4A7F937D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66366272"/>
        <c:axId val="666367256"/>
      </c:barChart>
      <c:catAx>
        <c:axId val="666366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900"/>
                  <a:t>SCORE2</a:t>
                </a:r>
              </a:p>
            </c:rich>
          </c:tx>
          <c:layout>
            <c:manualLayout>
              <c:xMode val="edge"/>
              <c:yMode val="edge"/>
              <c:x val="0.50348405859876555"/>
              <c:y val="0.789218093502557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6367256"/>
        <c:crosses val="autoZero"/>
        <c:auto val="1"/>
        <c:lblAlgn val="ctr"/>
        <c:lblOffset val="100"/>
        <c:noMultiLvlLbl val="0"/>
      </c:catAx>
      <c:valAx>
        <c:axId val="666367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Proportion of healthy controls (%)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130046296296296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6366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Tomčík Michal</dc:creator>
  <cp:keywords/>
  <dc:description/>
  <cp:lastModifiedBy>Tom Flint</cp:lastModifiedBy>
  <cp:revision>2</cp:revision>
  <dcterms:created xsi:type="dcterms:W3CDTF">2022-03-28T14:04:00Z</dcterms:created>
  <dcterms:modified xsi:type="dcterms:W3CDTF">2022-03-28T14:04:00Z</dcterms:modified>
</cp:coreProperties>
</file>