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549D3" w:rsidR="00654E8F" w:rsidP="0001436A" w:rsidRDefault="00654E8F" w14:paraId="4227EEE6" w14:textId="77777777">
      <w:pPr>
        <w:pStyle w:val="SupplementaryMaterial"/>
        <w:rPr>
          <w:b w:val="0"/>
        </w:rPr>
      </w:pPr>
      <w:r w:rsidRPr="001549D3">
        <w:t>Supplementary Material</w:t>
      </w:r>
    </w:p>
    <w:p w:rsidRPr="001549D3" w:rsidR="00994A3D" w:rsidP="00DC6684" w:rsidRDefault="12189A14" w14:paraId="63D7C2B0" w14:textId="77777777">
      <w:pPr>
        <w:pStyle w:val="Heading2"/>
        <w:numPr>
          <w:ilvl w:val="1"/>
          <w:numId w:val="0"/>
        </w:numPr>
        <w:ind w:left="567" w:hanging="567"/>
      </w:pPr>
      <w:bookmarkStart w:name="_Hlk93533705" w:id="0"/>
      <w:r>
        <w:t>Supplementary Figures</w:t>
      </w:r>
    </w:p>
    <w:bookmarkEnd w:id="0"/>
    <w:p w:rsidRPr="00DC6684" w:rsidR="00DC6684" w:rsidP="00DC6684" w:rsidRDefault="00DC6684" w14:paraId="47E47574" w14:textId="77777777">
      <w:pPr>
        <w:keepNext/>
        <w:rPr>
          <w:rFonts w:cs="Times New Roman"/>
          <w:b/>
          <w:szCs w:val="24"/>
          <w:lang w:val="en-AU"/>
        </w:rPr>
      </w:pPr>
      <w:r w:rsidRPr="00DC6684">
        <w:rPr>
          <w:rFonts w:cs="Times New Roman"/>
          <w:b/>
          <w:noProof/>
          <w:szCs w:val="24"/>
          <w:lang w:val="en-AU" w:eastAsia="en-AU"/>
        </w:rPr>
        <w:drawing>
          <wp:inline distT="0" distB="0" distL="0" distR="0" wp14:anchorId="5C235EA9" wp14:editId="53F3691D">
            <wp:extent cx="5711588" cy="1906781"/>
            <wp:effectExtent l="0" t="0" r="381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0659" cy="1913148"/>
                    </a:xfrm>
                    <a:prstGeom prst="rect">
                      <a:avLst/>
                    </a:prstGeom>
                    <a:noFill/>
                  </pic:spPr>
                </pic:pic>
              </a:graphicData>
            </a:graphic>
          </wp:inline>
        </w:drawing>
      </w:r>
    </w:p>
    <w:p w:rsidR="00994A3D" w:rsidP="12189A14" w:rsidRDefault="12189A14" w14:paraId="3C419443" w14:textId="33E8B311">
      <w:pPr>
        <w:keepNext/>
        <w:rPr>
          <w:rFonts w:cs="Times New Roman"/>
        </w:rPr>
      </w:pPr>
      <w:bookmarkStart w:name="_Hlk32311107" w:id="1"/>
      <w:r w:rsidRPr="12189A14">
        <w:rPr>
          <w:rStyle w:val="Heading2Char"/>
        </w:rPr>
        <w:t xml:space="preserve">Supplementary </w:t>
      </w:r>
      <w:r w:rsidRPr="12189A14">
        <w:rPr>
          <w:rStyle w:val="Heading2Char"/>
          <w:lang w:val="en-AU"/>
        </w:rPr>
        <w:t xml:space="preserve">Figure </w:t>
      </w:r>
      <w:r w:rsidRPr="12189A14">
        <w:rPr>
          <w:rStyle w:val="Heading2Char"/>
        </w:rPr>
        <w:t>1.</w:t>
      </w:r>
      <w:r w:rsidRPr="12189A14">
        <w:rPr>
          <w:rFonts w:cs="Times New Roman"/>
          <w:b/>
          <w:bCs/>
          <w:lang w:val="en-AU"/>
        </w:rPr>
        <w:t xml:space="preserve"> VviNPF2.1 with a C-terminus YFP tag localised to the plasma membrane in Arabidopsis mesophyll protoplasts.</w:t>
      </w:r>
      <w:r w:rsidRPr="12189A14">
        <w:rPr>
          <w:rFonts w:cs="Times New Roman"/>
          <w:lang w:val="en-AU"/>
        </w:rPr>
        <w:t xml:space="preserve"> Whole protoplasts were imaged 16 hours post transfection with vectors coding 35S:</w:t>
      </w:r>
      <w:r w:rsidRPr="12189A14">
        <w:rPr>
          <w:rFonts w:cs="Times New Roman"/>
          <w:i/>
          <w:iCs/>
          <w:lang w:val="en-AU"/>
        </w:rPr>
        <w:t>VviNPF2.1-EYFP</w:t>
      </w:r>
      <w:r w:rsidRPr="12189A14">
        <w:rPr>
          <w:rFonts w:cs="Times New Roman"/>
          <w:lang w:val="en-AU"/>
        </w:rPr>
        <w:t>. The left panel shows the YFP signal (green), the middle panel shows the chloroplasts (magenta), and the right panel is a bright field image of the protoplast. Scale bars = 10 μm.</w:t>
      </w:r>
      <w:bookmarkEnd w:id="1"/>
    </w:p>
    <w:p w:rsidR="00DC6684" w:rsidRDefault="00DC6684" w14:paraId="17BFF10B" w14:textId="59B59CD6">
      <w:pPr>
        <w:spacing w:before="0" w:after="200" w:line="276" w:lineRule="auto"/>
        <w:rPr>
          <w:rFonts w:cs="Times New Roman"/>
          <w:szCs w:val="24"/>
        </w:rPr>
      </w:pPr>
      <w:r>
        <w:rPr>
          <w:rFonts w:cs="Times New Roman"/>
          <w:szCs w:val="24"/>
        </w:rPr>
        <w:br w:type="page"/>
      </w:r>
    </w:p>
    <w:p w:rsidRPr="00DC6684" w:rsidR="00DC6684" w:rsidP="00DC6684" w:rsidRDefault="00C86550" w14:paraId="0CD459E5" w14:textId="44DE119D">
      <w:pPr>
        <w:keepNext/>
        <w:rPr>
          <w:rFonts w:cs="Times New Roman"/>
          <w:b/>
          <w:szCs w:val="24"/>
          <w:lang w:val="en-AU"/>
        </w:rPr>
      </w:pPr>
      <w:r w:rsidRPr="00C86550">
        <w:rPr>
          <w:rFonts w:cs="Times New Roman"/>
          <w:noProof/>
          <w:szCs w:val="24"/>
          <w:lang w:val="en-AU"/>
        </w:rPr>
        <w:object w:dxaOrig="6732" w:dyaOrig="11333" w14:anchorId="6DFFE3D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37.6pt;height:568.9pt;mso-width-percent:0;mso-height-percent:0;mso-width-percent:0;mso-height-percent:0" alt="" o:ole="" type="#_x0000_t75">
            <v:imagedata o:title="" r:id="rId10"/>
          </v:shape>
          <o:OLEObject Type="Embed" ProgID="Prism9.Document" ShapeID="_x0000_i1025" DrawAspect="Content" ObjectID="_1710219340" r:id="rId11"/>
        </w:object>
      </w:r>
    </w:p>
    <w:p w:rsidRPr="00DC6684" w:rsidR="00DC6684" w:rsidP="12189A14" w:rsidRDefault="12189A14" w14:paraId="49894EE1" w14:textId="61F0D68D">
      <w:pPr>
        <w:keepNext/>
        <w:rPr>
          <w:rFonts w:cs="Times New Roman"/>
          <w:lang w:val="en-AU"/>
        </w:rPr>
      </w:pPr>
      <w:r w:rsidRPr="12189A14">
        <w:rPr>
          <w:rFonts w:cs="Times New Roman"/>
          <w:b/>
          <w:bCs/>
          <w:lang w:val="en-AU"/>
        </w:rPr>
        <w:t xml:space="preserve">Supplementary Figure 2. </w:t>
      </w:r>
      <w:r w:rsidRPr="12189A14">
        <w:rPr>
          <w:rFonts w:cs="Times New Roman"/>
          <w:b/>
          <w:bCs/>
          <w:i/>
          <w:iCs/>
          <w:lang w:val="en-AU"/>
        </w:rPr>
        <w:t>VviNPF2.1</w:t>
      </w:r>
      <w:r w:rsidRPr="12189A14">
        <w:rPr>
          <w:rFonts w:cs="Times New Roman"/>
          <w:b/>
          <w:bCs/>
          <w:lang w:val="en-AU"/>
        </w:rPr>
        <w:t xml:space="preserve"> and </w:t>
      </w:r>
      <w:r w:rsidRPr="12189A14">
        <w:rPr>
          <w:rFonts w:cs="Times New Roman"/>
          <w:b/>
          <w:bCs/>
          <w:i/>
          <w:iCs/>
          <w:lang w:val="en-AU"/>
        </w:rPr>
        <w:t>VviNPF2.2</w:t>
      </w:r>
      <w:r w:rsidRPr="12189A14">
        <w:rPr>
          <w:rFonts w:cs="Times New Roman"/>
          <w:b/>
          <w:bCs/>
          <w:lang w:val="en-AU"/>
        </w:rPr>
        <w:t xml:space="preserve"> have similar expression patterns in the grapevine (</w:t>
      </w:r>
      <w:r w:rsidRPr="12189A14">
        <w:rPr>
          <w:rFonts w:cs="Times New Roman"/>
          <w:b/>
          <w:bCs/>
          <w:i/>
          <w:iCs/>
          <w:lang w:val="en-AU"/>
        </w:rPr>
        <w:t>V. vinifera</w:t>
      </w:r>
      <w:r w:rsidRPr="12189A14">
        <w:rPr>
          <w:rFonts w:cs="Times New Roman"/>
          <w:b/>
          <w:bCs/>
          <w:lang w:val="en-AU"/>
        </w:rPr>
        <w:t>, cv. Corvina).</w:t>
      </w:r>
      <w:r w:rsidRPr="12189A14">
        <w:rPr>
          <w:rFonts w:cs="Times New Roman"/>
          <w:lang w:val="en-AU"/>
        </w:rPr>
        <w:t xml:space="preserve"> Robust Multi-array Average</w:t>
      </w:r>
      <w:r w:rsidRPr="12189A14">
        <w:rPr>
          <w:rFonts w:cs="Times New Roman"/>
          <w:b/>
          <w:bCs/>
          <w:lang w:val="en-AU"/>
        </w:rPr>
        <w:t xml:space="preserve"> (</w:t>
      </w:r>
      <w:r w:rsidRPr="12189A14">
        <w:rPr>
          <w:rFonts w:cs="Times New Roman"/>
          <w:lang w:val="en-AU"/>
        </w:rPr>
        <w:t xml:space="preserve">RMA) normalized signal intensities from the microarray gene expression study by </w:t>
      </w:r>
      <w:r w:rsidRPr="12189A14" w:rsidR="00DC6684">
        <w:rPr>
          <w:rFonts w:cs="Times New Roman"/>
          <w:lang w:val="en-AU"/>
        </w:rPr>
        <w:fldChar w:fldCharType="begin"/>
      </w:r>
      <w:r w:rsidRPr="12189A14" w:rsidR="00DC6684">
        <w:rPr>
          <w:rFonts w:cs="Times New Roman"/>
          <w:lang w:val="en-AU"/>
        </w:rPr>
        <w:instrText xml:space="preserve"> ADDIN EN.CITE &lt;EndNote&gt;&lt;Cite AuthorYear="1"&gt;&lt;Author&gt;Fasoli&lt;/Author&gt;&lt;Year&gt;2012&lt;/Year&gt;&lt;RecNum&gt;304&lt;/RecNum&gt;&lt;DisplayText&gt;Fasoli et al. (2012)&lt;/DisplayText&gt;&lt;record&gt;&lt;rec-number&gt;304&lt;/rec-number&gt;&lt;foreign-keys&gt;&lt;key app="EN" db-id="5s9s9sr2pzwraaedpswvdxff005x5wtrz50z" timestamp="1484885262"&gt;304&lt;/key&gt;&lt;/foreign-keys&gt;&lt;ref-type name="Journal Article"&gt;17&lt;/ref-type&gt;&lt;contributors&gt;&lt;authors&gt;&lt;author&gt;Fasoli, Marianna&lt;/author&gt;&lt;author&gt;Dal Santo, Silvia&lt;/author&gt;&lt;author&gt;Zenoni, Sara&lt;/author&gt;&lt;author&gt;Tornielli, Giovanni Battista&lt;/author&gt;&lt;author&gt;Farina, Lorenzo&lt;/author&gt;&lt;author&gt;Zamboni, Anita&lt;/author&gt;&lt;author&gt;Porceddu, Andrea&lt;/author&gt;&lt;author&gt;Venturini, Luca&lt;/author&gt;&lt;author&gt;Bicego, Manuele&lt;/author&gt;&lt;author&gt;Murino, Vittorio&lt;/author&gt;&lt;author&gt;Ferrarini, Alberto&lt;/author&gt;&lt;author&gt;Delledonne, Massimo&lt;/author&gt;&lt;author&gt;Pezzotti, Mario&lt;/author&gt;&lt;/authors&gt;&lt;/contributors&gt;&lt;titles&gt;&lt;title&gt;The grapevine expression atlas reveals a deep transcriptome shift driving the entire plant into a maturation program&lt;/title&gt;&lt;secondary-title&gt;Plant Cell&lt;/secondary-title&gt;&lt;/titles&gt;&lt;periodical&gt;&lt;full-title&gt;Plant Cell&lt;/full-title&gt;&lt;abbr-1&gt;Plant Cell&lt;/abbr-1&gt;&lt;abbr-2&gt;Plant Cell&lt;/abbr-2&gt;&lt;/periodical&gt;&lt;pages&gt;3489-3505&lt;/pages&gt;&lt;volume&gt;24&lt;/volume&gt;&lt;number&gt;9&lt;/number&gt;&lt;dates&gt;&lt;year&gt;2012&lt;/year&gt;&lt;pub-dates&gt;&lt;date&gt;September 1, 2012&lt;/date&gt;&lt;/pub-dates&gt;&lt;/dates&gt;&lt;urls&gt;&lt;related-urls&gt;&lt;url&gt;http://www.plantcell.org/content/24/9/3489.abstract&lt;/url&gt;&lt;/related-urls&gt;&lt;/urls&gt;&lt;electronic-resource-num&gt;10.1105/tpc.112.100230&lt;/electronic-resource-num&gt;&lt;/record&gt;&lt;/Cite&gt;&lt;/EndNote&gt;</w:instrText>
      </w:r>
      <w:r w:rsidRPr="12189A14" w:rsidR="00DC6684">
        <w:rPr>
          <w:rFonts w:cs="Times New Roman"/>
          <w:lang w:val="en-AU"/>
        </w:rPr>
        <w:fldChar w:fldCharType="separate"/>
      </w:r>
      <w:r w:rsidRPr="12189A14">
        <w:rPr>
          <w:rFonts w:cs="Times New Roman"/>
          <w:lang w:val="en-AU"/>
        </w:rPr>
        <w:t>Fasoli et al. (2012)</w:t>
      </w:r>
      <w:r w:rsidRPr="12189A14" w:rsidR="00DC6684">
        <w:rPr>
          <w:rFonts w:cs="Times New Roman"/>
        </w:rPr>
        <w:fldChar w:fldCharType="end"/>
      </w:r>
      <w:r w:rsidRPr="12189A14">
        <w:rPr>
          <w:rFonts w:cs="Times New Roman"/>
          <w:lang w:val="en-AU"/>
        </w:rPr>
        <w:t>. Data presented in the heat map are the log2 mean transformed signal intensities of the 4 probes and 3 biological replicates.</w:t>
      </w:r>
      <w:r w:rsidRPr="12189A14">
        <w:rPr>
          <w:rFonts w:cs="Times New Roman"/>
          <w:lang w:val="en-GB"/>
        </w:rPr>
        <w:t xml:space="preserve"> Abbreviations: L, latent; W, winter; S, swell; B, burst; AB, after-burst; Y, young; WD, well </w:t>
      </w:r>
      <w:r w:rsidRPr="12189A14">
        <w:rPr>
          <w:rFonts w:cs="Times New Roman"/>
          <w:lang w:val="en-GB"/>
        </w:rPr>
        <w:lastRenderedPageBreak/>
        <w:t xml:space="preserve">developed; FB, flower begins; F, flowering; FS, fruit set; S, senescing; PFS, post-fruit set; V, veraison; MR, mid-ripening; R, ripening; G, green; Stem-W, woody stem. The number after each sample name indicates the E-L growth stage </w:t>
      </w:r>
      <w:r w:rsidRPr="12189A14" w:rsidR="00DC6684">
        <w:rPr>
          <w:rFonts w:cs="Times New Roman"/>
          <w:lang w:val="en-GB"/>
        </w:rPr>
        <w:fldChar w:fldCharType="begin"/>
      </w:r>
      <w:r w:rsidRPr="12189A14" w:rsidR="00DC6684">
        <w:rPr>
          <w:rFonts w:cs="Times New Roman"/>
          <w:lang w:val="en-GB"/>
        </w:rPr>
        <w:instrText xml:space="preserve"> ADDIN EN.CITE &lt;EndNote&gt;&lt;Cite&gt;&lt;Author&gt;Dry&lt;/Author&gt;&lt;Year&gt;2004&lt;/Year&gt;&lt;RecNum&gt;589&lt;/RecNum&gt;&lt;DisplayText&gt;(Dry et al., 2004)&lt;/DisplayText&gt;&lt;record&gt;&lt;rec-number&gt;589&lt;/rec-number&gt;&lt;foreign-keys&gt;&lt;key app="EN" db-id="5s9s9sr2pzwraaedpswvdxff005x5wtrz50z" timestamp="1638167082"&gt;589&lt;/key&gt;&lt;/foreign-keys&gt;&lt;ref-type name="Book"&gt;6&lt;/ref-type&gt;&lt;contributors&gt;&lt;authors&gt;&lt;author&gt;Dry, P. R.&lt;/author&gt;&lt;author&gt;Coombe, B. G.&lt;/author&gt;&lt;author&gt;Anderson, C. J.&lt;/author&gt;&lt;/authors&gt;&lt;/contributors&gt;&lt;titles&gt;&lt;title&gt;Viticulture volume 1 – resources&lt;/title&gt;&lt;/titles&gt;&lt;number&gt;Accessed from https://nla.gov.au/nla.cat-vn3295320&lt;/number&gt;&lt;edition&gt;2&lt;/edition&gt;&lt;keywords&gt;&lt;keyword&gt;Viticulture -- Australia.&lt;/keyword&gt;&lt;keyword&gt;Grapes -- Australia.&lt;/keyword&gt;&lt;/keywords&gt;&lt;dates&gt;&lt;year&gt;2004&lt;/year&gt;&lt;/dates&gt;&lt;pub-location&gt;Adelaide&lt;/pub-location&gt;&lt;publisher&gt;Winetitles&lt;/publisher&gt;&lt;isbn&gt;0975685023&amp;#xD;0975685007&lt;/isbn&gt;&lt;urls&gt;&lt;/urls&gt;&lt;/record&gt;&lt;/Cite&gt;&lt;/EndNote&gt;</w:instrText>
      </w:r>
      <w:r w:rsidRPr="12189A14" w:rsidR="00DC6684">
        <w:rPr>
          <w:rFonts w:cs="Times New Roman"/>
          <w:lang w:val="en-GB"/>
        </w:rPr>
        <w:fldChar w:fldCharType="separate"/>
      </w:r>
      <w:r w:rsidRPr="12189A14">
        <w:rPr>
          <w:rFonts w:cs="Times New Roman"/>
          <w:noProof/>
          <w:lang w:val="en-GB"/>
        </w:rPr>
        <w:t>(Dry et al., 2004)</w:t>
      </w:r>
      <w:r w:rsidRPr="12189A14" w:rsidR="00DC6684">
        <w:rPr>
          <w:rFonts w:cs="Times New Roman"/>
          <w:lang w:val="en-GB"/>
        </w:rPr>
        <w:fldChar w:fldCharType="end"/>
      </w:r>
      <w:r w:rsidRPr="12189A14">
        <w:rPr>
          <w:rFonts w:cs="Times New Roman"/>
          <w:lang w:val="en-GB"/>
        </w:rPr>
        <w:t xml:space="preserve"> of the sample.</w:t>
      </w:r>
      <w:r w:rsidRPr="12189A14">
        <w:rPr>
          <w:rFonts w:cs="Times New Roman"/>
          <w:lang w:val="en-AU"/>
        </w:rPr>
        <w:t xml:space="preserve"> </w:t>
      </w:r>
      <w:r w:rsidRPr="12189A14">
        <w:rPr>
          <w:rFonts w:cs="Times New Roman"/>
          <w:lang w:val="en-GB"/>
        </w:rPr>
        <w:t>The list</w:t>
      </w:r>
      <w:r w:rsidRPr="12189A14">
        <w:rPr>
          <w:rFonts w:cs="Times New Roman"/>
          <w:lang w:val="en-AU"/>
        </w:rPr>
        <w:t xml:space="preserve"> of samples can be found in </w:t>
      </w:r>
      <w:r w:rsidRPr="12189A14" w:rsidR="00DC6684">
        <w:rPr>
          <w:rFonts w:cs="Times New Roman"/>
          <w:lang w:val="en-AU"/>
        </w:rPr>
        <w:fldChar w:fldCharType="begin"/>
      </w:r>
      <w:r w:rsidRPr="12189A14" w:rsidR="00DC6684">
        <w:rPr>
          <w:rFonts w:cs="Times New Roman"/>
          <w:lang w:val="en-AU"/>
        </w:rPr>
        <w:instrText xml:space="preserve"> ADDIN EN.CITE &lt;EndNote&gt;&lt;Cite AuthorYear="1"&gt;&lt;Author&gt;Fasoli&lt;/Author&gt;&lt;Year&gt;2012&lt;/Year&gt;&lt;RecNum&gt;304&lt;/RecNum&gt;&lt;DisplayText&gt;Fasoli et al. (2012)&lt;/DisplayText&gt;&lt;record&gt;&lt;rec-number&gt;304&lt;/rec-number&gt;&lt;foreign-keys&gt;&lt;key app="EN" db-id="5s9s9sr2pzwraaedpswvdxff005x5wtrz50z" timestamp="1484885262"&gt;304&lt;/key&gt;&lt;/foreign-keys&gt;&lt;ref-type name="Journal Article"&gt;17&lt;/ref-type&gt;&lt;contributors&gt;&lt;authors&gt;&lt;author&gt;Fasoli, Marianna&lt;/author&gt;&lt;author&gt;Dal Santo, Silvia&lt;/author&gt;&lt;author&gt;Zenoni, Sara&lt;/author&gt;&lt;author&gt;Tornielli, Giovanni Battista&lt;/author&gt;&lt;author&gt;Farina, Lorenzo&lt;/author&gt;&lt;author&gt;Zamboni, Anita&lt;/author&gt;&lt;author&gt;Porceddu, Andrea&lt;/author&gt;&lt;author&gt;Venturini, Luca&lt;/author&gt;&lt;author&gt;Bicego, Manuele&lt;/author&gt;&lt;author&gt;Murino, Vittorio&lt;/author&gt;&lt;author&gt;Ferrarini, Alberto&lt;/author&gt;&lt;author&gt;Delledonne, Massimo&lt;/author&gt;&lt;author&gt;Pezzotti, Mario&lt;/author&gt;&lt;/authors&gt;&lt;/contributors&gt;&lt;titles&gt;&lt;title&gt;The grapevine expression atlas reveals a deep transcriptome shift driving the entire plant into a maturation program&lt;/title&gt;&lt;secondary-title&gt;Plant Cell&lt;/secondary-title&gt;&lt;/titles&gt;&lt;periodical&gt;&lt;full-title&gt;Plant Cell&lt;/full-title&gt;&lt;abbr-1&gt;Plant Cell&lt;/abbr-1&gt;&lt;abbr-2&gt;Plant Cell&lt;/abbr-2&gt;&lt;/periodical&gt;&lt;pages&gt;3489-3505&lt;/pages&gt;&lt;volume&gt;24&lt;/volume&gt;&lt;number&gt;9&lt;/number&gt;&lt;dates&gt;&lt;year&gt;2012&lt;/year&gt;&lt;pub-dates&gt;&lt;date&gt;September 1, 2012&lt;/date&gt;&lt;/pub-dates&gt;&lt;/dates&gt;&lt;urls&gt;&lt;related-urls&gt;&lt;url&gt;http://www.plantcell.org/content/24/9/3489.abstract&lt;/url&gt;&lt;/related-urls&gt;&lt;/urls&gt;&lt;electronic-resource-num&gt;10.1105/tpc.112.100230&lt;/electronic-resource-num&gt;&lt;/record&gt;&lt;/Cite&gt;&lt;/EndNote&gt;</w:instrText>
      </w:r>
      <w:r w:rsidRPr="12189A14" w:rsidR="00DC6684">
        <w:rPr>
          <w:rFonts w:cs="Times New Roman"/>
          <w:lang w:val="en-AU"/>
        </w:rPr>
        <w:fldChar w:fldCharType="separate"/>
      </w:r>
      <w:r w:rsidRPr="12189A14">
        <w:rPr>
          <w:rFonts w:cs="Times New Roman"/>
          <w:lang w:val="en-AU"/>
        </w:rPr>
        <w:t>Fasoli et al. (2012)</w:t>
      </w:r>
      <w:r w:rsidRPr="12189A14" w:rsidR="00DC6684">
        <w:rPr>
          <w:rFonts w:cs="Times New Roman"/>
        </w:rPr>
        <w:fldChar w:fldCharType="end"/>
      </w:r>
      <w:r w:rsidRPr="12189A14">
        <w:rPr>
          <w:rFonts w:cs="Times New Roman"/>
          <w:lang w:val="en-AU"/>
        </w:rPr>
        <w:t xml:space="preserve"> Supplemental Table 1. </w:t>
      </w:r>
    </w:p>
    <w:p w:rsidR="00DC6684" w:rsidRDefault="00DC6684" w14:paraId="274E9E1A" w14:textId="1AEF24BC">
      <w:pPr>
        <w:spacing w:before="0" w:after="200" w:line="276" w:lineRule="auto"/>
        <w:rPr>
          <w:rFonts w:cs="Times New Roman"/>
          <w:szCs w:val="24"/>
        </w:rPr>
      </w:pPr>
      <w:r>
        <w:rPr>
          <w:rFonts w:cs="Times New Roman"/>
          <w:szCs w:val="24"/>
        </w:rPr>
        <w:br w:type="page"/>
      </w:r>
    </w:p>
    <w:p w:rsidRPr="00DC6684" w:rsidR="00DC6684" w:rsidP="00DC6684" w:rsidRDefault="00DC6684" w14:paraId="0C4AB8C4" w14:textId="77777777">
      <w:pPr>
        <w:keepNext/>
        <w:rPr>
          <w:rFonts w:cs="Times New Roman"/>
          <w:szCs w:val="24"/>
          <w:lang w:val="en-AU"/>
        </w:rPr>
      </w:pPr>
      <w:r w:rsidRPr="00DC6684">
        <w:rPr>
          <w:rFonts w:cs="Times New Roman"/>
          <w:b/>
          <w:bCs/>
          <w:noProof/>
          <w:szCs w:val="24"/>
          <w:lang w:val="en-AU" w:eastAsia="en-AU"/>
        </w:rPr>
        <w:lastRenderedPageBreak/>
        <w:drawing>
          <wp:inline distT="0" distB="0" distL="0" distR="0" wp14:anchorId="525892F7" wp14:editId="2B0AF8A8">
            <wp:extent cx="6283811" cy="649605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910" cy="6499254"/>
                    </a:xfrm>
                    <a:prstGeom prst="rect">
                      <a:avLst/>
                    </a:prstGeom>
                    <a:noFill/>
                    <a:ln>
                      <a:noFill/>
                    </a:ln>
                  </pic:spPr>
                </pic:pic>
              </a:graphicData>
            </a:graphic>
          </wp:inline>
        </w:drawing>
      </w:r>
    </w:p>
    <w:p w:rsidRPr="00DC6684" w:rsidR="00DC6684" w:rsidP="12189A14" w:rsidRDefault="390F6605" w14:paraId="299EF638" w14:textId="6158548A">
      <w:pPr>
        <w:keepNext/>
        <w:rPr>
          <w:rFonts w:cs="Times New Roman"/>
          <w:lang w:val="en-AU"/>
        </w:rPr>
      </w:pPr>
      <w:bookmarkStart w:name="_Hlk78902546" w:id="2"/>
      <w:r w:rsidRPr="390F6605">
        <w:rPr>
          <w:rFonts w:cs="Times New Roman"/>
          <w:b/>
          <w:bCs/>
          <w:lang w:val="en-AU"/>
        </w:rPr>
        <w:t xml:space="preserve">Supplementary Figure 3. The anion transport activities of </w:t>
      </w:r>
      <w:r w:rsidRPr="390F6605">
        <w:rPr>
          <w:rFonts w:cs="Times New Roman"/>
          <w:b/>
          <w:bCs/>
          <w:i/>
          <w:iCs/>
          <w:lang w:val="en-AU"/>
        </w:rPr>
        <w:t>VviNPF2.1</w:t>
      </w:r>
      <w:r w:rsidRPr="390F6605">
        <w:rPr>
          <w:rFonts w:cs="Times New Roman"/>
          <w:b/>
          <w:bCs/>
          <w:lang w:val="en-AU"/>
        </w:rPr>
        <w:t xml:space="preserve">- and </w:t>
      </w:r>
      <w:r w:rsidRPr="390F6605">
        <w:rPr>
          <w:rFonts w:cs="Times New Roman"/>
          <w:b/>
          <w:bCs/>
          <w:i/>
          <w:iCs/>
          <w:lang w:val="en-AU"/>
        </w:rPr>
        <w:t>VviNPF2.2</w:t>
      </w:r>
      <w:r w:rsidRPr="390F6605">
        <w:rPr>
          <w:rFonts w:cs="Times New Roman"/>
          <w:b/>
          <w:bCs/>
          <w:lang w:val="en-AU"/>
        </w:rPr>
        <w:t xml:space="preserve">-expressing </w:t>
      </w:r>
      <w:r w:rsidRPr="390F6605">
        <w:rPr>
          <w:rFonts w:cs="Times New Roman"/>
          <w:b/>
          <w:bCs/>
          <w:i/>
          <w:iCs/>
          <w:lang w:val="en-AU"/>
        </w:rPr>
        <w:t xml:space="preserve">Xenopus </w:t>
      </w:r>
      <w:r w:rsidRPr="390F6605">
        <w:rPr>
          <w:rFonts w:cs="Times New Roman"/>
          <w:b/>
          <w:bCs/>
          <w:lang w:val="en-AU"/>
        </w:rPr>
        <w:t>oocytes.</w:t>
      </w:r>
      <w:r w:rsidRPr="390F6605">
        <w:rPr>
          <w:rFonts w:cs="Times New Roman"/>
          <w:lang w:val="en-AU"/>
        </w:rPr>
        <w:t xml:space="preserve"> </w:t>
      </w:r>
      <w:r w:rsidRPr="390F6605">
        <w:rPr>
          <w:rFonts w:cs="Times New Roman"/>
          <w:b/>
          <w:bCs/>
          <w:lang w:val="en-AU"/>
        </w:rPr>
        <w:t xml:space="preserve">(A) </w:t>
      </w:r>
      <w:r w:rsidRPr="390F6605">
        <w:rPr>
          <w:rFonts w:cs="Times New Roman"/>
          <w:lang w:val="en-AU"/>
        </w:rPr>
        <w:t xml:space="preserve">Oocyte isotope levels after incubation in influx solutions containing </w:t>
      </w:r>
      <w:r w:rsidRPr="390F6605">
        <w:rPr>
          <w:rFonts w:cs="Times New Roman"/>
          <w:vertAlign w:val="superscript"/>
          <w:lang w:val="en-AU"/>
        </w:rPr>
        <w:t>36</w:t>
      </w:r>
      <w:r w:rsidRPr="390F6605">
        <w:rPr>
          <w:rFonts w:cs="Times New Roman"/>
          <w:lang w:val="en-AU"/>
        </w:rPr>
        <w:t>Cl</w:t>
      </w:r>
      <w:r w:rsidRPr="390F6605">
        <w:rPr>
          <w:rFonts w:cs="Times New Roman"/>
          <w:vertAlign w:val="superscript"/>
          <w:lang w:val="en-AU"/>
        </w:rPr>
        <w:t>–</w:t>
      </w:r>
      <w:r w:rsidRPr="390F6605">
        <w:rPr>
          <w:rFonts w:cs="Times New Roman"/>
          <w:lang w:val="en-AU"/>
        </w:rPr>
        <w:t xml:space="preserve">. Asterisks indicate statistically significant differences between cRNA-injected oocytes and in the water-injected controls (mean ± SE, </w:t>
      </w:r>
      <w:r w:rsidRPr="390F6605">
        <w:rPr>
          <w:rFonts w:cs="Times New Roman"/>
          <w:i/>
          <w:iCs/>
          <w:lang w:val="en-AU"/>
        </w:rPr>
        <w:t>n</w:t>
      </w:r>
      <w:r w:rsidRPr="390F6605">
        <w:rPr>
          <w:rFonts w:cs="Times New Roman"/>
          <w:lang w:val="en-AU"/>
        </w:rPr>
        <w:t xml:space="preserve"> = 10-11 oocytes, P &lt; 0.01, Student’s t-test). </w:t>
      </w:r>
      <w:r w:rsidRPr="390F6605">
        <w:rPr>
          <w:rFonts w:cs="Times New Roman"/>
          <w:b/>
          <w:bCs/>
          <w:lang w:val="en-AU"/>
        </w:rPr>
        <w:t>(B)</w:t>
      </w:r>
      <w:r w:rsidRPr="390F6605">
        <w:rPr>
          <w:rFonts w:cs="Times New Roman"/>
          <w:lang w:val="en-AU"/>
        </w:rPr>
        <w:t xml:space="preserve"> Oocyte isotope levels after incubation in influx solutions containing </w:t>
      </w:r>
      <w:r w:rsidRPr="390F6605">
        <w:rPr>
          <w:rFonts w:cs="Times New Roman"/>
          <w:vertAlign w:val="superscript"/>
          <w:lang w:val="en-AU"/>
        </w:rPr>
        <w:t>15</w:t>
      </w:r>
      <w:r w:rsidRPr="390F6605">
        <w:rPr>
          <w:rFonts w:cs="Times New Roman"/>
          <w:lang w:val="en-AU"/>
        </w:rPr>
        <w:t>NO</w:t>
      </w:r>
      <w:r w:rsidRPr="390F6605">
        <w:rPr>
          <w:rFonts w:cs="Times New Roman"/>
          <w:vertAlign w:val="subscript"/>
          <w:lang w:val="en-AU"/>
        </w:rPr>
        <w:t>3</w:t>
      </w:r>
      <w:r w:rsidRPr="390F6605">
        <w:rPr>
          <w:rFonts w:cs="Times New Roman"/>
          <w:vertAlign w:val="superscript"/>
          <w:lang w:val="en-AU"/>
        </w:rPr>
        <w:t>–</w:t>
      </w:r>
      <w:r w:rsidRPr="390F6605">
        <w:rPr>
          <w:rFonts w:cs="Times New Roman"/>
          <w:lang w:val="en-AU"/>
        </w:rPr>
        <w:t xml:space="preserve">. Asterisks indicate statistically significant difference between cRNA-injected oocytes and in the water-injected controls (mean ± SE, </w:t>
      </w:r>
      <w:r w:rsidRPr="390F6605">
        <w:rPr>
          <w:rFonts w:cs="Times New Roman"/>
          <w:i/>
          <w:iCs/>
          <w:lang w:val="en-AU"/>
        </w:rPr>
        <w:t>n</w:t>
      </w:r>
      <w:r w:rsidRPr="390F6605">
        <w:rPr>
          <w:rFonts w:cs="Times New Roman"/>
          <w:lang w:val="en-AU"/>
        </w:rPr>
        <w:t xml:space="preserve"> = 4-5 samples, P &lt; 0.05, Student’s t-test). </w:t>
      </w:r>
      <w:r w:rsidRPr="390F6605">
        <w:rPr>
          <w:rFonts w:cs="Times New Roman"/>
          <w:b/>
          <w:bCs/>
          <w:lang w:val="en-AU"/>
        </w:rPr>
        <w:t>(C)</w:t>
      </w:r>
      <w:r w:rsidRPr="390F6605">
        <w:rPr>
          <w:rFonts w:cs="Times New Roman"/>
          <w:lang w:val="en-AU"/>
        </w:rPr>
        <w:t xml:space="preserve"> </w:t>
      </w:r>
      <w:r w:rsidRPr="390F6605">
        <w:rPr>
          <w:rFonts w:cs="Times New Roman"/>
          <w:vertAlign w:val="superscript"/>
          <w:lang w:val="en-AU"/>
        </w:rPr>
        <w:t>36</w:t>
      </w:r>
      <w:r w:rsidRPr="390F6605">
        <w:rPr>
          <w:rFonts w:cs="Times New Roman"/>
          <w:lang w:val="en-AU"/>
        </w:rPr>
        <w:t>Cl</w:t>
      </w:r>
      <w:r w:rsidRPr="390F6605">
        <w:rPr>
          <w:rFonts w:cs="Times New Roman"/>
          <w:vertAlign w:val="superscript"/>
          <w:lang w:val="en-AU"/>
        </w:rPr>
        <w:t>–</w:t>
      </w:r>
      <w:r w:rsidRPr="390F6605">
        <w:rPr>
          <w:rFonts w:cs="Times New Roman"/>
          <w:lang w:val="en-AU"/>
        </w:rPr>
        <w:t xml:space="preserve"> injected oocyte isotope levels before (T0) and after (T60) incubation in efflux buffer.</w:t>
      </w:r>
      <w:r w:rsidRPr="390F6605">
        <w:rPr>
          <w:rFonts w:cs="Times New Roman"/>
          <w:vertAlign w:val="superscript"/>
          <w:lang w:val="en-AU"/>
        </w:rPr>
        <w:t xml:space="preserve"> </w:t>
      </w:r>
      <w:r w:rsidRPr="390F6605">
        <w:rPr>
          <w:rFonts w:cs="Times New Roman"/>
          <w:lang w:val="en-AU"/>
        </w:rPr>
        <w:t xml:space="preserve">Asterisk indicates statistically significant differences between T0 and T60 (mean ± SE, </w:t>
      </w:r>
      <w:r w:rsidRPr="390F6605">
        <w:rPr>
          <w:rFonts w:cs="Times New Roman"/>
          <w:i/>
          <w:iCs/>
          <w:lang w:val="en-AU"/>
        </w:rPr>
        <w:t>n</w:t>
      </w:r>
      <w:r w:rsidRPr="390F6605">
        <w:rPr>
          <w:rFonts w:cs="Times New Roman"/>
          <w:lang w:val="en-AU"/>
        </w:rPr>
        <w:t xml:space="preserve"> = 4-5 oocytes, P &lt; 0.01, Student’s t-test). </w:t>
      </w:r>
      <w:r w:rsidRPr="390F6605">
        <w:rPr>
          <w:rFonts w:cs="Times New Roman"/>
          <w:b/>
          <w:bCs/>
          <w:lang w:val="en-AU"/>
        </w:rPr>
        <w:t>(D)</w:t>
      </w:r>
      <w:r w:rsidRPr="390F6605">
        <w:rPr>
          <w:rFonts w:cs="Times New Roman"/>
          <w:lang w:val="en-AU"/>
        </w:rPr>
        <w:t xml:space="preserve"> </w:t>
      </w:r>
      <w:r w:rsidRPr="390F6605">
        <w:rPr>
          <w:rFonts w:cs="Times New Roman"/>
          <w:vertAlign w:val="superscript"/>
          <w:lang w:val="en-AU"/>
        </w:rPr>
        <w:t>15</w:t>
      </w:r>
      <w:r w:rsidRPr="390F6605">
        <w:rPr>
          <w:rFonts w:cs="Times New Roman"/>
          <w:lang w:val="en-AU"/>
        </w:rPr>
        <w:t>NO</w:t>
      </w:r>
      <w:r w:rsidRPr="390F6605">
        <w:rPr>
          <w:rFonts w:cs="Times New Roman"/>
          <w:vertAlign w:val="subscript"/>
          <w:lang w:val="en-AU"/>
        </w:rPr>
        <w:t>3</w:t>
      </w:r>
      <w:r w:rsidRPr="390F6605">
        <w:rPr>
          <w:rFonts w:cs="Times New Roman"/>
          <w:vertAlign w:val="superscript"/>
          <w:lang w:val="en-AU"/>
        </w:rPr>
        <w:t>–</w:t>
      </w:r>
      <w:r w:rsidRPr="390F6605">
        <w:rPr>
          <w:rFonts w:cs="Times New Roman"/>
          <w:lang w:val="en-AU"/>
        </w:rPr>
        <w:t xml:space="preserve"> </w:t>
      </w:r>
      <w:r w:rsidRPr="390F6605">
        <w:rPr>
          <w:rFonts w:cs="Times New Roman"/>
          <w:lang w:val="en-AU"/>
        </w:rPr>
        <w:lastRenderedPageBreak/>
        <w:t>injected oocyte isotope levels after incubation in the efflux buffer for 60 min. Asterisk indicates statistically significant differences between the δ</w:t>
      </w:r>
      <w:r w:rsidRPr="390F6605">
        <w:rPr>
          <w:rFonts w:cs="Times New Roman"/>
          <w:vertAlign w:val="superscript"/>
          <w:lang w:val="en-AU"/>
        </w:rPr>
        <w:t>15</w:t>
      </w:r>
      <w:r w:rsidRPr="390F6605">
        <w:rPr>
          <w:rFonts w:cs="Times New Roman"/>
          <w:lang w:val="en-AU"/>
        </w:rPr>
        <w:t xml:space="preserve">N in the cRNA injected oocytes and in the water injected controls (mean ± SE, </w:t>
      </w:r>
      <w:r w:rsidRPr="390F6605">
        <w:rPr>
          <w:rFonts w:cs="Times New Roman"/>
          <w:i/>
          <w:iCs/>
          <w:lang w:val="en-AU"/>
        </w:rPr>
        <w:t>n</w:t>
      </w:r>
      <w:r w:rsidRPr="390F6605">
        <w:rPr>
          <w:rFonts w:cs="Times New Roman"/>
          <w:lang w:val="en-AU"/>
        </w:rPr>
        <w:t xml:space="preserve"> = 5-6 samples, P &lt; 0.01, Student’s t-test). </w:t>
      </w:r>
      <w:r w:rsidRPr="390F6605">
        <w:rPr>
          <w:rFonts w:cs="Times New Roman"/>
          <w:b/>
          <w:bCs/>
          <w:lang w:val="en-AU"/>
        </w:rPr>
        <w:t>(E)</w:t>
      </w:r>
      <w:r w:rsidRPr="390F6605">
        <w:rPr>
          <w:rFonts w:cs="Times New Roman"/>
          <w:lang w:val="en-AU"/>
        </w:rPr>
        <w:t xml:space="preserve"> The [Cl</w:t>
      </w:r>
      <w:r w:rsidRPr="390F6605">
        <w:rPr>
          <w:rFonts w:cs="Times New Roman"/>
          <w:vertAlign w:val="superscript"/>
          <w:lang w:val="en-AU"/>
        </w:rPr>
        <w:t>–</w:t>
      </w:r>
      <w:r w:rsidRPr="390F6605">
        <w:rPr>
          <w:rFonts w:cs="Times New Roman"/>
          <w:lang w:val="en-AU"/>
        </w:rPr>
        <w:t>] in oocytes 2 days post incubation in Ca</w:t>
      </w:r>
      <w:r w:rsidRPr="390F6605">
        <w:rPr>
          <w:rFonts w:cs="Times New Roman"/>
          <w:vertAlign w:val="superscript"/>
          <w:lang w:val="en-AU"/>
        </w:rPr>
        <w:t>2+</w:t>
      </w:r>
      <w:r w:rsidRPr="390F6605">
        <w:rPr>
          <w:rFonts w:cs="Times New Roman"/>
          <w:lang w:val="en-AU"/>
        </w:rPr>
        <w:t xml:space="preserve"> Ringer’s solution. Asterisk indicates statistically significant differences between the [Cl</w:t>
      </w:r>
      <w:r w:rsidRPr="390F6605">
        <w:rPr>
          <w:rFonts w:cs="Times New Roman"/>
          <w:vertAlign w:val="superscript"/>
          <w:lang w:val="en-AU"/>
        </w:rPr>
        <w:t>–</w:t>
      </w:r>
      <w:r w:rsidRPr="390F6605">
        <w:rPr>
          <w:rFonts w:cs="Times New Roman"/>
          <w:lang w:val="en-AU"/>
        </w:rPr>
        <w:t xml:space="preserve">] in the cRNA injected oocytes and in the water injected controls (mean ± SE, </w:t>
      </w:r>
      <w:r w:rsidRPr="390F6605">
        <w:rPr>
          <w:rFonts w:cs="Times New Roman"/>
          <w:i/>
          <w:iCs/>
          <w:lang w:val="en-AU"/>
        </w:rPr>
        <w:t>n</w:t>
      </w:r>
      <w:r w:rsidRPr="390F6605">
        <w:rPr>
          <w:rFonts w:cs="Times New Roman"/>
          <w:lang w:val="en-AU"/>
        </w:rPr>
        <w:t xml:space="preserve"> = 5 samples, P &lt; 0.05, Student’s t-test).</w:t>
      </w:r>
      <w:bookmarkEnd w:id="2"/>
    </w:p>
    <w:p w:rsidR="390F6605" w:rsidP="738F7B76" w:rsidRDefault="390F6605" w14:paraId="7DEAF628" w14:textId="1829B1AC">
      <w:pPr>
        <w:rPr>
          <w:rFonts w:eastAsia="Calibri"/>
          <w:szCs w:val="24"/>
        </w:rPr>
      </w:pPr>
      <w:r>
        <w:br w:type="page"/>
      </w:r>
      <w:r>
        <w:rPr>
          <w:noProof/>
        </w:rPr>
        <w:lastRenderedPageBreak/>
        <w:drawing>
          <wp:inline distT="0" distB="0" distL="0" distR="0" wp14:anchorId="37CE821D" wp14:editId="57A51D92">
            <wp:extent cx="3533775" cy="2731314"/>
            <wp:effectExtent l="0" t="0" r="0" b="0"/>
            <wp:docPr id="1595814422" name="Picture 15958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33775" cy="2731314"/>
                    </a:xfrm>
                    <a:prstGeom prst="rect">
                      <a:avLst/>
                    </a:prstGeom>
                  </pic:spPr>
                </pic:pic>
              </a:graphicData>
            </a:graphic>
          </wp:inline>
        </w:drawing>
      </w:r>
    </w:p>
    <w:p w:rsidR="390F6605" w:rsidP="02570C69" w:rsidRDefault="50958C62" w14:paraId="446CCA04" w14:textId="30E800D4">
      <w:pPr>
        <w:rPr>
          <w:rFonts w:cs="Times New Roman"/>
          <w:lang w:val="en-AU"/>
        </w:rPr>
      </w:pPr>
      <w:r w:rsidRPr="50958C62">
        <w:rPr>
          <w:rFonts w:eastAsia="Times New Roman" w:cs="Times New Roman"/>
          <w:b/>
          <w:bCs/>
          <w:color w:val="000000" w:themeColor="text1"/>
        </w:rPr>
        <w:t xml:space="preserve">Supplementary Figure 4. </w:t>
      </w:r>
      <w:r w:rsidRPr="50958C62">
        <w:rPr>
          <w:rFonts w:eastAsia="Times New Roman" w:cs="Times New Roman"/>
          <w:color w:val="000000" w:themeColor="text1"/>
        </w:rPr>
        <w:t>R</w:t>
      </w:r>
      <w:r w:rsidRPr="50958C62">
        <w:rPr>
          <w:rFonts w:eastAsia="Times New Roman" w:cs="Times New Roman"/>
          <w:color w:val="000000" w:themeColor="text1"/>
          <w:lang w:val="en-AU"/>
        </w:rPr>
        <w:t xml:space="preserve">elative </w:t>
      </w:r>
      <w:r w:rsidRPr="50958C62">
        <w:rPr>
          <w:rFonts w:eastAsia="Times New Roman" w:cs="Times New Roman"/>
          <w:i/>
          <w:iCs/>
          <w:color w:val="000000" w:themeColor="text1"/>
          <w:lang w:val="en-AU"/>
        </w:rPr>
        <w:t>VviNPF2.2</w:t>
      </w:r>
      <w:r w:rsidRPr="50958C62">
        <w:rPr>
          <w:rFonts w:eastAsia="Times New Roman" w:cs="Times New Roman"/>
          <w:color w:val="000000" w:themeColor="text1"/>
          <w:lang w:val="en-AU"/>
        </w:rPr>
        <w:t xml:space="preserve"> transcript abundance in Arabidopsis transgene expression lines tested by RT-qPCR is consistent with the semi qPCR results. </w:t>
      </w:r>
      <w:r w:rsidRPr="00445777">
        <w:rPr>
          <w:rFonts w:eastAsia="Times New Roman" w:cs="Times New Roman"/>
          <w:b/>
          <w:bCs/>
          <w:color w:val="000000" w:themeColor="text1"/>
          <w:lang w:val="en-AU"/>
        </w:rPr>
        <w:t>(A)</w:t>
      </w:r>
      <w:r w:rsidRPr="50958C62">
        <w:rPr>
          <w:rFonts w:eastAsia="Times New Roman" w:cs="Times New Roman"/>
          <w:color w:val="000000" w:themeColor="text1"/>
          <w:lang w:val="en-AU"/>
        </w:rPr>
        <w:t xml:space="preserve"> Normalised band intensities of </w:t>
      </w:r>
      <w:r w:rsidRPr="00445777">
        <w:rPr>
          <w:rFonts w:eastAsia="Times New Roman" w:cs="Times New Roman"/>
          <w:i/>
          <w:iCs/>
          <w:color w:val="000000" w:themeColor="text1"/>
          <w:lang w:val="en-AU"/>
        </w:rPr>
        <w:t>VviNPF2.2</w:t>
      </w:r>
      <w:r w:rsidRPr="50958C62">
        <w:rPr>
          <w:rFonts w:eastAsia="Times New Roman" w:cs="Times New Roman"/>
          <w:color w:val="000000" w:themeColor="text1"/>
          <w:lang w:val="en-AU"/>
        </w:rPr>
        <w:t xml:space="preserve"> in the semi qPCR gel image (Figure 5D). Intensity of each </w:t>
      </w:r>
      <w:r w:rsidRPr="00445777">
        <w:rPr>
          <w:rFonts w:eastAsia="Times New Roman" w:cs="Times New Roman"/>
          <w:i/>
          <w:iCs/>
          <w:color w:val="000000" w:themeColor="text1"/>
          <w:lang w:val="en-AU"/>
        </w:rPr>
        <w:t>VviNPF2.2</w:t>
      </w:r>
      <w:r w:rsidRPr="50958C62">
        <w:rPr>
          <w:rFonts w:eastAsia="Times New Roman" w:cs="Times New Roman"/>
          <w:color w:val="000000" w:themeColor="text1"/>
          <w:lang w:val="en-AU"/>
        </w:rPr>
        <w:t xml:space="preserve"> band is normalised to that of the corresponding </w:t>
      </w:r>
      <w:r w:rsidRPr="00445777">
        <w:rPr>
          <w:rFonts w:eastAsia="Times New Roman" w:cs="Times New Roman"/>
          <w:i/>
          <w:iCs/>
          <w:color w:val="000000" w:themeColor="text1"/>
          <w:lang w:val="en-AU"/>
        </w:rPr>
        <w:t>AtAct2</w:t>
      </w:r>
      <w:r w:rsidRPr="50958C62">
        <w:rPr>
          <w:rFonts w:eastAsia="Times New Roman" w:cs="Times New Roman"/>
          <w:color w:val="000000" w:themeColor="text1"/>
          <w:lang w:val="en-AU"/>
        </w:rPr>
        <w:t xml:space="preserve"> band. </w:t>
      </w:r>
      <w:r w:rsidRPr="50958C62">
        <w:rPr>
          <w:rFonts w:cs="Times New Roman"/>
          <w:lang w:val="en-AU"/>
        </w:rPr>
        <w:t>Asterisk indicates statistically significant difference</w:t>
      </w:r>
      <w:r w:rsidRPr="50958C62">
        <w:rPr>
          <w:rFonts w:eastAsia="Times New Roman" w:cs="Times New Roman"/>
          <w:color w:val="000000" w:themeColor="text1"/>
          <w:lang w:val="en-AU"/>
        </w:rPr>
        <w:t xml:space="preserve"> between line 3 and line 4 (P &lt; 0.05, Student’s t-test). Data are mean </w:t>
      </w:r>
      <w:r w:rsidRPr="50958C62">
        <w:rPr>
          <w:rFonts w:cs="Times New Roman"/>
          <w:lang w:val="en-AU"/>
        </w:rPr>
        <w:t>± SE (</w:t>
      </w:r>
      <w:r w:rsidRPr="50958C62">
        <w:rPr>
          <w:rFonts w:cs="Times New Roman"/>
          <w:i/>
          <w:iCs/>
          <w:lang w:val="en-AU"/>
        </w:rPr>
        <w:t>n</w:t>
      </w:r>
      <w:r w:rsidRPr="50958C62">
        <w:rPr>
          <w:rFonts w:cs="Times New Roman"/>
          <w:lang w:val="en-AU"/>
        </w:rPr>
        <w:t xml:space="preserve"> = 3).</w:t>
      </w:r>
      <w:r w:rsidRPr="50958C62">
        <w:rPr>
          <w:rFonts w:eastAsia="Times New Roman" w:cs="Times New Roman"/>
          <w:color w:val="000000" w:themeColor="text1"/>
          <w:lang w:val="en-AU"/>
        </w:rPr>
        <w:t xml:space="preserve"> </w:t>
      </w:r>
      <w:r w:rsidRPr="00445777">
        <w:rPr>
          <w:rFonts w:eastAsia="Times New Roman" w:cs="Times New Roman"/>
          <w:b/>
          <w:bCs/>
          <w:color w:val="000000" w:themeColor="text1"/>
          <w:lang w:val="en-AU"/>
        </w:rPr>
        <w:t>(B)</w:t>
      </w:r>
      <w:r w:rsidRPr="50958C62">
        <w:rPr>
          <w:rFonts w:eastAsia="Times New Roman" w:cs="Times New Roman"/>
          <w:color w:val="000000" w:themeColor="text1"/>
          <w:lang w:val="en-AU"/>
        </w:rPr>
        <w:t xml:space="preserve"> Result of a 40-cycle-RT-qPCR shows that roots of</w:t>
      </w:r>
      <w:r w:rsidRPr="50958C62">
        <w:rPr>
          <w:rFonts w:eastAsia="Times New Roman" w:cs="Times New Roman"/>
          <w:color w:val="000000" w:themeColor="text1"/>
          <w:lang w:val="en-GB"/>
        </w:rPr>
        <w:t xml:space="preserve"> </w:t>
      </w:r>
      <w:r w:rsidRPr="50958C62">
        <w:rPr>
          <w:rFonts w:eastAsia="Times New Roman" w:cs="Times New Roman"/>
          <w:color w:val="000000" w:themeColor="text1"/>
          <w:lang w:val="en-AU"/>
        </w:rPr>
        <w:t xml:space="preserve">Arabidopsis </w:t>
      </w:r>
      <w:r w:rsidRPr="50958C62">
        <w:rPr>
          <w:rFonts w:eastAsia="Times New Roman" w:cs="Times New Roman"/>
          <w:i/>
          <w:iCs/>
          <w:color w:val="000000" w:themeColor="text1"/>
          <w:lang w:val="en-AU"/>
        </w:rPr>
        <w:t>VviNPF2.2</w:t>
      </w:r>
      <w:r w:rsidRPr="50958C62">
        <w:rPr>
          <w:rFonts w:eastAsia="Times New Roman" w:cs="Times New Roman"/>
          <w:color w:val="000000" w:themeColor="text1"/>
          <w:lang w:val="en-AU"/>
        </w:rPr>
        <w:t xml:space="preserve"> expression line 4 have significantly</w:t>
      </w:r>
      <w:r w:rsidRPr="50958C62">
        <w:rPr>
          <w:rFonts w:eastAsia="Times New Roman" w:cs="Times New Roman"/>
          <w:color w:val="000000" w:themeColor="text1"/>
          <w:lang w:val="en-GB"/>
        </w:rPr>
        <w:t xml:space="preserve"> </w:t>
      </w:r>
      <w:r w:rsidRPr="50958C62">
        <w:rPr>
          <w:rFonts w:eastAsia="Times New Roman" w:cs="Times New Roman"/>
          <w:color w:val="000000" w:themeColor="text1"/>
          <w:lang w:val="en-AU"/>
        </w:rPr>
        <w:t xml:space="preserve">lower transgene expression levels than roots of line 3 (indicated by asterisk, P &lt; 0.0001, Student’s t-test), which is consistent with the results in Figure 5D. </w:t>
      </w:r>
      <w:r w:rsidRPr="50958C62">
        <w:rPr>
          <w:rFonts w:cs="Times New Roman"/>
          <w:lang w:val="en-AU"/>
        </w:rPr>
        <w:t>Data are mean ± SE (</w:t>
      </w:r>
      <w:r w:rsidRPr="50958C62">
        <w:rPr>
          <w:rFonts w:cs="Times New Roman"/>
          <w:i/>
          <w:iCs/>
          <w:lang w:val="en-AU"/>
        </w:rPr>
        <w:t>n</w:t>
      </w:r>
      <w:r w:rsidRPr="50958C62">
        <w:rPr>
          <w:rFonts w:cs="Times New Roman"/>
          <w:lang w:val="en-AU"/>
        </w:rPr>
        <w:t xml:space="preserve"> = 31 for line 3, </w:t>
      </w:r>
      <w:r w:rsidRPr="50958C62">
        <w:rPr>
          <w:rFonts w:cs="Times New Roman"/>
          <w:i/>
          <w:iCs/>
          <w:lang w:val="en-AU"/>
        </w:rPr>
        <w:t>n</w:t>
      </w:r>
      <w:r w:rsidRPr="50958C62">
        <w:rPr>
          <w:rFonts w:cs="Times New Roman"/>
          <w:lang w:val="en-AU"/>
        </w:rPr>
        <w:t xml:space="preserve"> = 14 for line 4), and presented relative to line 3 sample 1.</w:t>
      </w:r>
    </w:p>
    <w:p w:rsidR="00DC6684" w:rsidRDefault="00DC6684" w14:paraId="636112A4" w14:textId="14B00BC0">
      <w:pPr>
        <w:spacing w:before="0" w:after="200" w:line="276" w:lineRule="auto"/>
        <w:rPr>
          <w:rFonts w:cs="Times New Roman"/>
          <w:szCs w:val="24"/>
          <w:lang w:val="en-AU"/>
        </w:rPr>
      </w:pPr>
      <w:r w:rsidRPr="73EBE556">
        <w:rPr>
          <w:rFonts w:cs="Times New Roman"/>
          <w:lang w:val="en-AU"/>
        </w:rPr>
        <w:br w:type="page"/>
      </w:r>
    </w:p>
    <w:p w:rsidR="738F7B76" w:rsidP="6AC536E1" w:rsidRDefault="738F7B76" w14:paraId="67A707C5" w14:textId="199F2A00">
      <w:pPr>
        <w:pStyle w:val="Normal"/>
        <w:keepNext w:val="1"/>
        <w:rPr>
          <w:rFonts w:ascii="Times New Roman" w:hAnsi="Times New Roman" w:eastAsia="Calibri" w:cs=""/>
          <w:sz w:val="24"/>
          <w:szCs w:val="24"/>
        </w:rPr>
      </w:pPr>
      <w:r>
        <w:drawing>
          <wp:inline wp14:editId="73EBE556" wp14:anchorId="54344AE1">
            <wp:extent cx="3584703" cy="2824767"/>
            <wp:effectExtent l="0" t="0" r="0" b="0"/>
            <wp:docPr id="2134704067" name="" title=""/>
            <wp:cNvGraphicFramePr>
              <a:graphicFrameLocks noChangeAspect="1"/>
            </wp:cNvGraphicFramePr>
            <a:graphic>
              <a:graphicData uri="http://schemas.openxmlformats.org/drawingml/2006/picture">
                <pic:pic>
                  <pic:nvPicPr>
                    <pic:cNvPr id="0" name=""/>
                    <pic:cNvPicPr/>
                  </pic:nvPicPr>
                  <pic:blipFill>
                    <a:blip r:embed="R8820f7f3f31043ad">
                      <a:extLst>
                        <a:ext xmlns:a="http://schemas.openxmlformats.org/drawingml/2006/main" uri="{28A0092B-C50C-407E-A947-70E740481C1C}">
                          <a14:useLocalDpi val="0"/>
                        </a:ext>
                      </a:extLst>
                    </a:blip>
                    <a:srcRect l="0" t="0" r="2708" b="0"/>
                    <a:stretch>
                      <a:fillRect/>
                    </a:stretch>
                  </pic:blipFill>
                  <pic:spPr>
                    <a:xfrm>
                      <a:off x="0" y="0"/>
                      <a:ext cx="3584703" cy="2824767"/>
                    </a:xfrm>
                    <a:prstGeom prst="rect">
                      <a:avLst/>
                    </a:prstGeom>
                  </pic:spPr>
                </pic:pic>
              </a:graphicData>
            </a:graphic>
          </wp:inline>
        </w:drawing>
      </w:r>
    </w:p>
    <w:p w:rsidRPr="00DC6684" w:rsidR="00DC6684" w:rsidP="6AC536E1" w:rsidRDefault="390F6605" w14:paraId="5C63F910" w14:textId="4A61F1DC">
      <w:pPr>
        <w:pStyle w:val="Normal"/>
        <w:keepNext w:val="1"/>
        <w:rPr>
          <w:rFonts w:cs="Times New Roman"/>
          <w:lang w:val="en-AU"/>
        </w:rPr>
      </w:pPr>
      <w:bookmarkStart w:name="_Hlk78902563" w:id="3"/>
      <w:r w:rsidRPr="6AC536E1" w:rsidR="6AC536E1">
        <w:rPr>
          <w:rFonts w:cs="Times New Roman"/>
          <w:b w:val="1"/>
          <w:bCs w:val="1"/>
          <w:lang w:val="en-AU"/>
        </w:rPr>
        <w:t xml:space="preserve">Supplementary Figure 5. Expression levels of </w:t>
      </w:r>
      <w:r w:rsidRPr="6AC536E1" w:rsidR="6AC536E1">
        <w:rPr>
          <w:rFonts w:cs="Times New Roman"/>
          <w:b w:val="1"/>
          <w:bCs w:val="1"/>
          <w:i w:val="1"/>
          <w:iCs w:val="1"/>
          <w:lang w:val="en-AU"/>
        </w:rPr>
        <w:t>VviNPF2.1</w:t>
      </w:r>
      <w:r w:rsidRPr="6AC536E1" w:rsidR="6AC536E1">
        <w:rPr>
          <w:rFonts w:cs="Times New Roman"/>
          <w:b w:val="1"/>
          <w:bCs w:val="1"/>
          <w:lang w:val="en-AU"/>
        </w:rPr>
        <w:t xml:space="preserve"> and</w:t>
      </w:r>
      <w:r w:rsidRPr="6AC536E1" w:rsidR="6AC536E1">
        <w:rPr>
          <w:rFonts w:cs="Times New Roman"/>
          <w:b w:val="1"/>
          <w:bCs w:val="1"/>
          <w:i w:val="1"/>
          <w:iCs w:val="1"/>
          <w:lang w:val="en-AU"/>
        </w:rPr>
        <w:t xml:space="preserve"> VviNPF2.2</w:t>
      </w:r>
      <w:r w:rsidRPr="6AC536E1" w:rsidR="6AC536E1">
        <w:rPr>
          <w:rFonts w:cs="Times New Roman"/>
          <w:b w:val="1"/>
          <w:bCs w:val="1"/>
          <w:lang w:val="en-AU"/>
        </w:rPr>
        <w:t xml:space="preserve"> in roots of Cabernet Sauvignon are not affected by the application of 100 mM Cl</w:t>
      </w:r>
      <w:r w:rsidRPr="6AC536E1" w:rsidR="6AC536E1">
        <w:rPr>
          <w:rFonts w:cs="Times New Roman"/>
          <w:vertAlign w:val="superscript"/>
          <w:lang w:val="en-AU"/>
        </w:rPr>
        <w:t>–</w:t>
      </w:r>
      <w:r w:rsidRPr="6AC536E1" w:rsidR="6AC536E1">
        <w:rPr>
          <w:rFonts w:cs="Times New Roman"/>
          <w:b w:val="1"/>
          <w:bCs w:val="1"/>
          <w:lang w:val="en-AU"/>
        </w:rPr>
        <w:t>.</w:t>
      </w:r>
      <w:r w:rsidRPr="6AC536E1" w:rsidR="6AC536E1">
        <w:rPr>
          <w:rFonts w:cs="Times New Roman"/>
          <w:lang w:val="en-AU"/>
        </w:rPr>
        <w:t xml:space="preserve"> </w:t>
      </w:r>
      <w:r w:rsidRPr="6AC536E1" w:rsidR="6AC536E1">
        <w:rPr>
          <w:rFonts w:cs="Times New Roman"/>
          <w:b w:val="1"/>
          <w:bCs w:val="1"/>
          <w:lang w:val="en-AU"/>
        </w:rPr>
        <w:t>(A – B)</w:t>
      </w:r>
      <w:r w:rsidRPr="6AC536E1" w:rsidR="6AC536E1">
        <w:rPr>
          <w:rFonts w:cs="Times New Roman"/>
          <w:lang w:val="en-AU"/>
        </w:rPr>
        <w:t xml:space="preserve"> Relative (A) </w:t>
      </w:r>
      <w:r w:rsidRPr="6AC536E1" w:rsidR="6AC536E1">
        <w:rPr>
          <w:rFonts w:cs="Times New Roman"/>
          <w:i w:val="1"/>
          <w:iCs w:val="1"/>
          <w:lang w:val="en-AU"/>
        </w:rPr>
        <w:t>VviNPF2.1</w:t>
      </w:r>
      <w:r w:rsidRPr="6AC536E1" w:rsidR="6AC536E1">
        <w:rPr>
          <w:rFonts w:cs="Times New Roman"/>
          <w:lang w:val="en-AU"/>
        </w:rPr>
        <w:t xml:space="preserve"> and (B)</w:t>
      </w:r>
      <w:r w:rsidRPr="6AC536E1" w:rsidR="6AC536E1">
        <w:rPr>
          <w:rFonts w:cs="Times New Roman"/>
          <w:i w:val="1"/>
          <w:iCs w:val="1"/>
          <w:lang w:val="en-AU"/>
        </w:rPr>
        <w:t xml:space="preserve"> VviNPF2.2</w:t>
      </w:r>
      <w:r w:rsidRPr="6AC536E1" w:rsidR="6AC536E1">
        <w:rPr>
          <w:rFonts w:cs="Times New Roman"/>
          <w:lang w:val="en-AU"/>
        </w:rPr>
        <w:t xml:space="preserve"> transcript abundance in Cabernet Sauvignon roots in response to control (grey bars) or 100 mM Cl</w:t>
      </w:r>
      <w:r w:rsidRPr="6AC536E1" w:rsidR="6AC536E1">
        <w:rPr>
          <w:rFonts w:cs="Times New Roman"/>
          <w:vertAlign w:val="superscript"/>
          <w:lang w:val="en-AU"/>
        </w:rPr>
        <w:t>–</w:t>
      </w:r>
      <w:r w:rsidRPr="6AC536E1" w:rsidR="6AC536E1">
        <w:rPr>
          <w:rFonts w:cs="Times New Roman"/>
          <w:lang w:val="en-AU"/>
        </w:rPr>
        <w:t xml:space="preserve"> stress (white bars). No statistically significant differences between the control and treatment groups are found (p &lt; 0.05, Student’s t-test). Data are mean ± SE (</w:t>
      </w:r>
      <w:r w:rsidRPr="6AC536E1" w:rsidR="6AC536E1">
        <w:rPr>
          <w:rFonts w:cs="Times New Roman"/>
          <w:i w:val="1"/>
          <w:iCs w:val="1"/>
          <w:lang w:val="en-AU"/>
        </w:rPr>
        <w:t>n</w:t>
      </w:r>
      <w:r w:rsidRPr="6AC536E1" w:rsidR="6AC536E1">
        <w:rPr>
          <w:rFonts w:cs="Times New Roman"/>
          <w:lang w:val="en-AU"/>
        </w:rPr>
        <w:t xml:space="preserve"> = 3 replicates), and presented relative to Cabernet Sauvignon control sample 1.</w:t>
      </w:r>
      <w:bookmarkEnd w:id="3"/>
    </w:p>
    <w:p w:rsidR="005379CA" w:rsidRDefault="005379CA" w14:paraId="40BF8184" w14:textId="4ED34F91">
      <w:pPr>
        <w:spacing w:before="0" w:after="200" w:line="276" w:lineRule="auto"/>
        <w:rPr>
          <w:rFonts w:cs="Times New Roman"/>
          <w:szCs w:val="24"/>
          <w:lang w:val="en-AU"/>
        </w:rPr>
      </w:pPr>
      <w:r>
        <w:rPr>
          <w:rFonts w:cs="Times New Roman"/>
          <w:szCs w:val="24"/>
          <w:lang w:val="en-AU"/>
        </w:rPr>
        <w:br w:type="page"/>
      </w:r>
    </w:p>
    <w:p w:rsidR="12189A14" w:rsidP="72B2B38C" w:rsidRDefault="7EB9485A" w14:paraId="30FDFF70" w14:textId="2FACD5E2">
      <w:pPr>
        <w:pStyle w:val="Heading2"/>
        <w:numPr>
          <w:ilvl w:val="1"/>
          <w:numId w:val="0"/>
        </w:numPr>
        <w:spacing w:before="120" w:after="240"/>
        <w:ind w:left="567" w:hanging="567"/>
      </w:pPr>
      <w:r>
        <w:lastRenderedPageBreak/>
        <w:t>Supplementary Table</w:t>
      </w:r>
    </w:p>
    <w:p w:rsidR="72B2B38C" w:rsidP="7EB9485A" w:rsidRDefault="7EB9485A" w14:paraId="4843C49B" w14:textId="156285E4">
      <w:pPr>
        <w:jc w:val="both"/>
        <w:rPr>
          <w:rFonts w:eastAsia="Times New Roman" w:cs="Times New Roman"/>
          <w:color w:val="000000" w:themeColor="text1"/>
          <w:sz w:val="22"/>
        </w:rPr>
      </w:pPr>
      <w:r w:rsidRPr="7EB9485A">
        <w:rPr>
          <w:rFonts w:eastAsia="Times New Roman" w:cs="Times New Roman"/>
          <w:b/>
          <w:bCs/>
          <w:color w:val="000000" w:themeColor="text1"/>
          <w:sz w:val="22"/>
          <w:lang w:val="en-AU"/>
        </w:rPr>
        <w:t>Supplementary Table 1</w:t>
      </w:r>
      <w:r w:rsidRPr="7EB9485A">
        <w:rPr>
          <w:rFonts w:eastAsia="Times New Roman" w:cs="Times New Roman"/>
          <w:b/>
          <w:bCs/>
          <w:color w:val="000000" w:themeColor="text1"/>
          <w:sz w:val="22"/>
          <w:lang w:eastAsia="zh-CN"/>
        </w:rPr>
        <w:t xml:space="preserve">. </w:t>
      </w:r>
      <w:r w:rsidRPr="7EB9485A">
        <w:rPr>
          <w:rFonts w:eastAsia="Times New Roman" w:cs="Times New Roman"/>
          <w:b/>
          <w:bCs/>
          <w:i/>
          <w:iCs/>
          <w:color w:val="000000" w:themeColor="text1"/>
          <w:sz w:val="22"/>
          <w:lang w:val="en-AU"/>
        </w:rPr>
        <w:t>VviNPF2.1</w:t>
      </w:r>
      <w:r w:rsidRPr="7EB9485A">
        <w:rPr>
          <w:rFonts w:eastAsia="Times New Roman" w:cs="Times New Roman"/>
          <w:b/>
          <w:bCs/>
          <w:color w:val="000000" w:themeColor="text1"/>
          <w:sz w:val="22"/>
          <w:lang w:val="en-AU"/>
        </w:rPr>
        <w:t xml:space="preserve"> and </w:t>
      </w:r>
      <w:r w:rsidRPr="7EB9485A">
        <w:rPr>
          <w:rFonts w:eastAsia="Times New Roman" w:cs="Times New Roman"/>
          <w:b/>
          <w:bCs/>
          <w:i/>
          <w:iCs/>
          <w:color w:val="000000" w:themeColor="text1"/>
          <w:sz w:val="22"/>
          <w:lang w:val="en-AU"/>
        </w:rPr>
        <w:t>VviNPF2.2</w:t>
      </w:r>
      <w:r w:rsidRPr="7EB9485A">
        <w:rPr>
          <w:rFonts w:eastAsia="Times New Roman" w:cs="Times New Roman"/>
          <w:b/>
          <w:bCs/>
          <w:color w:val="000000" w:themeColor="text1"/>
          <w:sz w:val="22"/>
          <w:lang w:val="en-AU"/>
        </w:rPr>
        <w:t xml:space="preserve"> expression data in a microarray gene expression study (Henderson et al., 2014)</w:t>
      </w:r>
      <w:r w:rsidRPr="7EB9485A">
        <w:rPr>
          <w:rFonts w:eastAsia="Times New Roman" w:cs="Times New Roman"/>
          <w:b/>
          <w:bCs/>
          <w:color w:val="000000" w:themeColor="text1"/>
          <w:sz w:val="22"/>
          <w:lang w:eastAsia="zh-CN"/>
        </w:rPr>
        <w:t>.</w:t>
      </w:r>
      <w:r w:rsidRPr="7EB9485A">
        <w:rPr>
          <w:rFonts w:eastAsia="Times New Roman" w:cs="Times New Roman"/>
          <w:color w:val="000000" w:themeColor="text1"/>
          <w:sz w:val="22"/>
          <w:lang w:val="en-AU"/>
        </w:rPr>
        <w:t xml:space="preserve"> The study shows that </w:t>
      </w:r>
      <w:r w:rsidRPr="7EB9485A">
        <w:rPr>
          <w:rFonts w:eastAsia="Times New Roman" w:cs="Times New Roman"/>
          <w:i/>
          <w:iCs/>
          <w:color w:val="000000" w:themeColor="text1"/>
          <w:sz w:val="22"/>
          <w:lang w:val="en-AU"/>
        </w:rPr>
        <w:t>VviNPF2.1</w:t>
      </w:r>
      <w:r w:rsidRPr="7EB9485A">
        <w:rPr>
          <w:rFonts w:eastAsia="Times New Roman" w:cs="Times New Roman"/>
          <w:color w:val="000000" w:themeColor="text1"/>
          <w:sz w:val="22"/>
          <w:lang w:val="en-AU"/>
        </w:rPr>
        <w:t xml:space="preserve"> and </w:t>
      </w:r>
      <w:r w:rsidRPr="7EB9485A">
        <w:rPr>
          <w:rFonts w:eastAsia="Times New Roman" w:cs="Times New Roman"/>
          <w:i/>
          <w:iCs/>
          <w:color w:val="000000" w:themeColor="text1"/>
          <w:sz w:val="22"/>
          <w:lang w:val="en-AU"/>
        </w:rPr>
        <w:t>VviNPF2.2</w:t>
      </w:r>
      <w:r w:rsidRPr="7EB9485A">
        <w:rPr>
          <w:rFonts w:eastAsia="Times New Roman" w:cs="Times New Roman"/>
          <w:color w:val="000000" w:themeColor="text1"/>
          <w:sz w:val="22"/>
          <w:lang w:val="en-AU"/>
        </w:rPr>
        <w:t xml:space="preserve"> are both more highly expressed in the roots of 140 Ruggeri (140R) than in K51-40, however expression was not significantly affected by the 50 mM Cl</w:t>
      </w:r>
      <w:r w:rsidRPr="7EB9485A">
        <w:rPr>
          <w:rFonts w:ascii="Segoe UI" w:hAnsi="Segoe UI" w:eastAsia="Segoe UI" w:cs="Segoe UI"/>
          <w:color w:val="000000" w:themeColor="text1"/>
          <w:sz w:val="22"/>
          <w:vertAlign w:val="superscript"/>
          <w:lang w:val="en-AU"/>
        </w:rPr>
        <w:t>−</w:t>
      </w:r>
      <w:r w:rsidRPr="7EB9485A">
        <w:rPr>
          <w:rFonts w:eastAsia="Times New Roman" w:cs="Times New Roman"/>
          <w:color w:val="000000" w:themeColor="text1"/>
          <w:sz w:val="22"/>
          <w:lang w:val="en-AU"/>
        </w:rPr>
        <w:t xml:space="preserve"> treatment in 140 Ruggeri (140R), Cabernet Sauvignon (CS) and K51-40 roots. Ctrl = control.</w:t>
      </w:r>
    </w:p>
    <w:tbl>
      <w:tblPr>
        <w:tblW w:w="9570" w:type="dxa"/>
        <w:tblLayout w:type="fixed"/>
        <w:tblLook w:val="0600" w:firstRow="0" w:lastRow="0" w:firstColumn="0" w:lastColumn="0" w:noHBand="1" w:noVBand="1"/>
      </w:tblPr>
      <w:tblGrid>
        <w:gridCol w:w="960"/>
        <w:gridCol w:w="795"/>
        <w:gridCol w:w="795"/>
        <w:gridCol w:w="600"/>
        <w:gridCol w:w="810"/>
        <w:gridCol w:w="765"/>
        <w:gridCol w:w="570"/>
        <w:gridCol w:w="765"/>
        <w:gridCol w:w="780"/>
        <w:gridCol w:w="630"/>
        <w:gridCol w:w="720"/>
        <w:gridCol w:w="795"/>
        <w:gridCol w:w="585"/>
      </w:tblGrid>
      <w:tr w:rsidR="7EB9485A" w:rsidTr="00445777" w14:paraId="6C59AC5D" w14:textId="77777777">
        <w:trPr>
          <w:trHeight w:val="285"/>
        </w:trPr>
        <w:tc>
          <w:tcPr>
            <w:tcW w:w="960" w:type="dxa"/>
            <w:vMerge w:val="restart"/>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565D5C06" w14:textId="2A901F76">
            <w:pPr>
              <w:spacing w:before="0" w:after="0" w:line="480" w:lineRule="auto"/>
              <w:jc w:val="center"/>
              <w:rPr>
                <w:rFonts w:ascii="Calibri" w:hAnsi="Calibri" w:eastAsia="Calibri" w:cs="Calibri"/>
                <w:color w:val="000000" w:themeColor="text1"/>
                <w:sz w:val="14"/>
                <w:szCs w:val="14"/>
              </w:rPr>
            </w:pPr>
            <w:r w:rsidRPr="00445777">
              <w:rPr>
                <w:rFonts w:ascii="Calibri" w:hAnsi="Calibri" w:eastAsia="Calibri" w:cs="Calibri"/>
                <w:b/>
                <w:bCs/>
                <w:color w:val="000000" w:themeColor="text1"/>
                <w:sz w:val="14"/>
                <w:szCs w:val="14"/>
                <w:lang w:val="en-AU"/>
              </w:rPr>
              <w:t>Genes</w:t>
            </w:r>
          </w:p>
        </w:tc>
        <w:tc>
          <w:tcPr>
            <w:tcW w:w="2190" w:type="dxa"/>
            <w:gridSpan w:val="3"/>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7969A47F" w14:textId="2CDEE991">
            <w:pPr>
              <w:spacing w:before="0" w:after="0"/>
              <w:jc w:val="center"/>
              <w:rPr>
                <w:rFonts w:ascii="Calibri" w:hAnsi="Calibri" w:eastAsia="Calibri" w:cs="Calibri"/>
                <w:sz w:val="14"/>
                <w:szCs w:val="14"/>
              </w:rPr>
            </w:pPr>
            <w:r w:rsidRPr="00445777">
              <w:rPr>
                <w:rFonts w:ascii="Calibri" w:hAnsi="Calibri" w:eastAsia="Calibri" w:cs="Calibri"/>
                <w:b/>
                <w:bCs/>
                <w:sz w:val="14"/>
                <w:szCs w:val="14"/>
                <w:lang w:val="en-AU"/>
              </w:rPr>
              <w:t>Control vs. Control</w:t>
            </w:r>
          </w:p>
        </w:tc>
        <w:tc>
          <w:tcPr>
            <w:tcW w:w="6420" w:type="dxa"/>
            <w:gridSpan w:val="9"/>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3C33A578" w14:textId="2A46A241">
            <w:pPr>
              <w:spacing w:before="0" w:after="0"/>
              <w:jc w:val="center"/>
              <w:rPr>
                <w:rFonts w:ascii="Calibri" w:hAnsi="Calibri" w:eastAsia="Calibri" w:cs="Calibri"/>
                <w:color w:val="000000" w:themeColor="text1"/>
                <w:sz w:val="14"/>
                <w:szCs w:val="14"/>
              </w:rPr>
            </w:pPr>
            <w:r w:rsidRPr="00445777">
              <w:rPr>
                <w:rFonts w:ascii="Calibri" w:hAnsi="Calibri" w:eastAsia="Calibri" w:cs="Calibri"/>
                <w:b/>
                <w:bCs/>
                <w:color w:val="000000" w:themeColor="text1"/>
                <w:sz w:val="14"/>
                <w:szCs w:val="14"/>
                <w:lang w:val="en-AU"/>
              </w:rPr>
              <w:t>50 mM Cl vs. Control</w:t>
            </w:r>
          </w:p>
        </w:tc>
      </w:tr>
      <w:tr w:rsidR="7EB9485A" w:rsidTr="00445777" w14:paraId="0671470A" w14:textId="77777777">
        <w:trPr>
          <w:trHeight w:val="270"/>
        </w:trPr>
        <w:tc>
          <w:tcPr>
            <w:tcW w:w="960" w:type="dxa"/>
            <w:vMerge/>
            <w:vAlign w:val="center"/>
          </w:tcPr>
          <w:p w:rsidR="008531A1" w:rsidRDefault="008531A1" w14:paraId="06D2B0A4" w14:textId="77777777"/>
        </w:tc>
        <w:tc>
          <w:tcPr>
            <w:tcW w:w="2190" w:type="dxa"/>
            <w:gridSpan w:val="3"/>
            <w:tcBorders>
              <w:top w:val="single" w:color="auto" w:sz="6" w:space="0"/>
              <w:left w:val="single" w:color="auto" w:sz="6" w:space="0"/>
              <w:bottom w:val="single" w:color="auto" w:sz="6" w:space="0"/>
              <w:right w:val="single" w:color="auto" w:sz="6" w:space="0"/>
            </w:tcBorders>
            <w:shd w:val="clear" w:color="auto" w:fill="A5A5A5"/>
            <w:vAlign w:val="center"/>
          </w:tcPr>
          <w:p w:rsidRPr="00445777" w:rsidR="7EB9485A" w:rsidP="00445777" w:rsidRDefault="6DF364EA" w14:paraId="11BE540D" w14:textId="09E59F97">
            <w:pPr>
              <w:spacing w:before="0" w:after="0"/>
              <w:jc w:val="center"/>
              <w:rPr>
                <w:rFonts w:ascii="Calibri" w:hAnsi="Calibri" w:eastAsia="Calibri" w:cs="Calibri"/>
                <w:color w:val="3F3F76"/>
                <w:sz w:val="14"/>
                <w:szCs w:val="14"/>
              </w:rPr>
            </w:pPr>
            <w:r w:rsidRPr="00445777">
              <w:rPr>
                <w:rFonts w:ascii="Calibri" w:hAnsi="Calibri" w:eastAsia="Calibri" w:cs="Calibri"/>
                <w:color w:val="3F3F76"/>
                <w:sz w:val="14"/>
                <w:szCs w:val="14"/>
                <w:lang w:val="en-AU"/>
              </w:rPr>
              <w:t>140R - K51-40</w:t>
            </w:r>
          </w:p>
        </w:tc>
        <w:tc>
          <w:tcPr>
            <w:tcW w:w="2145" w:type="dxa"/>
            <w:gridSpan w:val="3"/>
            <w:tcBorders>
              <w:top w:val="single" w:color="auto" w:sz="6" w:space="0"/>
              <w:left w:val="single" w:color="auto" w:sz="6" w:space="0"/>
              <w:bottom w:val="single" w:color="auto" w:sz="6" w:space="0"/>
              <w:right w:val="single" w:color="auto" w:sz="6" w:space="0"/>
            </w:tcBorders>
            <w:shd w:val="clear" w:color="auto" w:fill="E7E6E6"/>
            <w:vAlign w:val="center"/>
          </w:tcPr>
          <w:p w:rsidRPr="00445777" w:rsidR="7EB9485A" w:rsidP="00445777" w:rsidRDefault="6DF364EA" w14:paraId="46868E51" w14:textId="17F9F22B">
            <w:pPr>
              <w:spacing w:before="0" w:after="0"/>
              <w:jc w:val="center"/>
              <w:rPr>
                <w:rFonts w:ascii="Calibri" w:hAnsi="Calibri" w:eastAsia="Calibri" w:cs="Calibri"/>
                <w:sz w:val="14"/>
                <w:szCs w:val="14"/>
              </w:rPr>
            </w:pPr>
            <w:r w:rsidRPr="00445777">
              <w:rPr>
                <w:rFonts w:ascii="Calibri" w:hAnsi="Calibri" w:eastAsia="Calibri" w:cs="Calibri"/>
                <w:sz w:val="14"/>
                <w:szCs w:val="14"/>
                <w:lang w:val="en-AU"/>
              </w:rPr>
              <w:t>140R 50Cl - 140R Ctrl</w:t>
            </w:r>
          </w:p>
        </w:tc>
        <w:tc>
          <w:tcPr>
            <w:tcW w:w="2175" w:type="dxa"/>
            <w:gridSpan w:val="3"/>
            <w:tcBorders>
              <w:top w:val="single" w:color="auto" w:sz="6" w:space="0"/>
              <w:left w:val="single" w:color="auto" w:sz="6" w:space="0"/>
              <w:bottom w:val="single" w:color="auto" w:sz="6" w:space="0"/>
              <w:right w:val="single" w:color="auto" w:sz="6" w:space="0"/>
            </w:tcBorders>
            <w:shd w:val="clear" w:color="auto" w:fill="D0CECE"/>
            <w:vAlign w:val="center"/>
          </w:tcPr>
          <w:p w:rsidRPr="00445777" w:rsidR="7EB9485A" w:rsidP="00445777" w:rsidRDefault="6DF364EA" w14:paraId="22EACB48" w14:textId="7CB9993B">
            <w:pPr>
              <w:spacing w:before="0" w:after="0"/>
              <w:jc w:val="center"/>
              <w:rPr>
                <w:rFonts w:ascii="Calibri" w:hAnsi="Calibri" w:eastAsia="Calibri" w:cs="Calibri"/>
                <w:sz w:val="14"/>
                <w:szCs w:val="14"/>
              </w:rPr>
            </w:pPr>
            <w:r w:rsidRPr="00445777">
              <w:rPr>
                <w:rFonts w:ascii="Calibri" w:hAnsi="Calibri" w:eastAsia="Calibri" w:cs="Calibri"/>
                <w:sz w:val="14"/>
                <w:szCs w:val="14"/>
                <w:lang w:val="en-AU"/>
              </w:rPr>
              <w:t>CS 50Cl - CS Ctrl</w:t>
            </w:r>
          </w:p>
        </w:tc>
        <w:tc>
          <w:tcPr>
            <w:tcW w:w="2100" w:type="dxa"/>
            <w:gridSpan w:val="3"/>
            <w:tcBorders>
              <w:top w:val="single" w:color="auto" w:sz="6" w:space="0"/>
              <w:left w:val="single" w:color="auto" w:sz="6" w:space="0"/>
              <w:bottom w:val="single" w:color="auto" w:sz="6" w:space="0"/>
              <w:right w:val="single" w:color="auto" w:sz="6" w:space="0"/>
            </w:tcBorders>
            <w:shd w:val="clear" w:color="auto" w:fill="AEAAAA"/>
            <w:vAlign w:val="center"/>
          </w:tcPr>
          <w:p w:rsidRPr="00445777" w:rsidR="7EB9485A" w:rsidP="00445777" w:rsidRDefault="6DF364EA" w14:paraId="1EDCD397" w14:textId="7440428F">
            <w:pPr>
              <w:spacing w:before="0" w:after="0"/>
              <w:jc w:val="center"/>
              <w:rPr>
                <w:rFonts w:ascii="Calibri" w:hAnsi="Calibri" w:eastAsia="Calibri" w:cs="Calibri"/>
                <w:sz w:val="14"/>
                <w:szCs w:val="14"/>
              </w:rPr>
            </w:pPr>
            <w:r w:rsidRPr="00445777">
              <w:rPr>
                <w:rFonts w:ascii="Calibri" w:hAnsi="Calibri" w:eastAsia="Calibri" w:cs="Calibri"/>
                <w:sz w:val="14"/>
                <w:szCs w:val="14"/>
                <w:lang w:val="en-AU"/>
              </w:rPr>
              <w:t>K51-40 50Cl - K51-40 Ctrl</w:t>
            </w:r>
          </w:p>
        </w:tc>
      </w:tr>
      <w:tr w:rsidR="00445777" w:rsidTr="00445777" w14:paraId="194DD3E7" w14:textId="77777777">
        <w:trPr>
          <w:trHeight w:val="285"/>
        </w:trPr>
        <w:tc>
          <w:tcPr>
            <w:tcW w:w="960" w:type="dxa"/>
            <w:vMerge/>
            <w:vAlign w:val="center"/>
          </w:tcPr>
          <w:p w:rsidR="008531A1" w:rsidRDefault="008531A1" w14:paraId="503DDE6F" w14:textId="77777777"/>
        </w:tc>
        <w:tc>
          <w:tcPr>
            <w:tcW w:w="795" w:type="dxa"/>
            <w:tcBorders>
              <w:top w:val="single" w:color="auto" w:sz="6" w:space="0"/>
              <w:left w:val="single" w:color="auto" w:sz="6" w:space="0"/>
              <w:bottom w:val="single" w:color="auto" w:sz="6" w:space="0"/>
              <w:right w:val="single" w:color="auto" w:sz="6" w:space="0"/>
            </w:tcBorders>
            <w:shd w:val="clear" w:color="auto" w:fill="A5A5A5"/>
            <w:vAlign w:val="center"/>
          </w:tcPr>
          <w:p w:rsidRPr="00445777" w:rsidR="7EB9485A" w:rsidP="00445777" w:rsidRDefault="6DF364EA" w14:paraId="1D83ADC9" w14:textId="64C98D13">
            <w:pPr>
              <w:spacing w:before="0" w:after="0"/>
              <w:rPr>
                <w:rFonts w:ascii="Calibri" w:hAnsi="Calibri" w:eastAsia="Calibri" w:cs="Calibri"/>
                <w:color w:val="3F3F76"/>
                <w:sz w:val="14"/>
                <w:szCs w:val="14"/>
              </w:rPr>
            </w:pPr>
            <w:r w:rsidRPr="00445777">
              <w:rPr>
                <w:rFonts w:ascii="Calibri" w:hAnsi="Calibri" w:eastAsia="Calibri" w:cs="Calibri"/>
                <w:color w:val="3F3F76"/>
                <w:sz w:val="14"/>
                <w:szCs w:val="14"/>
                <w:lang w:val="en-AU"/>
              </w:rPr>
              <w:t>log(2) FC</w:t>
            </w:r>
          </w:p>
        </w:tc>
        <w:tc>
          <w:tcPr>
            <w:tcW w:w="795" w:type="dxa"/>
            <w:tcBorders>
              <w:top w:val="single" w:color="auto" w:sz="6" w:space="0"/>
              <w:left w:val="single" w:color="auto" w:sz="6" w:space="0"/>
              <w:bottom w:val="single" w:color="auto" w:sz="6" w:space="0"/>
              <w:right w:val="single" w:color="auto" w:sz="6" w:space="0"/>
            </w:tcBorders>
            <w:shd w:val="clear" w:color="auto" w:fill="A5A5A5"/>
            <w:vAlign w:val="center"/>
          </w:tcPr>
          <w:p w:rsidRPr="00445777" w:rsidR="7EB9485A" w:rsidP="00445777" w:rsidRDefault="6DF364EA" w14:paraId="144DBA38" w14:textId="73766D2E">
            <w:pPr>
              <w:spacing w:before="0" w:after="0"/>
              <w:rPr>
                <w:rFonts w:ascii="Calibri" w:hAnsi="Calibri" w:eastAsia="Calibri" w:cs="Calibri"/>
                <w:color w:val="3F3F76"/>
                <w:sz w:val="14"/>
                <w:szCs w:val="14"/>
              </w:rPr>
            </w:pPr>
            <w:r w:rsidRPr="00445777">
              <w:rPr>
                <w:rFonts w:ascii="Calibri" w:hAnsi="Calibri" w:eastAsia="Calibri" w:cs="Calibri"/>
                <w:color w:val="3F3F76"/>
                <w:sz w:val="14"/>
                <w:szCs w:val="14"/>
                <w:lang w:val="en-AU"/>
              </w:rPr>
              <w:t>adj.P.Val</w:t>
            </w:r>
          </w:p>
        </w:tc>
        <w:tc>
          <w:tcPr>
            <w:tcW w:w="600" w:type="dxa"/>
            <w:tcBorders>
              <w:top w:val="single" w:color="auto" w:sz="6" w:space="0"/>
              <w:left w:val="single" w:color="auto" w:sz="6" w:space="0"/>
              <w:bottom w:val="single" w:color="auto" w:sz="6" w:space="0"/>
              <w:right w:val="single" w:color="auto" w:sz="6" w:space="0"/>
            </w:tcBorders>
            <w:shd w:val="clear" w:color="auto" w:fill="A5A5A5"/>
            <w:vAlign w:val="center"/>
          </w:tcPr>
          <w:p w:rsidRPr="00445777" w:rsidR="7EB9485A" w:rsidP="00445777" w:rsidRDefault="6DF364EA" w14:paraId="1F630A3A" w14:textId="51F0F6E1">
            <w:pPr>
              <w:spacing w:before="0" w:after="0"/>
              <w:rPr>
                <w:rFonts w:ascii="Calibri" w:hAnsi="Calibri" w:eastAsia="Calibri" w:cs="Calibri"/>
                <w:color w:val="3F3F76"/>
                <w:sz w:val="14"/>
                <w:szCs w:val="14"/>
              </w:rPr>
            </w:pPr>
            <w:r w:rsidRPr="00445777">
              <w:rPr>
                <w:rFonts w:ascii="Calibri" w:hAnsi="Calibri" w:eastAsia="Calibri" w:cs="Calibri"/>
                <w:color w:val="3F3F76"/>
                <w:sz w:val="14"/>
                <w:szCs w:val="14"/>
                <w:lang w:val="en-AU"/>
              </w:rPr>
              <w:t>B</w:t>
            </w:r>
          </w:p>
        </w:tc>
        <w:tc>
          <w:tcPr>
            <w:tcW w:w="810" w:type="dxa"/>
            <w:tcBorders>
              <w:top w:val="single" w:color="auto" w:sz="6" w:space="0"/>
              <w:left w:val="single" w:color="auto" w:sz="6" w:space="0"/>
              <w:bottom w:val="single" w:color="auto" w:sz="6" w:space="0"/>
              <w:right w:val="single" w:color="auto" w:sz="6" w:space="0"/>
            </w:tcBorders>
            <w:shd w:val="clear" w:color="auto" w:fill="E7E6E6"/>
            <w:vAlign w:val="center"/>
          </w:tcPr>
          <w:p w:rsidRPr="00445777" w:rsidR="7EB9485A" w:rsidP="00445777" w:rsidRDefault="6DF364EA" w14:paraId="1695196C" w14:textId="37C7ED18">
            <w:pPr>
              <w:spacing w:before="0" w:after="0"/>
              <w:rPr>
                <w:rFonts w:ascii="Calibri" w:hAnsi="Calibri" w:eastAsia="Calibri" w:cs="Calibri"/>
                <w:sz w:val="14"/>
                <w:szCs w:val="14"/>
              </w:rPr>
            </w:pPr>
            <w:r w:rsidRPr="00445777">
              <w:rPr>
                <w:rFonts w:ascii="Calibri" w:hAnsi="Calibri" w:eastAsia="Calibri" w:cs="Calibri"/>
                <w:sz w:val="14"/>
                <w:szCs w:val="14"/>
                <w:lang w:val="en-AU"/>
              </w:rPr>
              <w:t>log(2) FC</w:t>
            </w:r>
          </w:p>
        </w:tc>
        <w:tc>
          <w:tcPr>
            <w:tcW w:w="765" w:type="dxa"/>
            <w:tcBorders>
              <w:top w:val="single" w:color="auto" w:sz="6" w:space="0"/>
              <w:left w:val="single" w:color="auto" w:sz="6" w:space="0"/>
              <w:bottom w:val="single" w:color="auto" w:sz="6" w:space="0"/>
              <w:right w:val="single" w:color="auto" w:sz="6" w:space="0"/>
            </w:tcBorders>
            <w:shd w:val="clear" w:color="auto" w:fill="E7E6E6"/>
            <w:vAlign w:val="center"/>
          </w:tcPr>
          <w:p w:rsidRPr="00445777" w:rsidR="7EB9485A" w:rsidP="00445777" w:rsidRDefault="6DF364EA" w14:paraId="350869DB" w14:textId="0FBF9F1D">
            <w:pPr>
              <w:spacing w:before="0" w:after="0"/>
              <w:rPr>
                <w:rFonts w:ascii="Calibri" w:hAnsi="Calibri" w:eastAsia="Calibri" w:cs="Calibri"/>
                <w:sz w:val="14"/>
                <w:szCs w:val="14"/>
              </w:rPr>
            </w:pPr>
            <w:r w:rsidRPr="00445777">
              <w:rPr>
                <w:rFonts w:ascii="Calibri" w:hAnsi="Calibri" w:eastAsia="Calibri" w:cs="Calibri"/>
                <w:sz w:val="14"/>
                <w:szCs w:val="14"/>
                <w:lang w:val="en-AU"/>
              </w:rPr>
              <w:t>adj.P.Val</w:t>
            </w:r>
          </w:p>
        </w:tc>
        <w:tc>
          <w:tcPr>
            <w:tcW w:w="570" w:type="dxa"/>
            <w:tcBorders>
              <w:top w:val="single" w:color="auto" w:sz="6" w:space="0"/>
              <w:left w:val="single" w:color="auto" w:sz="6" w:space="0"/>
              <w:bottom w:val="single" w:color="auto" w:sz="6" w:space="0"/>
              <w:right w:val="single" w:color="auto" w:sz="6" w:space="0"/>
            </w:tcBorders>
            <w:shd w:val="clear" w:color="auto" w:fill="E7E6E6"/>
            <w:vAlign w:val="center"/>
          </w:tcPr>
          <w:p w:rsidRPr="00445777" w:rsidR="7EB9485A" w:rsidP="00445777" w:rsidRDefault="6DF364EA" w14:paraId="20939ED4" w14:textId="2DE101A6">
            <w:pPr>
              <w:spacing w:before="0" w:after="0"/>
              <w:rPr>
                <w:rFonts w:ascii="Calibri" w:hAnsi="Calibri" w:eastAsia="Calibri" w:cs="Calibri"/>
                <w:sz w:val="14"/>
                <w:szCs w:val="14"/>
              </w:rPr>
            </w:pPr>
            <w:r w:rsidRPr="00445777">
              <w:rPr>
                <w:rFonts w:ascii="Calibri" w:hAnsi="Calibri" w:eastAsia="Calibri" w:cs="Calibri"/>
                <w:sz w:val="14"/>
                <w:szCs w:val="14"/>
                <w:lang w:val="en-AU"/>
              </w:rPr>
              <w:t>B</w:t>
            </w:r>
          </w:p>
        </w:tc>
        <w:tc>
          <w:tcPr>
            <w:tcW w:w="765" w:type="dxa"/>
            <w:tcBorders>
              <w:top w:val="single" w:color="auto" w:sz="6" w:space="0"/>
              <w:left w:val="single" w:color="auto" w:sz="6" w:space="0"/>
              <w:bottom w:val="single" w:color="auto" w:sz="6" w:space="0"/>
              <w:right w:val="single" w:color="auto" w:sz="6" w:space="0"/>
            </w:tcBorders>
            <w:shd w:val="clear" w:color="auto" w:fill="D0CECE"/>
            <w:vAlign w:val="center"/>
          </w:tcPr>
          <w:p w:rsidRPr="00445777" w:rsidR="7EB9485A" w:rsidP="00445777" w:rsidRDefault="6DF364EA" w14:paraId="47540A07" w14:textId="671F23DB">
            <w:pPr>
              <w:spacing w:before="0" w:after="0"/>
              <w:rPr>
                <w:rFonts w:ascii="Calibri" w:hAnsi="Calibri" w:eastAsia="Calibri" w:cs="Calibri"/>
                <w:sz w:val="14"/>
                <w:szCs w:val="14"/>
              </w:rPr>
            </w:pPr>
            <w:r w:rsidRPr="00445777">
              <w:rPr>
                <w:rFonts w:ascii="Calibri" w:hAnsi="Calibri" w:eastAsia="Calibri" w:cs="Calibri"/>
                <w:sz w:val="14"/>
                <w:szCs w:val="14"/>
                <w:lang w:val="en-AU"/>
              </w:rPr>
              <w:t>log(2) FC</w:t>
            </w:r>
          </w:p>
        </w:tc>
        <w:tc>
          <w:tcPr>
            <w:tcW w:w="780" w:type="dxa"/>
            <w:tcBorders>
              <w:top w:val="single" w:color="auto" w:sz="6" w:space="0"/>
              <w:left w:val="single" w:color="auto" w:sz="6" w:space="0"/>
              <w:bottom w:val="single" w:color="auto" w:sz="6" w:space="0"/>
              <w:right w:val="single" w:color="auto" w:sz="6" w:space="0"/>
            </w:tcBorders>
            <w:shd w:val="clear" w:color="auto" w:fill="D0CECE"/>
            <w:vAlign w:val="center"/>
          </w:tcPr>
          <w:p w:rsidRPr="00445777" w:rsidR="7EB9485A" w:rsidP="00445777" w:rsidRDefault="6DF364EA" w14:paraId="77F81C07" w14:textId="1F98E910">
            <w:pPr>
              <w:spacing w:before="0" w:after="0"/>
              <w:rPr>
                <w:rFonts w:ascii="Calibri" w:hAnsi="Calibri" w:eastAsia="Calibri" w:cs="Calibri"/>
                <w:sz w:val="14"/>
                <w:szCs w:val="14"/>
              </w:rPr>
            </w:pPr>
            <w:r w:rsidRPr="00445777">
              <w:rPr>
                <w:rFonts w:ascii="Calibri" w:hAnsi="Calibri" w:eastAsia="Calibri" w:cs="Calibri"/>
                <w:sz w:val="14"/>
                <w:szCs w:val="14"/>
                <w:lang w:val="en-AU"/>
              </w:rPr>
              <w:t>adj.P.Val</w:t>
            </w:r>
          </w:p>
        </w:tc>
        <w:tc>
          <w:tcPr>
            <w:tcW w:w="630" w:type="dxa"/>
            <w:tcBorders>
              <w:top w:val="single" w:color="auto" w:sz="6" w:space="0"/>
              <w:left w:val="single" w:color="auto" w:sz="6" w:space="0"/>
              <w:bottom w:val="single" w:color="auto" w:sz="6" w:space="0"/>
              <w:right w:val="single" w:color="auto" w:sz="6" w:space="0"/>
            </w:tcBorders>
            <w:shd w:val="clear" w:color="auto" w:fill="D0CECE"/>
            <w:vAlign w:val="center"/>
          </w:tcPr>
          <w:p w:rsidRPr="00445777" w:rsidR="7EB9485A" w:rsidP="00445777" w:rsidRDefault="6DF364EA" w14:paraId="50F9507F" w14:textId="593D3E06">
            <w:pPr>
              <w:spacing w:before="0" w:after="0"/>
              <w:rPr>
                <w:rFonts w:ascii="Calibri" w:hAnsi="Calibri" w:eastAsia="Calibri" w:cs="Calibri"/>
                <w:sz w:val="14"/>
                <w:szCs w:val="14"/>
              </w:rPr>
            </w:pPr>
            <w:r w:rsidRPr="00445777">
              <w:rPr>
                <w:rFonts w:ascii="Calibri" w:hAnsi="Calibri" w:eastAsia="Calibri" w:cs="Calibri"/>
                <w:sz w:val="14"/>
                <w:szCs w:val="14"/>
                <w:lang w:val="en-AU"/>
              </w:rPr>
              <w:t>B</w:t>
            </w:r>
          </w:p>
        </w:tc>
        <w:tc>
          <w:tcPr>
            <w:tcW w:w="720" w:type="dxa"/>
            <w:tcBorders>
              <w:top w:val="single" w:color="auto" w:sz="6" w:space="0"/>
              <w:left w:val="single" w:color="auto" w:sz="6" w:space="0"/>
              <w:bottom w:val="single" w:color="auto" w:sz="6" w:space="0"/>
              <w:right w:val="single" w:color="auto" w:sz="6" w:space="0"/>
            </w:tcBorders>
            <w:shd w:val="clear" w:color="auto" w:fill="AEAAAA"/>
            <w:vAlign w:val="center"/>
          </w:tcPr>
          <w:p w:rsidRPr="00445777" w:rsidR="7EB9485A" w:rsidP="00445777" w:rsidRDefault="6DF364EA" w14:paraId="2C6F1717" w14:textId="061553A5">
            <w:pPr>
              <w:spacing w:before="0" w:after="0"/>
              <w:rPr>
                <w:rFonts w:ascii="Calibri" w:hAnsi="Calibri" w:eastAsia="Calibri" w:cs="Calibri"/>
                <w:sz w:val="14"/>
                <w:szCs w:val="14"/>
              </w:rPr>
            </w:pPr>
            <w:r w:rsidRPr="00445777">
              <w:rPr>
                <w:rFonts w:ascii="Calibri" w:hAnsi="Calibri" w:eastAsia="Calibri" w:cs="Calibri"/>
                <w:sz w:val="14"/>
                <w:szCs w:val="14"/>
                <w:lang w:val="en-AU"/>
              </w:rPr>
              <w:t>log(2) FC</w:t>
            </w:r>
          </w:p>
        </w:tc>
        <w:tc>
          <w:tcPr>
            <w:tcW w:w="795" w:type="dxa"/>
            <w:tcBorders>
              <w:top w:val="single" w:color="auto" w:sz="6" w:space="0"/>
              <w:left w:val="single" w:color="auto" w:sz="6" w:space="0"/>
              <w:bottom w:val="single" w:color="auto" w:sz="6" w:space="0"/>
              <w:right w:val="single" w:color="auto" w:sz="6" w:space="0"/>
            </w:tcBorders>
            <w:shd w:val="clear" w:color="auto" w:fill="AEAAAA"/>
            <w:vAlign w:val="center"/>
          </w:tcPr>
          <w:p w:rsidRPr="00445777" w:rsidR="7EB9485A" w:rsidP="00445777" w:rsidRDefault="6DF364EA" w14:paraId="5C45A13E" w14:textId="08089701">
            <w:pPr>
              <w:spacing w:before="0" w:after="0"/>
              <w:rPr>
                <w:rFonts w:ascii="Calibri" w:hAnsi="Calibri" w:eastAsia="Calibri" w:cs="Calibri"/>
                <w:sz w:val="14"/>
                <w:szCs w:val="14"/>
              </w:rPr>
            </w:pPr>
            <w:r w:rsidRPr="00445777">
              <w:rPr>
                <w:rFonts w:ascii="Calibri" w:hAnsi="Calibri" w:eastAsia="Calibri" w:cs="Calibri"/>
                <w:sz w:val="14"/>
                <w:szCs w:val="14"/>
                <w:lang w:val="en-AU"/>
              </w:rPr>
              <w:t>adj.P.Val</w:t>
            </w:r>
          </w:p>
        </w:tc>
        <w:tc>
          <w:tcPr>
            <w:tcW w:w="585" w:type="dxa"/>
            <w:tcBorders>
              <w:top w:val="single" w:color="auto" w:sz="6" w:space="0"/>
              <w:left w:val="single" w:color="auto" w:sz="6" w:space="0"/>
              <w:bottom w:val="single" w:color="auto" w:sz="6" w:space="0"/>
              <w:right w:val="single" w:color="auto" w:sz="6" w:space="0"/>
            </w:tcBorders>
            <w:shd w:val="clear" w:color="auto" w:fill="AEAAAA"/>
            <w:vAlign w:val="center"/>
          </w:tcPr>
          <w:p w:rsidRPr="00445777" w:rsidR="7EB9485A" w:rsidP="00445777" w:rsidRDefault="6DF364EA" w14:paraId="23F85000" w14:textId="49EBD982">
            <w:pPr>
              <w:spacing w:before="0" w:after="0"/>
              <w:rPr>
                <w:rFonts w:ascii="Calibri" w:hAnsi="Calibri" w:eastAsia="Calibri" w:cs="Calibri"/>
                <w:sz w:val="14"/>
                <w:szCs w:val="14"/>
              </w:rPr>
            </w:pPr>
            <w:r w:rsidRPr="00445777">
              <w:rPr>
                <w:rFonts w:ascii="Calibri" w:hAnsi="Calibri" w:eastAsia="Calibri" w:cs="Calibri"/>
                <w:sz w:val="14"/>
                <w:szCs w:val="14"/>
                <w:lang w:val="en-AU"/>
              </w:rPr>
              <w:t>B</w:t>
            </w:r>
          </w:p>
        </w:tc>
      </w:tr>
      <w:tr w:rsidR="7EB9485A" w:rsidTr="00445777" w14:paraId="7CED03C7" w14:textId="77777777">
        <w:trPr>
          <w:trHeight w:val="270"/>
        </w:trPr>
        <w:tc>
          <w:tcPr>
            <w:tcW w:w="96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2E896625" w14:textId="3F47A7F9">
            <w:pPr>
              <w:spacing w:before="0" w:after="0" w:line="480" w:lineRule="auto"/>
              <w:jc w:val="center"/>
              <w:rPr>
                <w:rFonts w:ascii="Calibri" w:hAnsi="Calibri" w:eastAsia="Calibri" w:cs="Calibri"/>
                <w:color w:val="000000" w:themeColor="text1"/>
                <w:sz w:val="14"/>
                <w:szCs w:val="14"/>
              </w:rPr>
            </w:pPr>
            <w:r w:rsidRPr="00445777">
              <w:rPr>
                <w:rFonts w:ascii="Calibri" w:hAnsi="Calibri" w:eastAsia="Calibri" w:cs="Calibri"/>
                <w:b/>
                <w:bCs/>
                <w:i/>
                <w:iCs/>
                <w:color w:val="000000" w:themeColor="text1"/>
                <w:sz w:val="14"/>
                <w:szCs w:val="14"/>
                <w:lang w:val="en-AU"/>
              </w:rPr>
              <w:t>VviNPF2.1</w:t>
            </w:r>
          </w:p>
        </w:tc>
        <w:tc>
          <w:tcPr>
            <w:tcW w:w="79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047D9478" w14:textId="5B49AD7B">
            <w:pPr>
              <w:spacing w:before="0" w:after="0"/>
              <w:rPr>
                <w:rFonts w:ascii="Calibri" w:hAnsi="Calibri" w:eastAsia="Calibri" w:cs="Calibri"/>
                <w:sz w:val="14"/>
                <w:szCs w:val="14"/>
              </w:rPr>
            </w:pPr>
            <w:r w:rsidRPr="00445777">
              <w:rPr>
                <w:rFonts w:ascii="Calibri" w:hAnsi="Calibri" w:eastAsia="Calibri" w:cs="Calibri"/>
                <w:sz w:val="14"/>
                <w:szCs w:val="14"/>
                <w:lang w:val="en-AU"/>
              </w:rPr>
              <w:t>1.27</w:t>
            </w:r>
          </w:p>
        </w:tc>
        <w:tc>
          <w:tcPr>
            <w:tcW w:w="79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01F8010A" w14:textId="6FECA1E0">
            <w:pPr>
              <w:spacing w:before="0" w:after="0"/>
              <w:rPr>
                <w:rFonts w:ascii="Calibri" w:hAnsi="Calibri" w:eastAsia="Calibri" w:cs="Calibri"/>
                <w:sz w:val="14"/>
                <w:szCs w:val="14"/>
              </w:rPr>
            </w:pPr>
            <w:r w:rsidRPr="00445777">
              <w:rPr>
                <w:rFonts w:ascii="Calibri" w:hAnsi="Calibri" w:eastAsia="Calibri" w:cs="Calibri"/>
                <w:sz w:val="14"/>
                <w:szCs w:val="14"/>
                <w:lang w:val="en-AU"/>
              </w:rPr>
              <w:t>0.00</w:t>
            </w:r>
          </w:p>
        </w:tc>
        <w:tc>
          <w:tcPr>
            <w:tcW w:w="60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41E33AF1" w14:textId="243D5D7E">
            <w:pPr>
              <w:spacing w:before="0" w:after="0"/>
              <w:rPr>
                <w:rFonts w:ascii="Calibri" w:hAnsi="Calibri" w:eastAsia="Calibri" w:cs="Calibri"/>
                <w:sz w:val="14"/>
                <w:szCs w:val="14"/>
              </w:rPr>
            </w:pPr>
            <w:r w:rsidRPr="00445777">
              <w:rPr>
                <w:rFonts w:ascii="Calibri" w:hAnsi="Calibri" w:eastAsia="Calibri" w:cs="Calibri"/>
                <w:sz w:val="14"/>
                <w:szCs w:val="14"/>
                <w:lang w:val="en-AU"/>
              </w:rPr>
              <w:t>34.49</w:t>
            </w:r>
          </w:p>
        </w:tc>
        <w:tc>
          <w:tcPr>
            <w:tcW w:w="81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267E38C0" w14:textId="75A450E0">
            <w:pPr>
              <w:spacing w:before="0" w:after="0"/>
              <w:rPr>
                <w:rFonts w:ascii="Calibri" w:hAnsi="Calibri" w:eastAsia="Calibri" w:cs="Calibri"/>
                <w:sz w:val="14"/>
                <w:szCs w:val="14"/>
              </w:rPr>
            </w:pPr>
            <w:r w:rsidRPr="00445777">
              <w:rPr>
                <w:rFonts w:ascii="Calibri" w:hAnsi="Calibri" w:eastAsia="Calibri" w:cs="Calibri"/>
                <w:sz w:val="14"/>
                <w:szCs w:val="14"/>
                <w:lang w:val="en-AU"/>
              </w:rPr>
              <w:t>0.16</w:t>
            </w:r>
          </w:p>
        </w:tc>
        <w:tc>
          <w:tcPr>
            <w:tcW w:w="76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2ED15D82" w14:textId="561A8FBC">
            <w:pPr>
              <w:spacing w:before="0" w:after="0"/>
              <w:rPr>
                <w:rFonts w:ascii="Calibri" w:hAnsi="Calibri" w:eastAsia="Calibri" w:cs="Calibri"/>
                <w:sz w:val="14"/>
                <w:szCs w:val="14"/>
              </w:rPr>
            </w:pPr>
            <w:r w:rsidRPr="00445777">
              <w:rPr>
                <w:rFonts w:ascii="Calibri" w:hAnsi="Calibri" w:eastAsia="Calibri" w:cs="Calibri"/>
                <w:sz w:val="14"/>
                <w:szCs w:val="14"/>
                <w:lang w:val="en-AU"/>
              </w:rPr>
              <w:t>0.53</w:t>
            </w:r>
          </w:p>
        </w:tc>
        <w:tc>
          <w:tcPr>
            <w:tcW w:w="57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70F77536" w14:textId="2174074F">
            <w:pPr>
              <w:spacing w:before="0" w:after="0"/>
              <w:rPr>
                <w:rFonts w:ascii="Calibri" w:hAnsi="Calibri" w:eastAsia="Calibri" w:cs="Calibri"/>
                <w:sz w:val="14"/>
                <w:szCs w:val="14"/>
              </w:rPr>
            </w:pPr>
            <w:r w:rsidRPr="00445777">
              <w:rPr>
                <w:rFonts w:ascii="Calibri" w:hAnsi="Calibri" w:eastAsia="Calibri" w:cs="Calibri"/>
                <w:sz w:val="14"/>
                <w:szCs w:val="14"/>
                <w:lang w:val="en-AU"/>
              </w:rPr>
              <w:t>-5.62</w:t>
            </w:r>
          </w:p>
        </w:tc>
        <w:tc>
          <w:tcPr>
            <w:tcW w:w="76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3C6DEB5F" w14:textId="305F32A9">
            <w:pPr>
              <w:spacing w:before="0" w:after="0"/>
              <w:rPr>
                <w:rFonts w:ascii="Calibri" w:hAnsi="Calibri" w:eastAsia="Calibri" w:cs="Calibri"/>
                <w:sz w:val="14"/>
                <w:szCs w:val="14"/>
              </w:rPr>
            </w:pPr>
            <w:r w:rsidRPr="00445777">
              <w:rPr>
                <w:rFonts w:ascii="Calibri" w:hAnsi="Calibri" w:eastAsia="Calibri" w:cs="Calibri"/>
                <w:sz w:val="14"/>
                <w:szCs w:val="14"/>
                <w:lang w:val="en-AU"/>
              </w:rPr>
              <w:t>-0.22</w:t>
            </w:r>
          </w:p>
        </w:tc>
        <w:tc>
          <w:tcPr>
            <w:tcW w:w="78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569E0551" w14:textId="3E19D03E">
            <w:pPr>
              <w:spacing w:before="0" w:after="0"/>
              <w:rPr>
                <w:rFonts w:ascii="Calibri" w:hAnsi="Calibri" w:eastAsia="Calibri" w:cs="Calibri"/>
                <w:sz w:val="14"/>
                <w:szCs w:val="14"/>
              </w:rPr>
            </w:pPr>
            <w:r w:rsidRPr="00445777">
              <w:rPr>
                <w:rFonts w:ascii="Calibri" w:hAnsi="Calibri" w:eastAsia="Calibri" w:cs="Calibri"/>
                <w:sz w:val="14"/>
                <w:szCs w:val="14"/>
                <w:lang w:val="en-AU"/>
              </w:rPr>
              <w:t>0.19</w:t>
            </w:r>
          </w:p>
        </w:tc>
        <w:tc>
          <w:tcPr>
            <w:tcW w:w="63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3EB23F63" w14:textId="6B0444A8">
            <w:pPr>
              <w:spacing w:before="0" w:after="0"/>
              <w:rPr>
                <w:rFonts w:ascii="Calibri" w:hAnsi="Calibri" w:eastAsia="Calibri" w:cs="Calibri"/>
                <w:sz w:val="14"/>
                <w:szCs w:val="14"/>
              </w:rPr>
            </w:pPr>
            <w:r w:rsidRPr="00445777">
              <w:rPr>
                <w:rFonts w:ascii="Calibri" w:hAnsi="Calibri" w:eastAsia="Calibri" w:cs="Calibri"/>
                <w:sz w:val="14"/>
                <w:szCs w:val="14"/>
                <w:lang w:val="en-AU"/>
              </w:rPr>
              <w:t>-5.09</w:t>
            </w:r>
          </w:p>
        </w:tc>
        <w:tc>
          <w:tcPr>
            <w:tcW w:w="72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6903095C" w14:textId="67EC0252">
            <w:pPr>
              <w:spacing w:before="0" w:after="0"/>
              <w:rPr>
                <w:rFonts w:ascii="Calibri" w:hAnsi="Calibri" w:eastAsia="Calibri" w:cs="Calibri"/>
                <w:sz w:val="14"/>
                <w:szCs w:val="14"/>
              </w:rPr>
            </w:pPr>
            <w:r w:rsidRPr="00445777">
              <w:rPr>
                <w:rFonts w:ascii="Calibri" w:hAnsi="Calibri" w:eastAsia="Calibri" w:cs="Calibri"/>
                <w:sz w:val="14"/>
                <w:szCs w:val="14"/>
                <w:lang w:val="en-AU"/>
              </w:rPr>
              <w:t>0.05</w:t>
            </w:r>
          </w:p>
        </w:tc>
        <w:tc>
          <w:tcPr>
            <w:tcW w:w="79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41DB2FE2" w14:textId="23A2CBB1">
            <w:pPr>
              <w:spacing w:before="0" w:after="0"/>
              <w:rPr>
                <w:rFonts w:ascii="Calibri" w:hAnsi="Calibri" w:eastAsia="Calibri" w:cs="Calibri"/>
                <w:sz w:val="14"/>
                <w:szCs w:val="14"/>
              </w:rPr>
            </w:pPr>
            <w:r w:rsidRPr="00445777">
              <w:rPr>
                <w:rFonts w:ascii="Calibri" w:hAnsi="Calibri" w:eastAsia="Calibri" w:cs="Calibri"/>
                <w:sz w:val="14"/>
                <w:szCs w:val="14"/>
                <w:lang w:val="en-AU"/>
              </w:rPr>
              <w:t>0.94</w:t>
            </w:r>
          </w:p>
        </w:tc>
        <w:tc>
          <w:tcPr>
            <w:tcW w:w="58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7C2B34B3" w14:textId="25FA05EC">
            <w:pPr>
              <w:spacing w:before="0" w:after="0"/>
              <w:rPr>
                <w:rFonts w:ascii="Calibri" w:hAnsi="Calibri" w:eastAsia="Calibri" w:cs="Calibri"/>
                <w:sz w:val="14"/>
                <w:szCs w:val="14"/>
              </w:rPr>
            </w:pPr>
            <w:r w:rsidRPr="00445777">
              <w:rPr>
                <w:rFonts w:ascii="Calibri" w:hAnsi="Calibri" w:eastAsia="Calibri" w:cs="Calibri"/>
                <w:sz w:val="14"/>
                <w:szCs w:val="14"/>
                <w:lang w:val="en-AU"/>
              </w:rPr>
              <w:t>-6.41</w:t>
            </w:r>
          </w:p>
        </w:tc>
      </w:tr>
      <w:tr w:rsidR="7EB9485A" w:rsidTr="00445777" w14:paraId="61438C0A" w14:textId="77777777">
        <w:trPr>
          <w:trHeight w:val="285"/>
        </w:trPr>
        <w:tc>
          <w:tcPr>
            <w:tcW w:w="96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4443D05C" w14:textId="258E387C">
            <w:pPr>
              <w:spacing w:before="0" w:after="0" w:line="480" w:lineRule="auto"/>
              <w:jc w:val="center"/>
              <w:rPr>
                <w:rFonts w:ascii="Calibri" w:hAnsi="Calibri" w:eastAsia="Calibri" w:cs="Calibri"/>
                <w:color w:val="000000" w:themeColor="text1"/>
                <w:sz w:val="14"/>
                <w:szCs w:val="14"/>
              </w:rPr>
            </w:pPr>
            <w:r w:rsidRPr="00445777">
              <w:rPr>
                <w:rFonts w:ascii="Calibri" w:hAnsi="Calibri" w:eastAsia="Calibri" w:cs="Calibri"/>
                <w:b/>
                <w:bCs/>
                <w:i/>
                <w:iCs/>
                <w:color w:val="000000" w:themeColor="text1"/>
                <w:sz w:val="14"/>
                <w:szCs w:val="14"/>
                <w:lang w:val="en-AU"/>
              </w:rPr>
              <w:t>VviNPF2.2</w:t>
            </w:r>
          </w:p>
        </w:tc>
        <w:tc>
          <w:tcPr>
            <w:tcW w:w="79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28C1998F" w14:textId="039F6C02">
            <w:pPr>
              <w:spacing w:before="0" w:after="0"/>
              <w:rPr>
                <w:rFonts w:ascii="Calibri" w:hAnsi="Calibri" w:eastAsia="Calibri" w:cs="Calibri"/>
                <w:sz w:val="14"/>
                <w:szCs w:val="14"/>
              </w:rPr>
            </w:pPr>
            <w:r w:rsidRPr="00445777">
              <w:rPr>
                <w:rFonts w:ascii="Calibri" w:hAnsi="Calibri" w:eastAsia="Calibri" w:cs="Calibri"/>
                <w:sz w:val="14"/>
                <w:szCs w:val="14"/>
                <w:lang w:val="en-AU"/>
              </w:rPr>
              <w:t>1.61</w:t>
            </w:r>
          </w:p>
        </w:tc>
        <w:tc>
          <w:tcPr>
            <w:tcW w:w="79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3F5FC677" w14:textId="0E8C7BE2">
            <w:pPr>
              <w:spacing w:before="0" w:after="0"/>
              <w:rPr>
                <w:rFonts w:ascii="Calibri" w:hAnsi="Calibri" w:eastAsia="Calibri" w:cs="Calibri"/>
                <w:sz w:val="14"/>
                <w:szCs w:val="14"/>
              </w:rPr>
            </w:pPr>
            <w:r w:rsidRPr="00445777">
              <w:rPr>
                <w:rFonts w:ascii="Calibri" w:hAnsi="Calibri" w:eastAsia="Calibri" w:cs="Calibri"/>
                <w:sz w:val="14"/>
                <w:szCs w:val="14"/>
                <w:lang w:val="en-AU"/>
              </w:rPr>
              <w:t>0.00</w:t>
            </w:r>
          </w:p>
        </w:tc>
        <w:tc>
          <w:tcPr>
            <w:tcW w:w="60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525AAFFC" w14:textId="50E280AF">
            <w:pPr>
              <w:spacing w:before="0" w:after="0"/>
              <w:rPr>
                <w:rFonts w:ascii="Calibri" w:hAnsi="Calibri" w:eastAsia="Calibri" w:cs="Calibri"/>
                <w:sz w:val="14"/>
                <w:szCs w:val="14"/>
              </w:rPr>
            </w:pPr>
            <w:r w:rsidRPr="00445777">
              <w:rPr>
                <w:rFonts w:ascii="Calibri" w:hAnsi="Calibri" w:eastAsia="Calibri" w:cs="Calibri"/>
                <w:sz w:val="14"/>
                <w:szCs w:val="14"/>
                <w:lang w:val="en-AU"/>
              </w:rPr>
              <w:t>66.55</w:t>
            </w:r>
          </w:p>
        </w:tc>
        <w:tc>
          <w:tcPr>
            <w:tcW w:w="81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7AABD1E0" w14:textId="6C669EF0">
            <w:pPr>
              <w:spacing w:before="0" w:after="0"/>
              <w:rPr>
                <w:rFonts w:ascii="Calibri" w:hAnsi="Calibri" w:eastAsia="Calibri" w:cs="Calibri"/>
                <w:sz w:val="14"/>
                <w:szCs w:val="14"/>
              </w:rPr>
            </w:pPr>
            <w:r w:rsidRPr="00445777">
              <w:rPr>
                <w:rFonts w:ascii="Calibri" w:hAnsi="Calibri" w:eastAsia="Calibri" w:cs="Calibri"/>
                <w:sz w:val="14"/>
                <w:szCs w:val="14"/>
                <w:lang w:val="en-AU"/>
              </w:rPr>
              <w:t>-0.01</w:t>
            </w:r>
          </w:p>
        </w:tc>
        <w:tc>
          <w:tcPr>
            <w:tcW w:w="76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6D4C216B" w14:textId="690C5F9B">
            <w:pPr>
              <w:spacing w:before="0" w:after="0"/>
              <w:rPr>
                <w:rFonts w:ascii="Calibri" w:hAnsi="Calibri" w:eastAsia="Calibri" w:cs="Calibri"/>
                <w:sz w:val="14"/>
                <w:szCs w:val="14"/>
              </w:rPr>
            </w:pPr>
            <w:r w:rsidRPr="00445777">
              <w:rPr>
                <w:rFonts w:ascii="Calibri" w:hAnsi="Calibri" w:eastAsia="Calibri" w:cs="Calibri"/>
                <w:sz w:val="14"/>
                <w:szCs w:val="14"/>
                <w:lang w:val="en-AU"/>
              </w:rPr>
              <w:t>0.99</w:t>
            </w:r>
          </w:p>
        </w:tc>
        <w:tc>
          <w:tcPr>
            <w:tcW w:w="57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0872FFB0" w14:textId="1AFDDCF0">
            <w:pPr>
              <w:spacing w:before="0" w:after="0"/>
              <w:rPr>
                <w:rFonts w:ascii="Calibri" w:hAnsi="Calibri" w:eastAsia="Calibri" w:cs="Calibri"/>
                <w:sz w:val="14"/>
                <w:szCs w:val="14"/>
              </w:rPr>
            </w:pPr>
            <w:r w:rsidRPr="00445777">
              <w:rPr>
                <w:rFonts w:ascii="Calibri" w:hAnsi="Calibri" w:eastAsia="Calibri" w:cs="Calibri"/>
                <w:sz w:val="14"/>
                <w:szCs w:val="14"/>
                <w:lang w:val="en-AU"/>
              </w:rPr>
              <w:t>-6.24</w:t>
            </w:r>
          </w:p>
        </w:tc>
        <w:tc>
          <w:tcPr>
            <w:tcW w:w="76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4DEA8170" w14:textId="2019F64B">
            <w:pPr>
              <w:spacing w:before="0" w:after="0"/>
              <w:rPr>
                <w:rFonts w:ascii="Calibri" w:hAnsi="Calibri" w:eastAsia="Calibri" w:cs="Calibri"/>
                <w:sz w:val="14"/>
                <w:szCs w:val="14"/>
              </w:rPr>
            </w:pPr>
            <w:r w:rsidRPr="00445777">
              <w:rPr>
                <w:rFonts w:ascii="Calibri" w:hAnsi="Calibri" w:eastAsia="Calibri" w:cs="Calibri"/>
                <w:sz w:val="14"/>
                <w:szCs w:val="14"/>
                <w:lang w:val="en-AU"/>
              </w:rPr>
              <w:t>-0.21</w:t>
            </w:r>
          </w:p>
        </w:tc>
        <w:tc>
          <w:tcPr>
            <w:tcW w:w="78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1FB99A05" w14:textId="55F3B1CA">
            <w:pPr>
              <w:spacing w:before="0" w:after="0"/>
              <w:rPr>
                <w:rFonts w:ascii="Calibri" w:hAnsi="Calibri" w:eastAsia="Calibri" w:cs="Calibri"/>
                <w:sz w:val="14"/>
                <w:szCs w:val="14"/>
              </w:rPr>
            </w:pPr>
            <w:r w:rsidRPr="00445777">
              <w:rPr>
                <w:rFonts w:ascii="Calibri" w:hAnsi="Calibri" w:eastAsia="Calibri" w:cs="Calibri"/>
                <w:sz w:val="14"/>
                <w:szCs w:val="14"/>
                <w:lang w:val="en-AU"/>
              </w:rPr>
              <w:t>0.11</w:t>
            </w:r>
          </w:p>
        </w:tc>
        <w:tc>
          <w:tcPr>
            <w:tcW w:w="63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59DCAD7B" w14:textId="00576891">
            <w:pPr>
              <w:spacing w:before="0" w:after="0"/>
              <w:rPr>
                <w:rFonts w:ascii="Calibri" w:hAnsi="Calibri" w:eastAsia="Calibri" w:cs="Calibri"/>
                <w:sz w:val="14"/>
                <w:szCs w:val="14"/>
              </w:rPr>
            </w:pPr>
            <w:r w:rsidRPr="00445777">
              <w:rPr>
                <w:rFonts w:ascii="Calibri" w:hAnsi="Calibri" w:eastAsia="Calibri" w:cs="Calibri"/>
                <w:sz w:val="14"/>
                <w:szCs w:val="14"/>
                <w:lang w:val="en-AU"/>
              </w:rPr>
              <w:t>-4.52</w:t>
            </w:r>
          </w:p>
        </w:tc>
        <w:tc>
          <w:tcPr>
            <w:tcW w:w="720"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54CE5DE5" w14:textId="47DB0211">
            <w:pPr>
              <w:spacing w:before="0" w:after="0"/>
              <w:rPr>
                <w:rFonts w:ascii="Calibri" w:hAnsi="Calibri" w:eastAsia="Calibri" w:cs="Calibri"/>
                <w:sz w:val="14"/>
                <w:szCs w:val="14"/>
              </w:rPr>
            </w:pPr>
            <w:r w:rsidRPr="00445777">
              <w:rPr>
                <w:rFonts w:ascii="Calibri" w:hAnsi="Calibri" w:eastAsia="Calibri" w:cs="Calibri"/>
                <w:sz w:val="14"/>
                <w:szCs w:val="14"/>
                <w:lang w:val="en-AU"/>
              </w:rPr>
              <w:t>-0.40</w:t>
            </w:r>
          </w:p>
        </w:tc>
        <w:tc>
          <w:tcPr>
            <w:tcW w:w="79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70E8C466" w14:textId="4408D654">
            <w:pPr>
              <w:spacing w:before="0" w:after="0"/>
              <w:rPr>
                <w:rFonts w:ascii="Calibri" w:hAnsi="Calibri" w:eastAsia="Calibri" w:cs="Calibri"/>
                <w:sz w:val="14"/>
                <w:szCs w:val="14"/>
              </w:rPr>
            </w:pPr>
            <w:r w:rsidRPr="00445777">
              <w:rPr>
                <w:rFonts w:ascii="Calibri" w:hAnsi="Calibri" w:eastAsia="Calibri" w:cs="Calibri"/>
                <w:sz w:val="14"/>
                <w:szCs w:val="14"/>
                <w:lang w:val="en-AU"/>
              </w:rPr>
              <w:t>0.00</w:t>
            </w:r>
          </w:p>
        </w:tc>
        <w:tc>
          <w:tcPr>
            <w:tcW w:w="585" w:type="dxa"/>
            <w:tcBorders>
              <w:top w:val="single" w:color="auto" w:sz="6" w:space="0"/>
              <w:left w:val="single" w:color="auto" w:sz="6" w:space="0"/>
              <w:bottom w:val="single" w:color="auto" w:sz="6" w:space="0"/>
              <w:right w:val="single" w:color="auto" w:sz="6" w:space="0"/>
            </w:tcBorders>
            <w:vAlign w:val="center"/>
          </w:tcPr>
          <w:p w:rsidRPr="00445777" w:rsidR="7EB9485A" w:rsidP="00445777" w:rsidRDefault="6DF364EA" w14:paraId="3B989DE5" w14:textId="00827243">
            <w:pPr>
              <w:spacing w:before="0" w:after="0"/>
              <w:rPr>
                <w:rFonts w:ascii="Calibri" w:hAnsi="Calibri" w:eastAsia="Calibri" w:cs="Calibri"/>
                <w:sz w:val="14"/>
                <w:szCs w:val="14"/>
              </w:rPr>
            </w:pPr>
            <w:r w:rsidRPr="00445777">
              <w:rPr>
                <w:rFonts w:ascii="Calibri" w:hAnsi="Calibri" w:eastAsia="Calibri" w:cs="Calibri"/>
                <w:sz w:val="14"/>
                <w:szCs w:val="14"/>
                <w:lang w:val="en-AU"/>
              </w:rPr>
              <w:t>-0.44</w:t>
            </w:r>
          </w:p>
        </w:tc>
      </w:tr>
    </w:tbl>
    <w:p w:rsidR="72B2B38C" w:rsidP="7EB9485A" w:rsidRDefault="7EB9485A" w14:paraId="439DB223" w14:textId="1D6D244B">
      <w:pPr>
        <w:jc w:val="both"/>
        <w:rPr>
          <w:rFonts w:eastAsia="Times New Roman" w:cs="Times New Roman"/>
          <w:color w:val="000000" w:themeColor="text1"/>
          <w:sz w:val="16"/>
          <w:szCs w:val="16"/>
        </w:rPr>
      </w:pPr>
      <w:r w:rsidRPr="7EB9485A">
        <w:rPr>
          <w:rFonts w:eastAsia="Times New Roman" w:cs="Times New Roman"/>
          <w:color w:val="000000" w:themeColor="text1"/>
          <w:sz w:val="16"/>
          <w:szCs w:val="16"/>
          <w:lang w:val="en-AU"/>
        </w:rPr>
        <w:t>The data (obtained with permission of Henderson et al. (2014)) is presented as log(2) gene expression fold change (FC) with adjusted p values and B values.</w:t>
      </w:r>
    </w:p>
    <w:p w:rsidR="72B2B38C" w:rsidP="7EB9485A" w:rsidRDefault="72B2B38C" w14:paraId="6C69D2E9" w14:textId="7D06B98B">
      <w:pPr>
        <w:rPr>
          <w:rFonts w:eastAsia="Calibri"/>
          <w:szCs w:val="24"/>
        </w:rPr>
      </w:pPr>
    </w:p>
    <w:p w:rsidR="72B2B38C" w:rsidRDefault="72B2B38C" w14:paraId="089B01BB" w14:textId="5AE771D2"/>
    <w:p w:rsidR="72B2B38C" w:rsidRDefault="72B2B38C" w14:paraId="031428DE" w14:textId="5A4879CA"/>
    <w:p w:rsidR="72B2B38C" w:rsidRDefault="72B2B38C" w14:paraId="0A7EEF88" w14:textId="6D38A72E"/>
    <w:p w:rsidR="12189A14" w:rsidP="72B2B38C" w:rsidRDefault="12189A14" w14:paraId="5934E898" w14:textId="2AE90D18">
      <w:pPr>
        <w:jc w:val="both"/>
        <w:rPr>
          <w:rFonts w:eastAsia="Calibri"/>
          <w:color w:val="000000" w:themeColor="text1"/>
          <w:szCs w:val="24"/>
          <w:lang w:val="en-AU"/>
        </w:rPr>
      </w:pPr>
    </w:p>
    <w:p w:rsidR="12189A14" w:rsidRDefault="12189A14" w14:paraId="45AC3435" w14:textId="0612F5A6">
      <w:r>
        <w:br w:type="page"/>
      </w:r>
    </w:p>
    <w:p w:rsidRPr="005379CA" w:rsidR="005379CA" w:rsidP="005379CA" w:rsidRDefault="12189A14" w14:paraId="72BB8D2F" w14:textId="25021828">
      <w:pPr>
        <w:rPr>
          <w:b/>
          <w:bCs/>
          <w:lang w:val="en-AU"/>
        </w:rPr>
      </w:pPr>
      <w:r w:rsidRPr="12189A14">
        <w:rPr>
          <w:b/>
          <w:bCs/>
          <w:lang w:val="en-AU"/>
        </w:rPr>
        <w:lastRenderedPageBreak/>
        <w:t xml:space="preserve">Supplementary Table 2. Primers used in this study for molecular cloning and RT-qPCR analyses. </w:t>
      </w:r>
    </w:p>
    <w:tbl>
      <w:tblPr>
        <w:tblW w:w="8965" w:type="dxa"/>
        <w:tblInd w:w="-34" w:type="dxa"/>
        <w:tblLayout w:type="fixed"/>
        <w:tblLook w:val="04A0" w:firstRow="1" w:lastRow="0" w:firstColumn="1" w:lastColumn="0" w:noHBand="0" w:noVBand="1"/>
      </w:tblPr>
      <w:tblGrid>
        <w:gridCol w:w="2302"/>
        <w:gridCol w:w="1134"/>
        <w:gridCol w:w="4253"/>
        <w:gridCol w:w="1276"/>
      </w:tblGrid>
      <w:tr w:rsidRPr="008C4010" w:rsidR="005379CA" w:rsidTr="6AC536E1" w14:paraId="6E85F917" w14:textId="77777777">
        <w:tc>
          <w:tcPr>
            <w:tcW w:w="2302" w:type="dxa"/>
            <w:tcBorders>
              <w:top w:val="single" w:color="auto" w:sz="8" w:space="0"/>
              <w:bottom w:val="single" w:color="auto" w:sz="8" w:space="0"/>
            </w:tcBorders>
            <w:shd w:val="clear" w:color="auto" w:fill="auto"/>
            <w:tcMar/>
            <w:vAlign w:val="center"/>
            <w:hideMark/>
          </w:tcPr>
          <w:p w:rsidRPr="008C4010" w:rsidR="005379CA" w:rsidP="005379CA" w:rsidRDefault="005379CA" w14:paraId="202431D9" w14:textId="77777777">
            <w:pPr>
              <w:spacing w:before="0" w:after="0"/>
              <w:rPr>
                <w:rFonts w:cs="Times New Roman"/>
                <w:b/>
              </w:rPr>
            </w:pPr>
            <w:r w:rsidRPr="008C4010">
              <w:rPr>
                <w:rFonts w:cs="Times New Roman"/>
                <w:b/>
                <w:sz w:val="22"/>
              </w:rPr>
              <w:t>Gene</w:t>
            </w:r>
          </w:p>
        </w:tc>
        <w:tc>
          <w:tcPr>
            <w:tcW w:w="1134" w:type="dxa"/>
            <w:tcBorders>
              <w:top w:val="single" w:color="auto" w:sz="8" w:space="0"/>
              <w:bottom w:val="single" w:color="auto" w:sz="8" w:space="0"/>
            </w:tcBorders>
            <w:shd w:val="clear" w:color="auto" w:fill="auto"/>
            <w:noWrap/>
            <w:tcMar/>
            <w:vAlign w:val="center"/>
            <w:hideMark/>
          </w:tcPr>
          <w:p w:rsidRPr="008C4010" w:rsidR="005379CA" w:rsidP="005379CA" w:rsidRDefault="005379CA" w14:paraId="2799095B" w14:textId="77777777">
            <w:pPr>
              <w:spacing w:before="0" w:after="0"/>
              <w:rPr>
                <w:rFonts w:cs="Times New Roman"/>
                <w:b/>
              </w:rPr>
            </w:pPr>
            <w:r w:rsidRPr="008C4010">
              <w:rPr>
                <w:rFonts w:cs="Times New Roman"/>
                <w:b/>
                <w:sz w:val="22"/>
              </w:rPr>
              <w:t>Direction</w:t>
            </w:r>
          </w:p>
        </w:tc>
        <w:tc>
          <w:tcPr>
            <w:tcW w:w="4253" w:type="dxa"/>
            <w:tcBorders>
              <w:top w:val="single" w:color="auto" w:sz="8" w:space="0"/>
              <w:bottom w:val="single" w:color="auto" w:sz="8" w:space="0"/>
            </w:tcBorders>
            <w:shd w:val="clear" w:color="auto" w:fill="auto"/>
            <w:noWrap/>
            <w:tcMar/>
            <w:vAlign w:val="center"/>
            <w:hideMark/>
          </w:tcPr>
          <w:p w:rsidRPr="008C4010" w:rsidR="005379CA" w:rsidP="005379CA" w:rsidRDefault="005379CA" w14:paraId="3508B263" w14:textId="77777777">
            <w:pPr>
              <w:spacing w:before="0" w:after="0"/>
              <w:rPr>
                <w:rFonts w:cs="Times New Roman"/>
                <w:b/>
              </w:rPr>
            </w:pPr>
            <w:r w:rsidRPr="008C4010">
              <w:rPr>
                <w:rFonts w:cs="Times New Roman"/>
                <w:b/>
                <w:sz w:val="22"/>
              </w:rPr>
              <w:t>Sequence (5'-3')</w:t>
            </w:r>
          </w:p>
        </w:tc>
        <w:tc>
          <w:tcPr>
            <w:tcW w:w="1276" w:type="dxa"/>
            <w:tcBorders>
              <w:top w:val="single" w:color="auto" w:sz="8" w:space="0"/>
              <w:bottom w:val="single" w:color="auto" w:sz="8" w:space="0"/>
            </w:tcBorders>
            <w:shd w:val="clear" w:color="auto" w:fill="auto"/>
            <w:tcMar/>
            <w:vAlign w:val="center"/>
            <w:hideMark/>
          </w:tcPr>
          <w:p w:rsidRPr="008C4010" w:rsidR="005379CA" w:rsidP="005379CA" w:rsidRDefault="005379CA" w14:paraId="29B06100" w14:textId="77777777">
            <w:pPr>
              <w:spacing w:before="0" w:after="0"/>
              <w:rPr>
                <w:rFonts w:cs="Times New Roman"/>
                <w:b/>
              </w:rPr>
            </w:pPr>
            <w:r w:rsidRPr="008C4010">
              <w:rPr>
                <w:rFonts w:cs="Times New Roman"/>
                <w:b/>
                <w:sz w:val="22"/>
              </w:rPr>
              <w:t>Technique</w:t>
            </w:r>
          </w:p>
        </w:tc>
      </w:tr>
      <w:tr w:rsidRPr="008C4010" w:rsidR="005379CA" w:rsidTr="6AC536E1" w14:paraId="021D8C66" w14:textId="77777777">
        <w:trPr>
          <w:trHeight w:val="175"/>
        </w:trPr>
        <w:tc>
          <w:tcPr>
            <w:tcW w:w="2302" w:type="dxa"/>
            <w:vMerge w:val="restart"/>
            <w:tcBorders>
              <w:top w:val="single" w:color="auto" w:sz="8" w:space="0"/>
              <w:bottom w:val="none" w:color="000000" w:themeColor="text1" w:sz="4" w:space="0"/>
            </w:tcBorders>
            <w:shd w:val="clear" w:color="auto" w:fill="auto"/>
            <w:tcMar/>
            <w:vAlign w:val="center"/>
          </w:tcPr>
          <w:p w:rsidRPr="008C4010" w:rsidR="005379CA" w:rsidP="005379CA" w:rsidRDefault="005379CA" w14:paraId="24B1DB1F" w14:textId="77777777">
            <w:pPr>
              <w:spacing w:before="0" w:after="0"/>
              <w:rPr>
                <w:rFonts w:cs="Times New Roman"/>
                <w:i/>
                <w:iCs/>
              </w:rPr>
            </w:pPr>
            <w:r w:rsidRPr="008C4010">
              <w:rPr>
                <w:rFonts w:cs="Times New Roman"/>
                <w:i/>
                <w:iCs/>
                <w:sz w:val="22"/>
              </w:rPr>
              <w:t>VviNPF2.1</w:t>
            </w:r>
            <w:r w:rsidRPr="008C4010">
              <w:rPr>
                <w:rFonts w:cs="Times New Roman"/>
                <w:iCs/>
                <w:sz w:val="22"/>
              </w:rPr>
              <w:t>/</w:t>
            </w:r>
            <w:r w:rsidRPr="008C4010">
              <w:rPr>
                <w:rFonts w:cs="Times New Roman"/>
                <w:i/>
                <w:iCs/>
                <w:sz w:val="22"/>
              </w:rPr>
              <w:t>VviNPF2.2</w:t>
            </w:r>
          </w:p>
        </w:tc>
        <w:tc>
          <w:tcPr>
            <w:tcW w:w="1134" w:type="dxa"/>
            <w:tcBorders>
              <w:top w:val="single" w:color="auto" w:sz="8" w:space="0"/>
            </w:tcBorders>
            <w:shd w:val="clear" w:color="auto" w:fill="auto"/>
            <w:noWrap/>
            <w:tcMar/>
            <w:vAlign w:val="center"/>
          </w:tcPr>
          <w:p w:rsidRPr="008C4010" w:rsidR="005379CA" w:rsidP="005379CA" w:rsidRDefault="005379CA" w14:paraId="5630002A" w14:textId="77777777">
            <w:pPr>
              <w:spacing w:before="0" w:after="0"/>
              <w:rPr>
                <w:rFonts w:cs="Times New Roman"/>
              </w:rPr>
            </w:pPr>
            <w:r w:rsidRPr="008C4010">
              <w:rPr>
                <w:rFonts w:cs="Times New Roman"/>
                <w:sz w:val="22"/>
              </w:rPr>
              <w:t>Forward</w:t>
            </w:r>
          </w:p>
        </w:tc>
        <w:tc>
          <w:tcPr>
            <w:tcW w:w="4253" w:type="dxa"/>
            <w:tcBorders>
              <w:top w:val="single" w:color="auto" w:sz="8" w:space="0"/>
            </w:tcBorders>
            <w:shd w:val="clear" w:color="auto" w:fill="auto"/>
            <w:noWrap/>
            <w:tcMar/>
            <w:vAlign w:val="center"/>
          </w:tcPr>
          <w:p w:rsidRPr="008C4010" w:rsidR="005379CA" w:rsidP="005379CA" w:rsidRDefault="005379CA" w14:paraId="0A83252D" w14:textId="77777777">
            <w:pPr>
              <w:spacing w:before="0" w:after="0"/>
              <w:rPr>
                <w:rFonts w:cs="Times New Roman"/>
                <w:color w:val="000000"/>
              </w:rPr>
            </w:pPr>
            <w:r w:rsidRPr="008C4010">
              <w:rPr>
                <w:rFonts w:cs="Times New Roman"/>
                <w:color w:val="000000"/>
                <w:sz w:val="22"/>
              </w:rPr>
              <w:t>ATGGCAGCCGCAGACCTGCAAA</w:t>
            </w:r>
          </w:p>
        </w:tc>
        <w:tc>
          <w:tcPr>
            <w:tcW w:w="1276" w:type="dxa"/>
            <w:vMerge w:val="restart"/>
            <w:tcBorders>
              <w:top w:val="single" w:color="auto" w:sz="8" w:space="0"/>
            </w:tcBorders>
            <w:shd w:val="clear" w:color="auto" w:fill="auto"/>
            <w:tcMar/>
            <w:vAlign w:val="center"/>
            <w:hideMark/>
          </w:tcPr>
          <w:p w:rsidRPr="008C4010" w:rsidR="005379CA" w:rsidP="005379CA" w:rsidRDefault="005379CA" w14:paraId="6435E19F" w14:textId="77777777">
            <w:pPr>
              <w:spacing w:before="0" w:after="0"/>
              <w:rPr>
                <w:rFonts w:cs="Times New Roman"/>
              </w:rPr>
            </w:pPr>
            <w:r w:rsidRPr="008C4010">
              <w:rPr>
                <w:rFonts w:cs="Times New Roman"/>
                <w:sz w:val="22"/>
              </w:rPr>
              <w:t xml:space="preserve">Molecular cloning </w:t>
            </w:r>
          </w:p>
        </w:tc>
      </w:tr>
      <w:tr w:rsidRPr="008C4010" w:rsidR="005379CA" w:rsidTr="6AC536E1" w14:paraId="462598D0" w14:textId="77777777">
        <w:trPr>
          <w:trHeight w:val="182"/>
        </w:trPr>
        <w:tc>
          <w:tcPr>
            <w:tcW w:w="2302" w:type="dxa"/>
            <w:vMerge/>
            <w:tcMar/>
            <w:vAlign w:val="center"/>
          </w:tcPr>
          <w:p w:rsidRPr="008C4010" w:rsidR="005379CA" w:rsidP="005379CA" w:rsidRDefault="005379CA" w14:paraId="429FCD4B" w14:textId="77777777">
            <w:pPr>
              <w:spacing w:before="0" w:after="0"/>
              <w:rPr>
                <w:rFonts w:cs="Times New Roman"/>
                <w:i/>
                <w:iCs/>
              </w:rPr>
            </w:pPr>
          </w:p>
        </w:tc>
        <w:tc>
          <w:tcPr>
            <w:tcW w:w="1134" w:type="dxa"/>
            <w:tcBorders>
              <w:top w:val="nil"/>
            </w:tcBorders>
            <w:shd w:val="clear" w:color="auto" w:fill="auto"/>
            <w:noWrap/>
            <w:tcMar/>
            <w:vAlign w:val="center"/>
          </w:tcPr>
          <w:p w:rsidRPr="008C4010" w:rsidR="005379CA" w:rsidP="005379CA" w:rsidRDefault="005379CA" w14:paraId="07937E7C" w14:textId="77777777">
            <w:pPr>
              <w:spacing w:before="0" w:after="0"/>
              <w:rPr>
                <w:rFonts w:cs="Times New Roman"/>
              </w:rPr>
            </w:pPr>
            <w:r w:rsidRPr="008C4010">
              <w:rPr>
                <w:rFonts w:cs="Times New Roman"/>
                <w:sz w:val="22"/>
              </w:rPr>
              <w:t>Reverse</w:t>
            </w:r>
          </w:p>
        </w:tc>
        <w:tc>
          <w:tcPr>
            <w:tcW w:w="4253" w:type="dxa"/>
            <w:tcBorders>
              <w:top w:val="nil"/>
            </w:tcBorders>
            <w:shd w:val="clear" w:color="auto" w:fill="auto"/>
            <w:noWrap/>
            <w:tcMar/>
            <w:vAlign w:val="center"/>
          </w:tcPr>
          <w:p w:rsidRPr="008C4010" w:rsidR="005379CA" w:rsidP="005379CA" w:rsidRDefault="005379CA" w14:paraId="4068030F" w14:textId="77777777">
            <w:pPr>
              <w:spacing w:before="0" w:after="0"/>
              <w:rPr>
                <w:rFonts w:cs="Times New Roman"/>
                <w:color w:val="000000"/>
              </w:rPr>
            </w:pPr>
            <w:r w:rsidRPr="008C4010">
              <w:rPr>
                <w:rFonts w:cs="Times New Roman"/>
                <w:color w:val="000000"/>
                <w:sz w:val="22"/>
              </w:rPr>
              <w:t>TCACTGATCGGACCCATTACTTG</w:t>
            </w:r>
          </w:p>
        </w:tc>
        <w:tc>
          <w:tcPr>
            <w:tcW w:w="1276" w:type="dxa"/>
            <w:vMerge/>
            <w:tcMar/>
            <w:vAlign w:val="center"/>
            <w:hideMark/>
          </w:tcPr>
          <w:p w:rsidRPr="008C4010" w:rsidR="005379CA" w:rsidP="005379CA" w:rsidRDefault="005379CA" w14:paraId="714A3023" w14:textId="77777777">
            <w:pPr>
              <w:spacing w:before="0" w:after="0"/>
              <w:rPr>
                <w:rFonts w:cs="Times New Roman"/>
              </w:rPr>
            </w:pPr>
          </w:p>
        </w:tc>
      </w:tr>
      <w:tr w:rsidRPr="008C4010" w:rsidR="005379CA" w:rsidTr="6AC536E1" w14:paraId="1B965F2A" w14:textId="77777777">
        <w:tc>
          <w:tcPr>
            <w:tcW w:w="2302" w:type="dxa"/>
            <w:vMerge w:val="restart"/>
            <w:tcBorders>
              <w:top w:val="none" w:color="000000" w:themeColor="text1" w:sz="4"/>
              <w:left w:val="none" w:color="000000" w:themeColor="text1" w:sz="4"/>
              <w:bottom w:val="none" w:color="000000" w:themeColor="text1" w:sz="4" w:space="0"/>
              <w:right w:val="none" w:color="000000" w:themeColor="text1" w:sz="4"/>
            </w:tcBorders>
            <w:shd w:val="clear" w:color="auto" w:fill="auto"/>
            <w:tcMar/>
            <w:vAlign w:val="center"/>
          </w:tcPr>
          <w:p w:rsidRPr="008C4010" w:rsidR="005379CA" w:rsidP="005379CA" w:rsidRDefault="005379CA" w14:paraId="2B644532" w14:textId="77777777">
            <w:pPr>
              <w:spacing w:before="0" w:after="0"/>
              <w:rPr>
                <w:rFonts w:cs="Times New Roman"/>
                <w:iCs/>
              </w:rPr>
            </w:pPr>
            <w:r w:rsidRPr="008C4010">
              <w:rPr>
                <w:rFonts w:cs="Times New Roman"/>
                <w:i/>
                <w:iCs/>
                <w:sz w:val="22"/>
              </w:rPr>
              <w:t>VviNPF2.1</w:t>
            </w:r>
            <w:r w:rsidRPr="008C4010">
              <w:rPr>
                <w:rFonts w:cs="Times New Roman"/>
                <w:iCs/>
                <w:sz w:val="22"/>
              </w:rPr>
              <w:t>/</w:t>
            </w:r>
            <w:r w:rsidRPr="008C4010">
              <w:rPr>
                <w:rFonts w:cs="Times New Roman"/>
                <w:i/>
                <w:iCs/>
                <w:sz w:val="22"/>
              </w:rPr>
              <w:t xml:space="preserve">VviNPF2.2 </w:t>
            </w:r>
            <w:r w:rsidRPr="008C4010">
              <w:rPr>
                <w:rFonts w:cs="Times New Roman"/>
                <w:iCs/>
                <w:sz w:val="22"/>
              </w:rPr>
              <w:t>without stop codon</w:t>
            </w:r>
          </w:p>
        </w:tc>
        <w:tc>
          <w:tcPr>
            <w:tcW w:w="1134" w:type="dxa"/>
            <w:tcBorders>
              <w:left w:val="none" w:color="000000" w:themeColor="text1" w:sz="4"/>
            </w:tcBorders>
            <w:shd w:val="clear" w:color="auto" w:fill="auto"/>
            <w:noWrap/>
            <w:tcMar/>
            <w:vAlign w:val="center"/>
          </w:tcPr>
          <w:p w:rsidRPr="008C4010" w:rsidR="005379CA" w:rsidP="005379CA" w:rsidRDefault="005379CA" w14:paraId="40BF5CA4" w14:textId="77777777">
            <w:pPr>
              <w:spacing w:before="0" w:after="0"/>
              <w:rPr>
                <w:rFonts w:cs="Times New Roman"/>
              </w:rPr>
            </w:pPr>
            <w:r w:rsidRPr="008C4010">
              <w:rPr>
                <w:rFonts w:cs="Times New Roman"/>
                <w:sz w:val="22"/>
              </w:rPr>
              <w:t>Forward</w:t>
            </w:r>
          </w:p>
        </w:tc>
        <w:tc>
          <w:tcPr>
            <w:tcW w:w="4253" w:type="dxa"/>
            <w:shd w:val="clear" w:color="auto" w:fill="auto"/>
            <w:noWrap/>
            <w:tcMar/>
            <w:vAlign w:val="center"/>
          </w:tcPr>
          <w:p w:rsidRPr="008C4010" w:rsidR="005379CA" w:rsidP="005379CA" w:rsidRDefault="005379CA" w14:paraId="0851D261" w14:textId="77777777">
            <w:pPr>
              <w:spacing w:before="0" w:after="0"/>
              <w:rPr>
                <w:rFonts w:cs="Times New Roman"/>
              </w:rPr>
            </w:pPr>
            <w:r w:rsidRPr="008C4010">
              <w:rPr>
                <w:rFonts w:cs="Times New Roman"/>
                <w:color w:val="000000"/>
                <w:sz w:val="22"/>
              </w:rPr>
              <w:t>ATGGCAGCCGCAGACCTGCAAA</w:t>
            </w:r>
          </w:p>
        </w:tc>
        <w:tc>
          <w:tcPr>
            <w:tcW w:w="1276" w:type="dxa"/>
            <w:vMerge/>
            <w:tcMar/>
            <w:vAlign w:val="center"/>
            <w:hideMark/>
          </w:tcPr>
          <w:p w:rsidRPr="008C4010" w:rsidR="005379CA" w:rsidP="005379CA" w:rsidRDefault="005379CA" w14:paraId="46007BB3" w14:textId="77777777">
            <w:pPr>
              <w:spacing w:before="0" w:after="0"/>
              <w:rPr>
                <w:rFonts w:cs="Times New Roman"/>
              </w:rPr>
            </w:pPr>
          </w:p>
        </w:tc>
      </w:tr>
      <w:tr w:rsidRPr="008C4010" w:rsidR="005379CA" w:rsidTr="6AC536E1" w14:paraId="01C3F34E" w14:textId="77777777">
        <w:tc>
          <w:tcPr>
            <w:tcW w:w="2302" w:type="dxa"/>
            <w:vMerge/>
            <w:tcBorders>
              <w:top w:val="none" w:color="000000" w:themeColor="text1" w:sz="4"/>
              <w:left w:val="none" w:color="000000" w:themeColor="text1" w:sz="4"/>
              <w:bottom w:val="none" w:color="000000" w:themeColor="text1" w:sz="4"/>
              <w:right w:val="none" w:color="000000" w:themeColor="text1" w:sz="4"/>
            </w:tcBorders>
            <w:tcMar/>
            <w:vAlign w:val="center"/>
          </w:tcPr>
          <w:p w:rsidRPr="008C4010" w:rsidR="005379CA" w:rsidP="005379CA" w:rsidRDefault="005379CA" w14:paraId="72CD9FA1" w14:textId="77777777">
            <w:pPr>
              <w:spacing w:before="0" w:after="0"/>
              <w:rPr>
                <w:rFonts w:cs="Times New Roman"/>
                <w:i/>
                <w:iCs/>
              </w:rPr>
            </w:pPr>
          </w:p>
        </w:tc>
        <w:tc>
          <w:tcPr>
            <w:tcW w:w="1134" w:type="dxa"/>
            <w:tcBorders>
              <w:top w:val="nil"/>
              <w:left w:val="none" w:color="000000" w:themeColor="text1" w:sz="4"/>
            </w:tcBorders>
            <w:shd w:val="clear" w:color="auto" w:fill="auto"/>
            <w:noWrap/>
            <w:tcMar/>
            <w:vAlign w:val="center"/>
          </w:tcPr>
          <w:p w:rsidRPr="008C4010" w:rsidR="005379CA" w:rsidP="005379CA" w:rsidRDefault="005379CA" w14:paraId="5571C75E" w14:textId="77777777">
            <w:pPr>
              <w:spacing w:before="0" w:after="0"/>
              <w:rPr>
                <w:rFonts w:cs="Times New Roman"/>
              </w:rPr>
            </w:pPr>
            <w:r w:rsidRPr="008C4010">
              <w:rPr>
                <w:rFonts w:cs="Times New Roman"/>
                <w:sz w:val="22"/>
              </w:rPr>
              <w:t>Reverse</w:t>
            </w:r>
          </w:p>
        </w:tc>
        <w:tc>
          <w:tcPr>
            <w:tcW w:w="4253" w:type="dxa"/>
            <w:tcBorders>
              <w:top w:val="nil"/>
            </w:tcBorders>
            <w:shd w:val="clear" w:color="auto" w:fill="auto"/>
            <w:noWrap/>
            <w:tcMar/>
            <w:vAlign w:val="center"/>
          </w:tcPr>
          <w:p w:rsidRPr="008C4010" w:rsidR="005379CA" w:rsidP="005379CA" w:rsidRDefault="005379CA" w14:paraId="08FA3FF0" w14:textId="77777777">
            <w:pPr>
              <w:spacing w:before="0" w:after="0"/>
              <w:rPr>
                <w:rFonts w:cs="Times New Roman"/>
                <w:color w:val="000000"/>
              </w:rPr>
            </w:pPr>
            <w:r w:rsidRPr="008C4010">
              <w:rPr>
                <w:rFonts w:cs="Times New Roman"/>
                <w:color w:val="000000"/>
                <w:sz w:val="22"/>
              </w:rPr>
              <w:t>CTGATCGGACCCATTACTTGTTC</w:t>
            </w:r>
          </w:p>
        </w:tc>
        <w:tc>
          <w:tcPr>
            <w:tcW w:w="1276" w:type="dxa"/>
            <w:vMerge/>
            <w:tcMar/>
            <w:vAlign w:val="center"/>
            <w:hideMark/>
          </w:tcPr>
          <w:p w:rsidRPr="008C4010" w:rsidR="005379CA" w:rsidP="005379CA" w:rsidRDefault="005379CA" w14:paraId="0373850D" w14:textId="77777777">
            <w:pPr>
              <w:spacing w:before="0" w:after="0"/>
              <w:rPr>
                <w:rFonts w:cs="Times New Roman"/>
              </w:rPr>
            </w:pPr>
          </w:p>
        </w:tc>
      </w:tr>
      <w:tr w:rsidRPr="008C4010" w:rsidR="005379CA" w:rsidTr="6AC536E1" w14:paraId="6AA98876" w14:textId="77777777">
        <w:tc>
          <w:tcPr>
            <w:tcW w:w="2302" w:type="dxa"/>
            <w:vMerge w:val="restart"/>
            <w:tcBorders>
              <w:top w:val="none" w:color="000000" w:themeColor="text1" w:sz="4"/>
              <w:left w:val="none" w:color="000000" w:themeColor="text1" w:sz="4"/>
              <w:bottom w:val="none" w:color="000000" w:themeColor="text1" w:sz="4" w:space="0"/>
              <w:right w:val="none" w:color="000000" w:themeColor="text1" w:sz="4"/>
            </w:tcBorders>
            <w:shd w:val="clear" w:color="auto" w:fill="auto"/>
            <w:tcMar/>
            <w:vAlign w:val="center"/>
          </w:tcPr>
          <w:p w:rsidRPr="008C4010" w:rsidR="005379CA" w:rsidP="005379CA" w:rsidRDefault="005379CA" w14:paraId="5559B7EC" w14:textId="77777777">
            <w:pPr>
              <w:spacing w:before="0" w:after="0"/>
              <w:rPr>
                <w:rFonts w:cs="Times New Roman"/>
                <w:i/>
                <w:iCs/>
              </w:rPr>
            </w:pPr>
            <w:r w:rsidRPr="008C4010">
              <w:rPr>
                <w:rFonts w:cs="Times New Roman"/>
                <w:i/>
                <w:iCs/>
                <w:sz w:val="22"/>
              </w:rPr>
              <w:t>proVviNPF2.1</w:t>
            </w:r>
          </w:p>
        </w:tc>
        <w:tc>
          <w:tcPr>
            <w:tcW w:w="1134" w:type="dxa"/>
            <w:tcBorders>
              <w:left w:val="none" w:color="000000" w:themeColor="text1" w:sz="4"/>
            </w:tcBorders>
            <w:shd w:val="clear" w:color="auto" w:fill="auto"/>
            <w:noWrap/>
            <w:tcMar/>
            <w:vAlign w:val="center"/>
          </w:tcPr>
          <w:p w:rsidRPr="008C4010" w:rsidR="005379CA" w:rsidP="005379CA" w:rsidRDefault="005379CA" w14:paraId="6DF1C89A" w14:textId="77777777">
            <w:pPr>
              <w:spacing w:before="0" w:after="0"/>
              <w:rPr>
                <w:rFonts w:cs="Times New Roman"/>
              </w:rPr>
            </w:pPr>
            <w:r w:rsidRPr="008C4010">
              <w:rPr>
                <w:rFonts w:cs="Times New Roman"/>
                <w:sz w:val="22"/>
              </w:rPr>
              <w:t>Forward</w:t>
            </w:r>
          </w:p>
        </w:tc>
        <w:tc>
          <w:tcPr>
            <w:tcW w:w="4253" w:type="dxa"/>
            <w:shd w:val="clear" w:color="auto" w:fill="auto"/>
            <w:noWrap/>
            <w:tcMar/>
            <w:vAlign w:val="center"/>
          </w:tcPr>
          <w:p w:rsidRPr="008C4010" w:rsidR="005379CA" w:rsidP="005379CA" w:rsidRDefault="005379CA" w14:paraId="6FA9B40E" w14:textId="77777777">
            <w:pPr>
              <w:spacing w:before="0" w:after="0"/>
              <w:rPr>
                <w:rFonts w:cs="Times New Roman"/>
                <w:color w:val="000000"/>
              </w:rPr>
            </w:pPr>
            <w:r w:rsidRPr="008C4010">
              <w:rPr>
                <w:rFonts w:cs="Times New Roman"/>
                <w:color w:val="000000"/>
                <w:sz w:val="22"/>
              </w:rPr>
              <w:t>GTTAGATCCACTTGGTTCATTTG</w:t>
            </w:r>
          </w:p>
        </w:tc>
        <w:tc>
          <w:tcPr>
            <w:tcW w:w="1276" w:type="dxa"/>
            <w:vMerge/>
            <w:tcMar/>
            <w:vAlign w:val="center"/>
            <w:hideMark/>
          </w:tcPr>
          <w:p w:rsidRPr="008C4010" w:rsidR="005379CA" w:rsidP="005379CA" w:rsidRDefault="005379CA" w14:paraId="5C6D5D84" w14:textId="77777777">
            <w:pPr>
              <w:spacing w:before="0" w:after="0"/>
              <w:rPr>
                <w:rFonts w:cs="Times New Roman"/>
              </w:rPr>
            </w:pPr>
          </w:p>
        </w:tc>
      </w:tr>
      <w:tr w:rsidRPr="008C4010" w:rsidR="005379CA" w:rsidTr="6AC536E1" w14:paraId="25CA65E4" w14:textId="77777777">
        <w:tc>
          <w:tcPr>
            <w:tcW w:w="2302" w:type="dxa"/>
            <w:vMerge/>
            <w:tcBorders>
              <w:left w:val="none" w:color="000000" w:themeColor="text1" w:sz="4"/>
              <w:bottom w:val="none" w:color="000000" w:themeColor="text1" w:sz="4"/>
              <w:right w:val="none" w:color="000000" w:themeColor="text1" w:sz="4"/>
            </w:tcBorders>
            <w:tcMar/>
            <w:vAlign w:val="center"/>
          </w:tcPr>
          <w:p w:rsidRPr="008C4010" w:rsidR="005379CA" w:rsidP="005379CA" w:rsidRDefault="005379CA" w14:paraId="04E50C35" w14:textId="77777777">
            <w:pPr>
              <w:spacing w:before="0" w:after="0"/>
              <w:rPr>
                <w:rFonts w:cs="Times New Roman"/>
                <w:i/>
                <w:iCs/>
              </w:rPr>
            </w:pPr>
          </w:p>
        </w:tc>
        <w:tc>
          <w:tcPr>
            <w:tcW w:w="1134" w:type="dxa"/>
            <w:tcBorders>
              <w:top w:val="nil"/>
              <w:left w:val="none" w:color="000000" w:themeColor="text1" w:sz="4"/>
            </w:tcBorders>
            <w:shd w:val="clear" w:color="auto" w:fill="auto"/>
            <w:noWrap/>
            <w:tcMar/>
            <w:vAlign w:val="center"/>
          </w:tcPr>
          <w:p w:rsidRPr="008C4010" w:rsidR="005379CA" w:rsidP="005379CA" w:rsidRDefault="005379CA" w14:paraId="621211F6" w14:textId="77777777">
            <w:pPr>
              <w:spacing w:before="0" w:after="0"/>
              <w:rPr>
                <w:rFonts w:cs="Times New Roman"/>
              </w:rPr>
            </w:pPr>
            <w:r w:rsidRPr="008C4010">
              <w:rPr>
                <w:rFonts w:cs="Times New Roman"/>
                <w:sz w:val="22"/>
              </w:rPr>
              <w:t>Reverse</w:t>
            </w:r>
          </w:p>
        </w:tc>
        <w:tc>
          <w:tcPr>
            <w:tcW w:w="4253" w:type="dxa"/>
            <w:tcBorders>
              <w:top w:val="nil"/>
            </w:tcBorders>
            <w:shd w:val="clear" w:color="auto" w:fill="auto"/>
            <w:noWrap/>
            <w:tcMar/>
            <w:vAlign w:val="center"/>
          </w:tcPr>
          <w:p w:rsidRPr="008C4010" w:rsidR="005379CA" w:rsidP="005379CA" w:rsidRDefault="005379CA" w14:paraId="6A47F9DC" w14:textId="77777777">
            <w:pPr>
              <w:spacing w:before="0" w:after="0"/>
              <w:rPr>
                <w:rFonts w:cs="Times New Roman"/>
                <w:color w:val="000000"/>
              </w:rPr>
            </w:pPr>
            <w:r w:rsidRPr="008C4010">
              <w:rPr>
                <w:rFonts w:cs="Times New Roman"/>
                <w:color w:val="000000"/>
                <w:sz w:val="22"/>
              </w:rPr>
              <w:t>TTGGTCTATGTTATTTGGTATATGAG</w:t>
            </w:r>
          </w:p>
        </w:tc>
        <w:tc>
          <w:tcPr>
            <w:tcW w:w="1276" w:type="dxa"/>
            <w:vMerge/>
            <w:tcMar/>
            <w:vAlign w:val="center"/>
            <w:hideMark/>
          </w:tcPr>
          <w:p w:rsidRPr="008C4010" w:rsidR="005379CA" w:rsidP="005379CA" w:rsidRDefault="005379CA" w14:paraId="6649518C" w14:textId="77777777">
            <w:pPr>
              <w:spacing w:before="0" w:after="0"/>
              <w:rPr>
                <w:rFonts w:cs="Times New Roman"/>
              </w:rPr>
            </w:pPr>
          </w:p>
        </w:tc>
      </w:tr>
      <w:tr w:rsidRPr="008C4010" w:rsidR="005379CA" w:rsidTr="6AC536E1" w14:paraId="15747789" w14:textId="77777777">
        <w:tc>
          <w:tcPr>
            <w:tcW w:w="2302" w:type="dxa"/>
            <w:vMerge w:val="restart"/>
            <w:tcBorders>
              <w:top w:val="none" w:color="000000" w:themeColor="text1" w:sz="4"/>
              <w:bottom w:val="single" w:color="auto" w:sz="4" w:space="0"/>
            </w:tcBorders>
            <w:shd w:val="clear" w:color="auto" w:fill="auto"/>
            <w:tcMar/>
            <w:vAlign w:val="center"/>
          </w:tcPr>
          <w:p w:rsidRPr="008C4010" w:rsidR="005379CA" w:rsidP="005379CA" w:rsidRDefault="005379CA" w14:paraId="60B3A33C" w14:textId="77777777">
            <w:pPr>
              <w:spacing w:before="0" w:after="0"/>
              <w:rPr>
                <w:rFonts w:cs="Times New Roman"/>
                <w:i/>
                <w:iCs/>
              </w:rPr>
            </w:pPr>
            <w:r w:rsidRPr="008C4010">
              <w:rPr>
                <w:rFonts w:cs="Times New Roman"/>
                <w:i/>
                <w:iCs/>
                <w:sz w:val="22"/>
              </w:rPr>
              <w:t>proVviNPF2.2</w:t>
            </w:r>
          </w:p>
        </w:tc>
        <w:tc>
          <w:tcPr>
            <w:tcW w:w="1134" w:type="dxa"/>
            <w:shd w:val="clear" w:color="auto" w:fill="auto"/>
            <w:noWrap/>
            <w:tcMar/>
            <w:vAlign w:val="center"/>
          </w:tcPr>
          <w:p w:rsidRPr="008C4010" w:rsidR="005379CA" w:rsidP="005379CA" w:rsidRDefault="005379CA" w14:paraId="668A129B" w14:textId="77777777">
            <w:pPr>
              <w:spacing w:before="0" w:after="0"/>
              <w:rPr>
                <w:rFonts w:cs="Times New Roman"/>
              </w:rPr>
            </w:pPr>
            <w:r w:rsidRPr="008C4010">
              <w:rPr>
                <w:rFonts w:cs="Times New Roman"/>
                <w:sz w:val="22"/>
              </w:rPr>
              <w:t>Forward</w:t>
            </w:r>
          </w:p>
        </w:tc>
        <w:tc>
          <w:tcPr>
            <w:tcW w:w="4253" w:type="dxa"/>
            <w:shd w:val="clear" w:color="auto" w:fill="auto"/>
            <w:noWrap/>
            <w:tcMar/>
            <w:vAlign w:val="center"/>
          </w:tcPr>
          <w:p w:rsidRPr="008C4010" w:rsidR="005379CA" w:rsidP="005379CA" w:rsidRDefault="005379CA" w14:paraId="59F8AE08" w14:textId="77777777">
            <w:pPr>
              <w:spacing w:before="0" w:after="0"/>
              <w:rPr>
                <w:rFonts w:cs="Times New Roman"/>
              </w:rPr>
            </w:pPr>
            <w:r w:rsidRPr="008C4010">
              <w:rPr>
                <w:rFonts w:cs="Times New Roman"/>
                <w:sz w:val="22"/>
                <w:u w:val="single"/>
              </w:rPr>
              <w:t>CACC</w:t>
            </w:r>
            <w:r w:rsidRPr="008C4010">
              <w:rPr>
                <w:rFonts w:cs="Times New Roman"/>
                <w:sz w:val="22"/>
              </w:rPr>
              <w:t>CCTACCCATGACATTCCCA</w:t>
            </w:r>
          </w:p>
        </w:tc>
        <w:tc>
          <w:tcPr>
            <w:tcW w:w="1276" w:type="dxa"/>
            <w:vMerge/>
            <w:tcMar/>
            <w:vAlign w:val="center"/>
            <w:hideMark/>
          </w:tcPr>
          <w:p w:rsidRPr="008C4010" w:rsidR="005379CA" w:rsidP="005379CA" w:rsidRDefault="005379CA" w14:paraId="34394E0F" w14:textId="77777777">
            <w:pPr>
              <w:spacing w:before="0" w:after="0"/>
              <w:rPr>
                <w:rFonts w:cs="Times New Roman"/>
              </w:rPr>
            </w:pPr>
          </w:p>
        </w:tc>
      </w:tr>
      <w:tr w:rsidRPr="008C4010" w:rsidR="005379CA" w:rsidTr="6AC536E1" w14:paraId="461E1FAF" w14:textId="77777777">
        <w:tc>
          <w:tcPr>
            <w:tcW w:w="2302" w:type="dxa"/>
            <w:vMerge/>
            <w:tcMar/>
            <w:vAlign w:val="center"/>
          </w:tcPr>
          <w:p w:rsidRPr="008C4010" w:rsidR="005379CA" w:rsidP="005379CA" w:rsidRDefault="005379CA" w14:paraId="301A6D55" w14:textId="77777777">
            <w:pPr>
              <w:spacing w:before="0" w:after="0"/>
              <w:rPr>
                <w:rFonts w:cs="Times New Roman"/>
                <w:i/>
                <w:iCs/>
              </w:rPr>
            </w:pPr>
          </w:p>
        </w:tc>
        <w:tc>
          <w:tcPr>
            <w:tcW w:w="1134" w:type="dxa"/>
            <w:tcBorders>
              <w:top w:val="nil"/>
              <w:bottom w:val="single" w:color="auto" w:sz="4" w:space="0"/>
            </w:tcBorders>
            <w:shd w:val="clear" w:color="auto" w:fill="auto"/>
            <w:noWrap/>
            <w:tcMar/>
            <w:vAlign w:val="center"/>
          </w:tcPr>
          <w:p w:rsidRPr="008C4010" w:rsidR="005379CA" w:rsidP="005379CA" w:rsidRDefault="005379CA" w14:paraId="00E10FF4" w14:textId="77777777">
            <w:pPr>
              <w:spacing w:before="0" w:after="0"/>
              <w:rPr>
                <w:rFonts w:cs="Times New Roman"/>
              </w:rPr>
            </w:pPr>
            <w:r w:rsidRPr="008C4010">
              <w:rPr>
                <w:rFonts w:cs="Times New Roman"/>
                <w:sz w:val="22"/>
              </w:rPr>
              <w:t>Reverse</w:t>
            </w:r>
          </w:p>
        </w:tc>
        <w:tc>
          <w:tcPr>
            <w:tcW w:w="4253" w:type="dxa"/>
            <w:tcBorders>
              <w:top w:val="nil"/>
              <w:bottom w:val="single" w:color="auto" w:sz="4" w:space="0"/>
            </w:tcBorders>
            <w:shd w:val="clear" w:color="auto" w:fill="auto"/>
            <w:noWrap/>
            <w:tcMar/>
            <w:vAlign w:val="center"/>
          </w:tcPr>
          <w:p w:rsidRPr="008C4010" w:rsidR="005379CA" w:rsidP="005379CA" w:rsidRDefault="005379CA" w14:paraId="552DAE59" w14:textId="77777777">
            <w:pPr>
              <w:spacing w:before="0" w:after="0"/>
              <w:rPr>
                <w:rFonts w:cs="Times New Roman"/>
              </w:rPr>
            </w:pPr>
            <w:r w:rsidRPr="008C4010">
              <w:rPr>
                <w:rFonts w:cs="Times New Roman"/>
                <w:sz w:val="22"/>
              </w:rPr>
              <w:t>TTGGTCTATGTTATTTTGGTATATGAG</w:t>
            </w:r>
          </w:p>
        </w:tc>
        <w:tc>
          <w:tcPr>
            <w:tcW w:w="1276" w:type="dxa"/>
            <w:vMerge/>
            <w:tcMar/>
            <w:vAlign w:val="center"/>
            <w:hideMark/>
          </w:tcPr>
          <w:p w:rsidRPr="008C4010" w:rsidR="005379CA" w:rsidP="005379CA" w:rsidRDefault="005379CA" w14:paraId="54867AB4" w14:textId="77777777">
            <w:pPr>
              <w:spacing w:before="0" w:after="0"/>
              <w:rPr>
                <w:rFonts w:cs="Times New Roman"/>
              </w:rPr>
            </w:pPr>
          </w:p>
        </w:tc>
      </w:tr>
      <w:tr w:rsidRPr="008C4010" w:rsidR="005379CA" w:rsidTr="6AC536E1" w14:paraId="4626698D" w14:textId="77777777">
        <w:tc>
          <w:tcPr>
            <w:tcW w:w="2302" w:type="dxa"/>
            <w:vMerge w:val="restart"/>
            <w:tcBorders>
              <w:top w:val="nil"/>
              <w:bottom w:val="none" w:color="000000" w:themeColor="text1" w:sz="4" w:space="0"/>
            </w:tcBorders>
            <w:tcMar/>
            <w:vAlign w:val="center"/>
          </w:tcPr>
          <w:p w:rsidRPr="008C4010" w:rsidR="005379CA" w:rsidP="005379CA" w:rsidRDefault="005379CA" w14:paraId="0CB263AE" w14:textId="77777777">
            <w:pPr>
              <w:spacing w:before="0" w:after="0"/>
              <w:rPr>
                <w:rFonts w:cs="Times New Roman"/>
                <w:i/>
                <w:iCs/>
              </w:rPr>
            </w:pPr>
            <w:r w:rsidRPr="008C4010">
              <w:rPr>
                <w:rFonts w:cs="Times New Roman"/>
                <w:i/>
                <w:iCs/>
                <w:sz w:val="22"/>
              </w:rPr>
              <w:t xml:space="preserve">VviNPF2.1 </w:t>
            </w:r>
            <w:r w:rsidRPr="008C4010">
              <w:rPr>
                <w:rFonts w:cs="Times New Roman"/>
                <w:iCs/>
                <w:sz w:val="22"/>
              </w:rPr>
              <w:t>qPCR fragment</w:t>
            </w:r>
          </w:p>
        </w:tc>
        <w:tc>
          <w:tcPr>
            <w:tcW w:w="1134" w:type="dxa"/>
            <w:tcBorders>
              <w:top w:val="single" w:color="auto" w:sz="4" w:space="0"/>
            </w:tcBorders>
            <w:shd w:val="clear" w:color="auto" w:fill="auto"/>
            <w:noWrap/>
            <w:tcMar/>
            <w:vAlign w:val="center"/>
          </w:tcPr>
          <w:p w:rsidRPr="008C4010" w:rsidR="005379CA" w:rsidP="005379CA" w:rsidRDefault="005379CA" w14:paraId="32A6BB4A" w14:textId="77777777">
            <w:pPr>
              <w:spacing w:before="0" w:after="0"/>
              <w:rPr>
                <w:rFonts w:cs="Times New Roman"/>
              </w:rPr>
            </w:pPr>
            <w:r w:rsidRPr="008C4010">
              <w:rPr>
                <w:rFonts w:cs="Times New Roman"/>
                <w:sz w:val="22"/>
              </w:rPr>
              <w:t>Forward</w:t>
            </w:r>
          </w:p>
        </w:tc>
        <w:tc>
          <w:tcPr>
            <w:tcW w:w="4253" w:type="dxa"/>
            <w:tcBorders>
              <w:top w:val="single" w:color="auto" w:sz="4" w:space="0"/>
            </w:tcBorders>
            <w:shd w:val="clear" w:color="auto" w:fill="auto"/>
            <w:noWrap/>
            <w:tcMar/>
            <w:vAlign w:val="center"/>
          </w:tcPr>
          <w:p w:rsidRPr="008C4010" w:rsidR="005379CA" w:rsidP="005379CA" w:rsidRDefault="005379CA" w14:paraId="416BDEBF" w14:textId="77777777">
            <w:pPr>
              <w:spacing w:before="0" w:after="0"/>
              <w:rPr>
                <w:rFonts w:cs="Times New Roman"/>
                <w:color w:val="000000"/>
              </w:rPr>
            </w:pPr>
            <w:r w:rsidRPr="008C4010">
              <w:rPr>
                <w:rFonts w:cs="Times New Roman"/>
                <w:color w:val="000000"/>
                <w:sz w:val="22"/>
              </w:rPr>
              <w:t>GCCAAATTCTCAATGCCCTT</w:t>
            </w:r>
          </w:p>
        </w:tc>
        <w:tc>
          <w:tcPr>
            <w:tcW w:w="1276" w:type="dxa"/>
            <w:vMerge w:val="restart"/>
            <w:tcBorders>
              <w:top w:val="nil"/>
              <w:bottom w:val="single" w:color="000000" w:themeColor="text1" w:sz="8" w:space="0"/>
            </w:tcBorders>
            <w:shd w:val="clear" w:color="auto" w:fill="auto"/>
            <w:tcMar/>
            <w:vAlign w:val="center"/>
            <w:hideMark/>
          </w:tcPr>
          <w:p w:rsidRPr="008C4010" w:rsidR="005379CA" w:rsidP="005379CA" w:rsidRDefault="005379CA" w14:paraId="624D2F8F" w14:textId="77777777">
            <w:pPr>
              <w:spacing w:before="0" w:after="0"/>
              <w:rPr>
                <w:rFonts w:cs="Times New Roman"/>
              </w:rPr>
            </w:pPr>
            <w:r w:rsidRPr="008C4010">
              <w:rPr>
                <w:rFonts w:cs="Times New Roman"/>
                <w:sz w:val="22"/>
              </w:rPr>
              <w:t>RT-qPCR analysis</w:t>
            </w:r>
          </w:p>
        </w:tc>
      </w:tr>
      <w:tr w:rsidRPr="008C4010" w:rsidR="005379CA" w:rsidTr="6AC536E1" w14:paraId="2F87D696" w14:textId="77777777">
        <w:tc>
          <w:tcPr>
            <w:tcW w:w="2302" w:type="dxa"/>
            <w:vMerge/>
            <w:tcMar/>
            <w:vAlign w:val="center"/>
          </w:tcPr>
          <w:p w:rsidRPr="008C4010" w:rsidR="005379CA" w:rsidP="005379CA" w:rsidRDefault="005379CA" w14:paraId="4AAC0F94" w14:textId="77777777">
            <w:pPr>
              <w:spacing w:before="0" w:after="0"/>
              <w:rPr>
                <w:rFonts w:cs="Times New Roman"/>
                <w:i/>
                <w:iCs/>
              </w:rPr>
            </w:pPr>
          </w:p>
        </w:tc>
        <w:tc>
          <w:tcPr>
            <w:tcW w:w="1134" w:type="dxa"/>
            <w:tcBorders>
              <w:top w:val="nil"/>
            </w:tcBorders>
            <w:shd w:val="clear" w:color="auto" w:fill="auto"/>
            <w:noWrap/>
            <w:tcMar/>
            <w:vAlign w:val="center"/>
          </w:tcPr>
          <w:p w:rsidRPr="008C4010" w:rsidR="005379CA" w:rsidP="005379CA" w:rsidRDefault="005379CA" w14:paraId="45DE73F0" w14:textId="77777777">
            <w:pPr>
              <w:spacing w:before="0" w:after="0"/>
              <w:rPr>
                <w:rFonts w:cs="Times New Roman"/>
              </w:rPr>
            </w:pPr>
            <w:r w:rsidRPr="008C4010">
              <w:rPr>
                <w:rFonts w:cs="Times New Roman"/>
                <w:sz w:val="22"/>
              </w:rPr>
              <w:t>Reverse</w:t>
            </w:r>
          </w:p>
        </w:tc>
        <w:tc>
          <w:tcPr>
            <w:tcW w:w="4253" w:type="dxa"/>
            <w:tcBorders>
              <w:top w:val="nil"/>
            </w:tcBorders>
            <w:shd w:val="clear" w:color="auto" w:fill="auto"/>
            <w:noWrap/>
            <w:tcMar/>
            <w:vAlign w:val="center"/>
          </w:tcPr>
          <w:p w:rsidRPr="008C4010" w:rsidR="005379CA" w:rsidP="005379CA" w:rsidRDefault="005379CA" w14:paraId="0212897F" w14:textId="77777777">
            <w:pPr>
              <w:spacing w:before="0" w:after="0"/>
              <w:rPr>
                <w:rFonts w:cs="Times New Roman"/>
                <w:color w:val="000000"/>
              </w:rPr>
            </w:pPr>
            <w:r w:rsidRPr="008C4010">
              <w:rPr>
                <w:rFonts w:cs="Times New Roman"/>
                <w:color w:val="000000"/>
                <w:sz w:val="22"/>
              </w:rPr>
              <w:t>CAGGCTGGTTCTGGAGGTG</w:t>
            </w:r>
          </w:p>
        </w:tc>
        <w:tc>
          <w:tcPr>
            <w:tcW w:w="1276" w:type="dxa"/>
            <w:vMerge/>
            <w:tcMar/>
            <w:vAlign w:val="center"/>
            <w:hideMark/>
          </w:tcPr>
          <w:p w:rsidRPr="008C4010" w:rsidR="005379CA" w:rsidP="005379CA" w:rsidRDefault="005379CA" w14:paraId="1C316F4E" w14:textId="77777777">
            <w:pPr>
              <w:spacing w:before="0" w:after="0"/>
              <w:rPr>
                <w:rFonts w:cs="Times New Roman"/>
              </w:rPr>
            </w:pPr>
          </w:p>
        </w:tc>
      </w:tr>
      <w:tr w:rsidRPr="008C4010" w:rsidR="005379CA" w:rsidTr="6AC536E1" w14:paraId="75E4EA1F" w14:textId="77777777">
        <w:tc>
          <w:tcPr>
            <w:tcW w:w="2302" w:type="dxa"/>
            <w:vMerge w:val="restart"/>
            <w:tcBorders>
              <w:top w:val="none" w:color="000000" w:themeColor="text1" w:sz="4"/>
              <w:left w:val="none" w:color="000000" w:themeColor="text1" w:sz="4"/>
              <w:bottom w:val="none" w:color="000000" w:themeColor="text1" w:sz="4"/>
              <w:right w:val="none" w:color="000000" w:themeColor="text1" w:sz="4"/>
            </w:tcBorders>
            <w:shd w:val="clear" w:color="auto" w:fill="auto"/>
            <w:noWrap/>
            <w:tcMar/>
            <w:vAlign w:val="center"/>
          </w:tcPr>
          <w:p w:rsidRPr="008C4010" w:rsidR="005379CA" w:rsidP="005379CA" w:rsidRDefault="005379CA" w14:paraId="093FFB68" w14:textId="77777777">
            <w:pPr>
              <w:spacing w:before="0" w:after="0"/>
              <w:rPr>
                <w:rFonts w:cs="Times New Roman"/>
                <w:i/>
                <w:iCs/>
              </w:rPr>
            </w:pPr>
            <w:r w:rsidRPr="008C4010">
              <w:rPr>
                <w:rFonts w:cs="Times New Roman"/>
                <w:i/>
                <w:iCs/>
                <w:sz w:val="22"/>
              </w:rPr>
              <w:t xml:space="preserve">VviNPF2.2 </w:t>
            </w:r>
            <w:r w:rsidRPr="008C4010">
              <w:rPr>
                <w:rFonts w:cs="Times New Roman"/>
                <w:iCs/>
                <w:sz w:val="22"/>
              </w:rPr>
              <w:t>qPCR fragment</w:t>
            </w:r>
          </w:p>
        </w:tc>
        <w:tc>
          <w:tcPr>
            <w:tcW w:w="1134" w:type="dxa"/>
            <w:tcBorders>
              <w:left w:val="none" w:color="000000" w:themeColor="text1" w:sz="4"/>
            </w:tcBorders>
            <w:shd w:val="clear" w:color="auto" w:fill="auto"/>
            <w:noWrap/>
            <w:tcMar/>
            <w:vAlign w:val="center"/>
          </w:tcPr>
          <w:p w:rsidRPr="008C4010" w:rsidR="005379CA" w:rsidP="005379CA" w:rsidRDefault="005379CA" w14:paraId="769C801F" w14:textId="77777777">
            <w:pPr>
              <w:spacing w:before="0" w:after="0"/>
              <w:rPr>
                <w:rFonts w:cs="Times New Roman"/>
              </w:rPr>
            </w:pPr>
            <w:r w:rsidRPr="008C4010">
              <w:rPr>
                <w:rFonts w:cs="Times New Roman"/>
                <w:sz w:val="22"/>
              </w:rPr>
              <w:t>Forward</w:t>
            </w:r>
          </w:p>
        </w:tc>
        <w:tc>
          <w:tcPr>
            <w:tcW w:w="4253" w:type="dxa"/>
            <w:shd w:val="clear" w:color="auto" w:fill="auto"/>
            <w:noWrap/>
            <w:tcMar/>
            <w:vAlign w:val="center"/>
          </w:tcPr>
          <w:p w:rsidRPr="008C4010" w:rsidR="005379CA" w:rsidP="005379CA" w:rsidRDefault="005379CA" w14:paraId="6CEC2011" w14:textId="77777777">
            <w:pPr>
              <w:spacing w:before="0" w:after="0"/>
              <w:rPr>
                <w:rFonts w:cs="Times New Roman"/>
                <w:color w:val="000000"/>
              </w:rPr>
            </w:pPr>
            <w:r w:rsidRPr="008C4010">
              <w:rPr>
                <w:rFonts w:cs="Times New Roman"/>
                <w:color w:val="000000"/>
                <w:sz w:val="22"/>
              </w:rPr>
              <w:t>ATCGCATCCTATGTCCATTATG</w:t>
            </w:r>
          </w:p>
        </w:tc>
        <w:tc>
          <w:tcPr>
            <w:tcW w:w="1276" w:type="dxa"/>
            <w:vMerge/>
            <w:tcMar/>
            <w:vAlign w:val="center"/>
            <w:hideMark/>
          </w:tcPr>
          <w:p w:rsidRPr="008C4010" w:rsidR="005379CA" w:rsidP="005379CA" w:rsidRDefault="005379CA" w14:paraId="3997214A" w14:textId="77777777">
            <w:pPr>
              <w:spacing w:before="0" w:after="0"/>
              <w:rPr>
                <w:rFonts w:cs="Times New Roman"/>
              </w:rPr>
            </w:pPr>
          </w:p>
        </w:tc>
      </w:tr>
      <w:tr w:rsidRPr="008C4010" w:rsidR="005379CA" w:rsidTr="6AC536E1" w14:paraId="2109FA3F" w14:textId="77777777">
        <w:tc>
          <w:tcPr>
            <w:tcW w:w="2302" w:type="dxa"/>
            <w:vMerge/>
            <w:tcBorders>
              <w:top w:val="none" w:color="000000" w:themeColor="text1" w:sz="4"/>
              <w:left w:val="none" w:color="000000" w:themeColor="text1" w:sz="4"/>
              <w:bottom w:val="none" w:color="000000" w:themeColor="text1" w:sz="4"/>
              <w:right w:val="none" w:color="000000" w:themeColor="text1" w:sz="4"/>
            </w:tcBorders>
            <w:tcMar/>
            <w:vAlign w:val="center"/>
          </w:tcPr>
          <w:p w:rsidRPr="008C4010" w:rsidR="005379CA" w:rsidP="005379CA" w:rsidRDefault="005379CA" w14:paraId="69F6AA16" w14:textId="77777777">
            <w:pPr>
              <w:spacing w:before="0" w:after="0"/>
              <w:rPr>
                <w:rFonts w:cs="Times New Roman"/>
                <w:i/>
                <w:iCs/>
              </w:rPr>
            </w:pPr>
          </w:p>
        </w:tc>
        <w:tc>
          <w:tcPr>
            <w:tcW w:w="1134" w:type="dxa"/>
            <w:tcBorders>
              <w:top w:val="nil"/>
              <w:left w:val="none" w:color="000000" w:themeColor="text1" w:sz="4"/>
            </w:tcBorders>
            <w:shd w:val="clear" w:color="auto" w:fill="auto"/>
            <w:noWrap/>
            <w:tcMar/>
            <w:vAlign w:val="center"/>
          </w:tcPr>
          <w:p w:rsidRPr="008C4010" w:rsidR="005379CA" w:rsidP="005379CA" w:rsidRDefault="005379CA" w14:paraId="36E7ED87" w14:textId="77777777">
            <w:pPr>
              <w:spacing w:before="0" w:after="0"/>
              <w:rPr>
                <w:rFonts w:cs="Times New Roman"/>
              </w:rPr>
            </w:pPr>
            <w:r w:rsidRPr="008C4010">
              <w:rPr>
                <w:rFonts w:cs="Times New Roman"/>
                <w:sz w:val="22"/>
              </w:rPr>
              <w:t>Reverse</w:t>
            </w:r>
          </w:p>
        </w:tc>
        <w:tc>
          <w:tcPr>
            <w:tcW w:w="4253" w:type="dxa"/>
            <w:tcBorders>
              <w:top w:val="nil"/>
            </w:tcBorders>
            <w:shd w:val="clear" w:color="auto" w:fill="auto"/>
            <w:noWrap/>
            <w:tcMar/>
            <w:vAlign w:val="center"/>
          </w:tcPr>
          <w:p w:rsidRPr="008C4010" w:rsidR="005379CA" w:rsidP="005379CA" w:rsidRDefault="005379CA" w14:paraId="7A901E38" w14:textId="77777777">
            <w:pPr>
              <w:spacing w:before="0" w:after="0"/>
              <w:rPr>
                <w:rFonts w:cs="Times New Roman"/>
                <w:color w:val="000000"/>
              </w:rPr>
            </w:pPr>
            <w:r w:rsidRPr="008C4010">
              <w:rPr>
                <w:rFonts w:cs="Times New Roman"/>
                <w:color w:val="000000"/>
                <w:sz w:val="22"/>
              </w:rPr>
              <w:t>CAGGCTGGTTCTGGAGGTG</w:t>
            </w:r>
          </w:p>
        </w:tc>
        <w:tc>
          <w:tcPr>
            <w:tcW w:w="1276" w:type="dxa"/>
            <w:vMerge/>
            <w:tcMar/>
            <w:vAlign w:val="center"/>
            <w:hideMark/>
          </w:tcPr>
          <w:p w:rsidRPr="008C4010" w:rsidR="005379CA" w:rsidP="005379CA" w:rsidRDefault="005379CA" w14:paraId="05E443CE" w14:textId="77777777">
            <w:pPr>
              <w:spacing w:before="0" w:after="0"/>
              <w:rPr>
                <w:rFonts w:cs="Times New Roman"/>
              </w:rPr>
            </w:pPr>
          </w:p>
        </w:tc>
      </w:tr>
      <w:tr w:rsidRPr="008C4010" w:rsidR="005379CA" w:rsidTr="6AC536E1" w14:paraId="0986C4ED" w14:textId="77777777">
        <w:tc>
          <w:tcPr>
            <w:tcW w:w="2302" w:type="dxa"/>
            <w:vMerge w:val="restart"/>
            <w:tcBorders>
              <w:top w:val="none" w:color="000000" w:themeColor="text1" w:sz="4"/>
            </w:tcBorders>
            <w:shd w:val="clear" w:color="auto" w:fill="auto"/>
            <w:tcMar/>
            <w:vAlign w:val="center"/>
          </w:tcPr>
          <w:p w:rsidRPr="008C4010" w:rsidR="005379CA" w:rsidP="005379CA" w:rsidRDefault="005379CA" w14:paraId="16D21682" w14:textId="77777777">
            <w:pPr>
              <w:spacing w:before="0" w:after="0"/>
              <w:rPr>
                <w:rFonts w:cs="Times New Roman"/>
                <w:i/>
                <w:iCs/>
              </w:rPr>
            </w:pPr>
            <w:r w:rsidRPr="008C4010">
              <w:rPr>
                <w:rFonts w:cs="Times New Roman"/>
                <w:i/>
                <w:iCs/>
                <w:sz w:val="22"/>
              </w:rPr>
              <w:t xml:space="preserve">VviEF1-α </w:t>
            </w:r>
            <w:r w:rsidRPr="008C4010">
              <w:rPr>
                <w:rFonts w:cs="Times New Roman"/>
                <w:iCs/>
                <w:sz w:val="22"/>
              </w:rPr>
              <w:t>qPCR fragment</w:t>
            </w:r>
          </w:p>
        </w:tc>
        <w:tc>
          <w:tcPr>
            <w:tcW w:w="1134" w:type="dxa"/>
            <w:shd w:val="clear" w:color="auto" w:fill="auto"/>
            <w:noWrap/>
            <w:tcMar/>
            <w:vAlign w:val="center"/>
          </w:tcPr>
          <w:p w:rsidRPr="008C4010" w:rsidR="005379CA" w:rsidP="005379CA" w:rsidRDefault="005379CA" w14:paraId="14B647FB" w14:textId="77777777">
            <w:pPr>
              <w:spacing w:before="0" w:after="0"/>
              <w:rPr>
                <w:rFonts w:cs="Times New Roman"/>
              </w:rPr>
            </w:pPr>
            <w:r w:rsidRPr="008C4010">
              <w:rPr>
                <w:rFonts w:cs="Times New Roman"/>
                <w:sz w:val="22"/>
              </w:rPr>
              <w:t>Forward</w:t>
            </w:r>
          </w:p>
        </w:tc>
        <w:tc>
          <w:tcPr>
            <w:tcW w:w="4253" w:type="dxa"/>
            <w:shd w:val="clear" w:color="auto" w:fill="auto"/>
            <w:noWrap/>
            <w:tcMar/>
            <w:vAlign w:val="center"/>
          </w:tcPr>
          <w:p w:rsidRPr="008C4010" w:rsidR="005379CA" w:rsidP="005379CA" w:rsidRDefault="005379CA" w14:paraId="2FF417FD" w14:textId="77777777">
            <w:pPr>
              <w:spacing w:before="0" w:after="0"/>
              <w:rPr>
                <w:rFonts w:cs="Times New Roman"/>
                <w:color w:val="000000"/>
              </w:rPr>
            </w:pPr>
            <w:r w:rsidRPr="008C4010">
              <w:rPr>
                <w:rFonts w:cs="Times New Roman"/>
                <w:color w:val="000000"/>
                <w:sz w:val="22"/>
              </w:rPr>
              <w:t>GAACTGGGTGCTTGATAGGC</w:t>
            </w:r>
          </w:p>
        </w:tc>
        <w:tc>
          <w:tcPr>
            <w:tcW w:w="1276" w:type="dxa"/>
            <w:vMerge/>
            <w:tcMar/>
            <w:vAlign w:val="center"/>
            <w:hideMark/>
          </w:tcPr>
          <w:p w:rsidRPr="008C4010" w:rsidR="005379CA" w:rsidP="005379CA" w:rsidRDefault="005379CA" w14:paraId="42491A67" w14:textId="77777777">
            <w:pPr>
              <w:spacing w:before="0" w:after="0"/>
              <w:rPr>
                <w:rFonts w:cs="Times New Roman"/>
              </w:rPr>
            </w:pPr>
          </w:p>
        </w:tc>
      </w:tr>
      <w:tr w:rsidRPr="008C4010" w:rsidR="005379CA" w:rsidTr="6AC536E1" w14:paraId="24FF800A" w14:textId="77777777">
        <w:tc>
          <w:tcPr>
            <w:tcW w:w="2302" w:type="dxa"/>
            <w:vMerge/>
            <w:tcMar/>
            <w:vAlign w:val="center"/>
          </w:tcPr>
          <w:p w:rsidRPr="008C4010" w:rsidR="005379CA" w:rsidP="005379CA" w:rsidRDefault="005379CA" w14:paraId="123D73F8" w14:textId="77777777">
            <w:pPr>
              <w:spacing w:before="0" w:after="0"/>
              <w:rPr>
                <w:rFonts w:cs="Times New Roman"/>
                <w:i/>
                <w:iCs/>
              </w:rPr>
            </w:pPr>
          </w:p>
        </w:tc>
        <w:tc>
          <w:tcPr>
            <w:tcW w:w="1134" w:type="dxa"/>
            <w:tcBorders>
              <w:top w:val="nil"/>
            </w:tcBorders>
            <w:shd w:val="clear" w:color="auto" w:fill="auto"/>
            <w:noWrap/>
            <w:tcMar/>
            <w:vAlign w:val="center"/>
          </w:tcPr>
          <w:p w:rsidRPr="008C4010" w:rsidR="005379CA" w:rsidP="005379CA" w:rsidRDefault="005379CA" w14:paraId="5A96A997" w14:textId="77777777">
            <w:pPr>
              <w:spacing w:before="0" w:after="0"/>
              <w:rPr>
                <w:rFonts w:cs="Times New Roman"/>
              </w:rPr>
            </w:pPr>
            <w:r w:rsidRPr="008C4010">
              <w:rPr>
                <w:rFonts w:cs="Times New Roman"/>
                <w:sz w:val="22"/>
              </w:rPr>
              <w:t>Reverse</w:t>
            </w:r>
          </w:p>
        </w:tc>
        <w:tc>
          <w:tcPr>
            <w:tcW w:w="4253" w:type="dxa"/>
            <w:tcBorders>
              <w:top w:val="nil"/>
            </w:tcBorders>
            <w:shd w:val="clear" w:color="auto" w:fill="auto"/>
            <w:noWrap/>
            <w:tcMar/>
            <w:vAlign w:val="center"/>
          </w:tcPr>
          <w:p w:rsidRPr="008C4010" w:rsidR="005379CA" w:rsidP="005379CA" w:rsidRDefault="005379CA" w14:paraId="60F4DE0B" w14:textId="77777777">
            <w:pPr>
              <w:spacing w:before="0" w:after="0"/>
              <w:rPr>
                <w:rFonts w:cs="Times New Roman"/>
                <w:color w:val="000000"/>
              </w:rPr>
            </w:pPr>
            <w:r w:rsidRPr="008C4010">
              <w:rPr>
                <w:rFonts w:cs="Times New Roman"/>
                <w:color w:val="000000"/>
                <w:sz w:val="22"/>
              </w:rPr>
              <w:t>AACCAAAATATCCGGAGTAAAAGA</w:t>
            </w:r>
          </w:p>
        </w:tc>
        <w:tc>
          <w:tcPr>
            <w:tcW w:w="1276" w:type="dxa"/>
            <w:vMerge/>
            <w:tcMar/>
            <w:vAlign w:val="center"/>
            <w:hideMark/>
          </w:tcPr>
          <w:p w:rsidRPr="008C4010" w:rsidR="005379CA" w:rsidP="005379CA" w:rsidRDefault="005379CA" w14:paraId="2CF7442F" w14:textId="77777777">
            <w:pPr>
              <w:spacing w:before="0" w:after="0"/>
              <w:rPr>
                <w:rFonts w:cs="Times New Roman"/>
              </w:rPr>
            </w:pPr>
          </w:p>
        </w:tc>
      </w:tr>
      <w:tr w:rsidRPr="008C4010" w:rsidR="005379CA" w:rsidTr="6AC536E1" w14:paraId="34FC0297" w14:textId="77777777">
        <w:tc>
          <w:tcPr>
            <w:tcW w:w="2302" w:type="dxa"/>
            <w:vMerge w:val="restart"/>
            <w:shd w:val="clear" w:color="auto" w:fill="auto"/>
            <w:tcMar/>
            <w:vAlign w:val="center"/>
          </w:tcPr>
          <w:p w:rsidRPr="008C4010" w:rsidR="005379CA" w:rsidP="12189A14" w:rsidRDefault="12189A14" w14:paraId="78DFC59D" w14:textId="77777777">
            <w:pPr>
              <w:spacing w:before="0" w:after="0"/>
              <w:rPr>
                <w:rFonts w:cs="Times New Roman"/>
                <w:i/>
                <w:iCs/>
              </w:rPr>
            </w:pPr>
            <w:r w:rsidRPr="12189A14">
              <w:rPr>
                <w:rFonts w:cs="Times New Roman"/>
                <w:i/>
                <w:iCs/>
                <w:sz w:val="22"/>
              </w:rPr>
              <w:t xml:space="preserve">VviTUA </w:t>
            </w:r>
            <w:r w:rsidRPr="12189A14">
              <w:rPr>
                <w:rFonts w:cs="Times New Roman"/>
                <w:sz w:val="22"/>
              </w:rPr>
              <w:t>qPCR fragment</w:t>
            </w:r>
          </w:p>
        </w:tc>
        <w:tc>
          <w:tcPr>
            <w:tcW w:w="1134" w:type="dxa"/>
            <w:shd w:val="clear" w:color="auto" w:fill="auto"/>
            <w:noWrap/>
            <w:tcMar/>
            <w:vAlign w:val="center"/>
          </w:tcPr>
          <w:p w:rsidRPr="008C4010" w:rsidR="005379CA" w:rsidP="005379CA" w:rsidRDefault="005379CA" w14:paraId="3BAD0AE7" w14:textId="77777777">
            <w:pPr>
              <w:spacing w:before="0" w:after="0"/>
              <w:rPr>
                <w:rFonts w:cs="Times New Roman"/>
              </w:rPr>
            </w:pPr>
            <w:r w:rsidRPr="008C4010">
              <w:rPr>
                <w:rFonts w:cs="Times New Roman"/>
                <w:sz w:val="22"/>
              </w:rPr>
              <w:t>Forward</w:t>
            </w:r>
          </w:p>
        </w:tc>
        <w:tc>
          <w:tcPr>
            <w:tcW w:w="4253" w:type="dxa"/>
            <w:shd w:val="clear" w:color="auto" w:fill="auto"/>
            <w:noWrap/>
            <w:tcMar/>
            <w:vAlign w:val="center"/>
          </w:tcPr>
          <w:p w:rsidRPr="008C4010" w:rsidR="005379CA" w:rsidP="005379CA" w:rsidRDefault="005379CA" w14:paraId="788804EC" w14:textId="77777777">
            <w:pPr>
              <w:spacing w:before="0" w:after="0"/>
              <w:rPr>
                <w:rFonts w:cs="Times New Roman"/>
                <w:color w:val="000000"/>
              </w:rPr>
            </w:pPr>
            <w:r w:rsidRPr="008C4010">
              <w:rPr>
                <w:rFonts w:cs="Times New Roman"/>
                <w:color w:val="000000"/>
                <w:sz w:val="22"/>
              </w:rPr>
              <w:t>CAAAACCAAACGGACTGTTCAAT</w:t>
            </w:r>
          </w:p>
        </w:tc>
        <w:tc>
          <w:tcPr>
            <w:tcW w:w="1276" w:type="dxa"/>
            <w:vMerge/>
            <w:tcMar/>
            <w:vAlign w:val="center"/>
            <w:hideMark/>
          </w:tcPr>
          <w:p w:rsidRPr="008C4010" w:rsidR="005379CA" w:rsidP="005379CA" w:rsidRDefault="005379CA" w14:paraId="1531DD1B" w14:textId="77777777">
            <w:pPr>
              <w:spacing w:before="0" w:after="0"/>
              <w:rPr>
                <w:rFonts w:cs="Times New Roman"/>
              </w:rPr>
            </w:pPr>
          </w:p>
        </w:tc>
      </w:tr>
      <w:tr w:rsidRPr="008C4010" w:rsidR="005379CA" w:rsidTr="6AC536E1" w14:paraId="2D075FB3" w14:textId="77777777">
        <w:tc>
          <w:tcPr>
            <w:tcW w:w="2302" w:type="dxa"/>
            <w:vMerge/>
            <w:tcMar/>
            <w:vAlign w:val="center"/>
          </w:tcPr>
          <w:p w:rsidRPr="008C4010" w:rsidR="005379CA" w:rsidP="005379CA" w:rsidRDefault="005379CA" w14:paraId="42FC3405" w14:textId="77777777">
            <w:pPr>
              <w:spacing w:before="0" w:after="0"/>
              <w:rPr>
                <w:rFonts w:cs="Times New Roman"/>
                <w:i/>
                <w:iCs/>
              </w:rPr>
            </w:pPr>
          </w:p>
        </w:tc>
        <w:tc>
          <w:tcPr>
            <w:tcW w:w="1134" w:type="dxa"/>
            <w:tcBorders>
              <w:top w:val="nil"/>
            </w:tcBorders>
            <w:shd w:val="clear" w:color="auto" w:fill="auto"/>
            <w:noWrap/>
            <w:tcMar/>
            <w:vAlign w:val="center"/>
          </w:tcPr>
          <w:p w:rsidRPr="008C4010" w:rsidR="005379CA" w:rsidP="005379CA" w:rsidRDefault="005379CA" w14:paraId="60648380" w14:textId="77777777">
            <w:pPr>
              <w:spacing w:before="0" w:after="0"/>
              <w:rPr>
                <w:rFonts w:cs="Times New Roman"/>
              </w:rPr>
            </w:pPr>
            <w:r w:rsidRPr="008C4010">
              <w:rPr>
                <w:rFonts w:cs="Times New Roman"/>
                <w:sz w:val="22"/>
              </w:rPr>
              <w:t>Reverse</w:t>
            </w:r>
          </w:p>
        </w:tc>
        <w:tc>
          <w:tcPr>
            <w:tcW w:w="4253" w:type="dxa"/>
            <w:tcBorders>
              <w:top w:val="nil"/>
            </w:tcBorders>
            <w:shd w:val="clear" w:color="auto" w:fill="auto"/>
            <w:noWrap/>
            <w:tcMar/>
            <w:vAlign w:val="center"/>
          </w:tcPr>
          <w:p w:rsidRPr="008C4010" w:rsidR="005379CA" w:rsidP="005379CA" w:rsidRDefault="005379CA" w14:paraId="0B159D9F" w14:textId="77777777">
            <w:pPr>
              <w:spacing w:before="0" w:after="0"/>
              <w:rPr>
                <w:rFonts w:cs="Times New Roman"/>
                <w:color w:val="000000"/>
              </w:rPr>
            </w:pPr>
            <w:r w:rsidRPr="008C4010">
              <w:rPr>
                <w:rFonts w:cs="Times New Roman"/>
                <w:color w:val="000000"/>
                <w:sz w:val="22"/>
              </w:rPr>
              <w:t>GCACCTTAGCAAGATCACCC</w:t>
            </w:r>
          </w:p>
        </w:tc>
        <w:tc>
          <w:tcPr>
            <w:tcW w:w="1276" w:type="dxa"/>
            <w:vMerge/>
            <w:tcMar/>
            <w:vAlign w:val="center"/>
            <w:hideMark/>
          </w:tcPr>
          <w:p w:rsidRPr="008C4010" w:rsidR="005379CA" w:rsidP="005379CA" w:rsidRDefault="005379CA" w14:paraId="574C8140" w14:textId="77777777">
            <w:pPr>
              <w:spacing w:before="0" w:after="0"/>
              <w:rPr>
                <w:rFonts w:cs="Times New Roman"/>
              </w:rPr>
            </w:pPr>
          </w:p>
        </w:tc>
      </w:tr>
      <w:tr w:rsidRPr="008C4010" w:rsidR="005379CA" w:rsidTr="6AC536E1" w14:paraId="4AF98F50" w14:textId="77777777">
        <w:tc>
          <w:tcPr>
            <w:tcW w:w="2302" w:type="dxa"/>
            <w:vMerge w:val="restart"/>
            <w:tcBorders>
              <w:bottom w:val="single" w:color="auto" w:sz="4" w:space="0"/>
            </w:tcBorders>
            <w:shd w:val="clear" w:color="auto" w:fill="auto"/>
            <w:tcMar/>
            <w:vAlign w:val="center"/>
          </w:tcPr>
          <w:p w:rsidRPr="008C4010" w:rsidR="005379CA" w:rsidP="12189A14" w:rsidRDefault="12189A14" w14:paraId="0EEF1BA4" w14:textId="77777777">
            <w:pPr>
              <w:spacing w:before="0" w:after="0"/>
              <w:rPr>
                <w:rFonts w:cs="Times New Roman"/>
                <w:i/>
                <w:iCs/>
              </w:rPr>
            </w:pPr>
            <w:r w:rsidRPr="12189A14">
              <w:rPr>
                <w:rFonts w:cs="Times New Roman"/>
                <w:i/>
                <w:iCs/>
                <w:sz w:val="22"/>
              </w:rPr>
              <w:t xml:space="preserve">VviUBC </w:t>
            </w:r>
            <w:r w:rsidRPr="12189A14">
              <w:rPr>
                <w:rFonts w:cs="Times New Roman"/>
                <w:sz w:val="22"/>
              </w:rPr>
              <w:t>qPCR fragment</w:t>
            </w:r>
          </w:p>
        </w:tc>
        <w:tc>
          <w:tcPr>
            <w:tcW w:w="1134" w:type="dxa"/>
            <w:shd w:val="clear" w:color="auto" w:fill="auto"/>
            <w:noWrap/>
            <w:tcMar/>
            <w:vAlign w:val="center"/>
          </w:tcPr>
          <w:p w:rsidRPr="008C4010" w:rsidR="005379CA" w:rsidP="005379CA" w:rsidRDefault="005379CA" w14:paraId="06040C3E" w14:textId="77777777">
            <w:pPr>
              <w:spacing w:before="0" w:after="0"/>
              <w:rPr>
                <w:rFonts w:cs="Times New Roman"/>
              </w:rPr>
            </w:pPr>
            <w:r w:rsidRPr="008C4010">
              <w:rPr>
                <w:rFonts w:cs="Times New Roman"/>
                <w:sz w:val="22"/>
              </w:rPr>
              <w:t>Forward</w:t>
            </w:r>
          </w:p>
        </w:tc>
        <w:tc>
          <w:tcPr>
            <w:tcW w:w="4253" w:type="dxa"/>
            <w:shd w:val="clear" w:color="auto" w:fill="auto"/>
            <w:noWrap/>
            <w:tcMar/>
            <w:vAlign w:val="center"/>
          </w:tcPr>
          <w:p w:rsidRPr="008C4010" w:rsidR="005379CA" w:rsidP="005379CA" w:rsidRDefault="005379CA" w14:paraId="645659B3" w14:textId="77777777">
            <w:pPr>
              <w:spacing w:before="0" w:after="0"/>
              <w:rPr>
                <w:rFonts w:cs="Times New Roman"/>
                <w:color w:val="000000"/>
              </w:rPr>
            </w:pPr>
            <w:r w:rsidRPr="008C4010">
              <w:rPr>
                <w:rFonts w:cs="Times New Roman"/>
                <w:color w:val="000000"/>
                <w:sz w:val="22"/>
              </w:rPr>
              <w:t>GTGGAGCCCTGCACTTACC</w:t>
            </w:r>
          </w:p>
        </w:tc>
        <w:tc>
          <w:tcPr>
            <w:tcW w:w="1276" w:type="dxa"/>
            <w:vMerge/>
            <w:tcMar/>
            <w:vAlign w:val="center"/>
            <w:hideMark/>
          </w:tcPr>
          <w:p w:rsidRPr="008C4010" w:rsidR="005379CA" w:rsidP="005379CA" w:rsidRDefault="005379CA" w14:paraId="5FBC0430" w14:textId="77777777">
            <w:pPr>
              <w:spacing w:before="0" w:after="0"/>
              <w:rPr>
                <w:rFonts w:cs="Times New Roman"/>
              </w:rPr>
            </w:pPr>
          </w:p>
        </w:tc>
      </w:tr>
      <w:tr w:rsidRPr="008C4010" w:rsidR="005379CA" w:rsidTr="6AC536E1" w14:paraId="0E929B75" w14:textId="77777777">
        <w:tc>
          <w:tcPr>
            <w:tcW w:w="2302" w:type="dxa"/>
            <w:vMerge/>
            <w:tcMar/>
            <w:vAlign w:val="center"/>
          </w:tcPr>
          <w:p w:rsidRPr="008C4010" w:rsidR="005379CA" w:rsidP="005379CA" w:rsidRDefault="005379CA" w14:paraId="62FBBCCA" w14:textId="77777777">
            <w:pPr>
              <w:spacing w:before="0" w:after="0"/>
              <w:rPr>
                <w:rFonts w:cs="Times New Roman"/>
                <w:i/>
                <w:iCs/>
              </w:rPr>
            </w:pPr>
          </w:p>
        </w:tc>
        <w:tc>
          <w:tcPr>
            <w:tcW w:w="1134" w:type="dxa"/>
            <w:tcBorders>
              <w:bottom w:val="single" w:color="auto" w:sz="8" w:space="0"/>
            </w:tcBorders>
            <w:shd w:val="clear" w:color="auto" w:fill="auto"/>
            <w:noWrap/>
            <w:tcMar/>
            <w:vAlign w:val="center"/>
          </w:tcPr>
          <w:p w:rsidRPr="008C4010" w:rsidR="005379CA" w:rsidP="005379CA" w:rsidRDefault="005379CA" w14:paraId="6E866B38" w14:textId="77777777">
            <w:pPr>
              <w:spacing w:before="0" w:after="0"/>
              <w:rPr>
                <w:rFonts w:cs="Times New Roman"/>
              </w:rPr>
            </w:pPr>
            <w:r w:rsidRPr="008C4010">
              <w:rPr>
                <w:rFonts w:cs="Times New Roman"/>
                <w:sz w:val="22"/>
              </w:rPr>
              <w:t>Reverse</w:t>
            </w:r>
          </w:p>
        </w:tc>
        <w:tc>
          <w:tcPr>
            <w:tcW w:w="4253" w:type="dxa"/>
            <w:tcBorders>
              <w:bottom w:val="single" w:color="auto" w:sz="8" w:space="0"/>
            </w:tcBorders>
            <w:shd w:val="clear" w:color="auto" w:fill="auto"/>
            <w:noWrap/>
            <w:tcMar/>
            <w:vAlign w:val="center"/>
          </w:tcPr>
          <w:p w:rsidRPr="008C4010" w:rsidR="005379CA" w:rsidP="005379CA" w:rsidRDefault="005379CA" w14:paraId="35CC3B61" w14:textId="77777777">
            <w:pPr>
              <w:spacing w:before="0" w:after="0"/>
              <w:rPr>
                <w:rFonts w:cs="Times New Roman"/>
                <w:color w:val="000000"/>
              </w:rPr>
            </w:pPr>
            <w:r w:rsidRPr="008C4010">
              <w:rPr>
                <w:rFonts w:cs="Times New Roman"/>
                <w:color w:val="000000"/>
                <w:sz w:val="22"/>
              </w:rPr>
              <w:t>GAGGGTCGTCAGGATTTGGA</w:t>
            </w:r>
          </w:p>
        </w:tc>
        <w:tc>
          <w:tcPr>
            <w:tcW w:w="1276" w:type="dxa"/>
            <w:vMerge/>
            <w:tcMar/>
            <w:vAlign w:val="center"/>
            <w:hideMark/>
          </w:tcPr>
          <w:p w:rsidRPr="008C4010" w:rsidR="005379CA" w:rsidP="005379CA" w:rsidRDefault="005379CA" w14:paraId="770ED1C6" w14:textId="77777777">
            <w:pPr>
              <w:spacing w:before="0" w:after="0"/>
              <w:rPr>
                <w:rFonts w:cs="Times New Roman"/>
              </w:rPr>
            </w:pPr>
          </w:p>
        </w:tc>
      </w:tr>
    </w:tbl>
    <w:p w:rsidR="005379CA" w:rsidP="005379CA" w:rsidRDefault="005379CA" w14:paraId="29629B2A" w14:textId="2BC98881">
      <w:pPr>
        <w:spacing w:after="160" w:line="259" w:lineRule="auto"/>
        <w:rPr>
          <w:rFonts w:cs="Times New Roman"/>
          <w:sz w:val="22"/>
        </w:rPr>
      </w:pPr>
      <w:bookmarkStart w:name="_Toc10234412" w:id="4"/>
      <w:bookmarkStart w:name="_Hlk10236201" w:id="5"/>
    </w:p>
    <w:p w:rsidR="005379CA" w:rsidP="005379CA" w:rsidRDefault="005379CA" w14:paraId="6D867C1A" w14:textId="77777777">
      <w:pPr>
        <w:spacing w:after="160" w:line="259" w:lineRule="auto"/>
        <w:rPr>
          <w:rFonts w:cs="Times New Roman"/>
          <w:sz w:val="22"/>
        </w:rPr>
      </w:pPr>
    </w:p>
    <w:bookmarkEnd w:id="4"/>
    <w:bookmarkEnd w:id="5"/>
    <w:p w:rsidR="005379CA" w:rsidP="005379CA" w:rsidRDefault="6DF364EA" w14:paraId="0C21ACC5" w14:textId="77777777">
      <w:pPr>
        <w:pStyle w:val="Heading2"/>
        <w:numPr>
          <w:ilvl w:val="1"/>
          <w:numId w:val="0"/>
        </w:numPr>
        <w:ind w:left="567" w:hanging="567"/>
      </w:pPr>
      <w:r>
        <w:t>References</w:t>
      </w:r>
    </w:p>
    <w:p w:rsidRPr="00D77B69" w:rsidR="00D77B69" w:rsidP="6DF364EA" w:rsidRDefault="005379CA" w14:paraId="1BCDD632" w14:textId="22B72215">
      <w:pPr>
        <w:pStyle w:val="EndNoteBibliography"/>
        <w:spacing w:before="0"/>
        <w:ind w:left="720" w:hanging="720"/>
        <w:jc w:val="both"/>
        <w:rPr>
          <w:rFonts w:eastAsia="Times New Roman"/>
          <w:noProof w:val="0"/>
          <w:color w:val="000000" w:themeColor="text1"/>
          <w:szCs w:val="24"/>
          <w:lang w:val="en-AU"/>
        </w:rPr>
      </w:pPr>
      <w:r>
        <w:fldChar w:fldCharType="begin"/>
      </w:r>
      <w:r>
        <w:instrText xml:space="preserve"> ADDIN EN.REFLIST </w:instrText>
      </w:r>
      <w:r>
        <w:fldChar w:fldCharType="separate"/>
      </w:r>
      <w:r w:rsidR="6DF364EA">
        <w:t xml:space="preserve">Dry, P.R., Coombe, B.G., and Anderson, C.J. (2004). </w:t>
      </w:r>
      <w:r w:rsidRPr="6DF364EA" w:rsidR="6DF364EA">
        <w:rPr>
          <w:i/>
          <w:iCs/>
        </w:rPr>
        <w:t xml:space="preserve">Viticulture volume 1 – resources. </w:t>
      </w:r>
      <w:r w:rsidR="6DF364EA">
        <w:t>Adelaide: Winetitles.</w:t>
      </w:r>
    </w:p>
    <w:p w:rsidR="00D77B69" w:rsidP="00D77B69" w:rsidRDefault="00D77B69" w14:paraId="29384E0B" w14:textId="0BFAE926">
      <w:pPr>
        <w:pStyle w:val="EndNoteBibliography"/>
        <w:ind w:left="720" w:hanging="720"/>
      </w:pPr>
      <w:r w:rsidRPr="00D77B69">
        <w:t xml:space="preserve">Fasoli, M., Dal Santo, S., Zenoni, S., Tornielli, G.B., Farina, L., Zamboni, A., Porceddu, A., Venturini, L., Bicego, M., Murino, V., Ferrarini, A., Delledonne, M., and Pezzotti, M. (2012). The grapevine expression atlas reveals a deep transcriptome shift driving the entire plant into a maturation program. </w:t>
      </w:r>
      <w:r w:rsidRPr="00D77B69">
        <w:rPr>
          <w:i/>
        </w:rPr>
        <w:t>Plant Cell</w:t>
      </w:r>
      <w:r w:rsidRPr="00D77B69">
        <w:t xml:space="preserve"> 24</w:t>
      </w:r>
      <w:r w:rsidRPr="00D77B69">
        <w:rPr>
          <w:b/>
        </w:rPr>
        <w:t>,</w:t>
      </w:r>
      <w:r w:rsidRPr="00D77B69">
        <w:t xml:space="preserve"> 3489-3505.</w:t>
      </w:r>
    </w:p>
    <w:p w:rsidRPr="00AE4192" w:rsidR="00032605" w:rsidP="00032605" w:rsidRDefault="00032605" w14:paraId="44E4C431" w14:textId="77777777">
      <w:pPr>
        <w:pStyle w:val="EndNoteBibliography"/>
        <w:spacing w:after="0"/>
        <w:ind w:left="720" w:hanging="720"/>
      </w:pPr>
      <w:r w:rsidRPr="00AE4192">
        <w:t xml:space="preserve">Henderson, S.W., Baumann, U., Blackmore, D.H., Walker, A.R., Walker, R.R., and Gilliham, M. (2014). Shoot chloride exclusion and salt tolerance in grapevine is associated with differential ion transporter expression in roots. </w:t>
      </w:r>
      <w:r w:rsidRPr="00AE4192">
        <w:rPr>
          <w:i/>
        </w:rPr>
        <w:t>BMC Plant Biology</w:t>
      </w:r>
      <w:r w:rsidRPr="00AE4192">
        <w:t xml:space="preserve"> 14</w:t>
      </w:r>
      <w:r w:rsidRPr="00AE4192">
        <w:rPr>
          <w:b/>
        </w:rPr>
        <w:t>,</w:t>
      </w:r>
      <w:r w:rsidRPr="00AE4192">
        <w:t xml:space="preserve"> 273.</w:t>
      </w:r>
    </w:p>
    <w:p w:rsidRPr="00D77B69" w:rsidR="00032605" w:rsidP="00D77B69" w:rsidRDefault="00032605" w14:paraId="33CEFED1" w14:textId="77777777">
      <w:pPr>
        <w:pStyle w:val="EndNoteBibliography"/>
        <w:ind w:left="720" w:hanging="720"/>
      </w:pPr>
    </w:p>
    <w:p w:rsidRPr="001549D3" w:rsidR="00DE23E8" w:rsidP="005379CA" w:rsidRDefault="005379CA" w14:paraId="7B65BC41" w14:textId="1C78C268">
      <w:pPr>
        <w:pStyle w:val="Heading2"/>
        <w:numPr>
          <w:ilvl w:val="0"/>
          <w:numId w:val="0"/>
        </w:numPr>
        <w:ind w:left="567" w:hanging="567"/>
      </w:pPr>
      <w:r>
        <w:fldChar w:fldCharType="end"/>
      </w:r>
    </w:p>
    <w:sectPr w:rsidRPr="001549D3" w:rsidR="00DE23E8" w:rsidSect="0093429D">
      <w:headerReference w:type="even" r:id="rId15"/>
      <w:footerReference w:type="even" r:id="rId16"/>
      <w:footerReference w:type="default" r:id="rId17"/>
      <w:headerReference w:type="first" r:id="rId18"/>
      <w:pgSz w:w="12240" w:h="15840" w:orient="portrait"/>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6550" w:rsidP="00117666" w:rsidRDefault="00C86550" w14:paraId="3B271CF1" w14:textId="77777777">
      <w:pPr>
        <w:spacing w:after="0"/>
      </w:pPr>
      <w:r>
        <w:separator/>
      </w:r>
    </w:p>
  </w:endnote>
  <w:endnote w:type="continuationSeparator" w:id="0">
    <w:p w:rsidR="00C86550" w:rsidP="00117666" w:rsidRDefault="00C86550" w14:paraId="75696B1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577C4C" w:rsidR="00F70C2F" w:rsidRDefault="00444137" w14:paraId="2C93025F" w14:textId="57221407">
    <w:pPr>
      <w:rPr>
        <w:color w:val="C00000"/>
        <w:szCs w:val="24"/>
      </w:rPr>
    </w:pPr>
    <w:r>
      <w:rPr>
        <w:noProof/>
        <w:lang w:val="en-AU" w:eastAsia="en-AU"/>
      </w:rPr>
      <mc:AlternateContent>
        <mc:Choice Requires="wps">
          <w:drawing>
            <wp:anchor distT="0" distB="0" distL="114300" distR="114300" simplePos="0" relativeHeight="251659264" behindDoc="0" locked="0" layoutInCell="1" allowOverlap="1" wp14:anchorId="53C06BF8" wp14:editId="641D67C0">
              <wp:simplePos x="0" y="0"/>
              <wp:positionH relativeFrom="margin">
                <wp:align>right</wp:align>
              </wp:positionH>
              <wp:positionV relativeFrom="bottomMargin">
                <wp:align>top</wp:align>
              </wp:positionV>
              <wp:extent cx="1508760" cy="495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Pr="00577C4C" w:rsidR="00F70C2F" w:rsidRDefault="00C52A7B" w14:paraId="50BC4D33" w14:textId="112162C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13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53C06BF8">
              <v:stroke joinstyle="miter"/>
              <v:path gradientshapeok="t" o:connecttype="rect"/>
            </v:shapetype>
            <v:shape id="Text Box 3" style="position:absolute;margin-left:67.6pt;margin-top:0;width:118.8pt;height:3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">
              <v:path arrowok="t"/>
              <v:textbox style="mso-fit-shape-to-text:t">
                <w:txbxContent>
                  <w:p w:rsidRPr="00577C4C" w:rsidR="00F70C2F" w:rsidRDefault="00C52A7B" w14:paraId="50BC4D33" w14:textId="112162C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13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577C4C" w:rsidR="00F70C2F" w:rsidRDefault="00444137" w14:paraId="7B4D6A35" w14:textId="42AF6C4E">
    <w:pPr>
      <w:rPr>
        <w:b/>
        <w:sz w:val="20"/>
        <w:szCs w:val="24"/>
      </w:rPr>
    </w:pPr>
    <w:r>
      <w:rPr>
        <w:noProof/>
        <w:lang w:val="en-AU" w:eastAsia="en-AU"/>
      </w:rPr>
      <mc:AlternateContent>
        <mc:Choice Requires="wps">
          <w:drawing>
            <wp:anchor distT="0" distB="0" distL="114300" distR="114300" simplePos="0" relativeHeight="251646976" behindDoc="0" locked="0" layoutInCell="1" allowOverlap="1" wp14:anchorId="0AFFF0BC" wp14:editId="7E9203F9">
              <wp:simplePos x="0" y="0"/>
              <wp:positionH relativeFrom="margin">
                <wp:align>right</wp:align>
              </wp:positionH>
              <wp:positionV relativeFrom="bottomMargin">
                <wp:align>top</wp:align>
              </wp:positionV>
              <wp:extent cx="1508760" cy="495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Pr="00577C4C" w:rsidR="00F70C2F" w:rsidRDefault="00C52A7B" w14:paraId="570F0D09" w14:textId="26FD434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137">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AFFF0BC">
              <v:stroke joinstyle="miter"/>
              <v:path gradientshapeok="t" o:connecttype="rect"/>
            </v:shapetype>
            <v:shape id="Text Box 1" style="position:absolute;margin-left:67.6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">
              <v:path arrowok="t"/>
              <v:textbox style="mso-fit-shape-to-text:t">
                <w:txbxContent>
                  <w:p w:rsidRPr="00577C4C" w:rsidR="00F70C2F" w:rsidRDefault="00C52A7B" w14:paraId="570F0D09" w14:textId="26FD434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4137">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6550" w:rsidP="00117666" w:rsidRDefault="00C86550" w14:paraId="7B9AFCBF" w14:textId="77777777">
      <w:pPr>
        <w:spacing w:after="0"/>
      </w:pPr>
      <w:r>
        <w:separator/>
      </w:r>
    </w:p>
  </w:footnote>
  <w:footnote w:type="continuationSeparator" w:id="0">
    <w:p w:rsidR="00C86550" w:rsidP="00117666" w:rsidRDefault="00C86550" w14:paraId="238F71EB"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151AA" w:rsidR="00F70C2F" w:rsidRDefault="00C52A7B" w14:paraId="34AEF00C" w14:textId="77777777">
    <w:pPr>
      <w:rPr>
        <w:rFonts w:cs="Times New Roman"/>
      </w:rPr>
    </w:pPr>
    <w:r w:rsidRPr="009151AA">
      <w:rPr>
        <w:rFonts w:cs="Times New Roman"/>
      </w:rPr>
      <w:ptab w:alignment="center" w:relativeTo="margin" w:leader="none"/>
    </w:r>
    <w:r w:rsidRPr="009151AA">
      <w:rPr>
        <w:rFonts w:cs="Times New Roman"/>
      </w:rPr>
      <w:ptab w:alignment="right" w:relativeTo="margin" w:leader="none"/>
    </w:r>
    <w:r w:rsidRPr="009151AA" w:rsidR="001549D3">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70C2F" w:rsidP="0093429D" w:rsidRDefault="0093429D" w14:paraId="171D68C6" w14:textId="77777777">
    <w:r w:rsidRPr="005A1D84">
      <w:rPr>
        <w:b/>
        <w:noProof/>
        <w:color w:val="A6A6A6" w:themeColor="background1" w:themeShade="A6"/>
        <w:lang w:val="en-AU" w:eastAsia="en-AU"/>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sidR="00C52A7B">
      <w:rPr>
        <w:b/>
      </w:rPr>
      <w:ptab w:alignment="center" w:relativeTo="margin"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ascii="Times New Roman" w:hAnsi="Times New Roman"/>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57772623">
    <w:abstractNumId w:val="0"/>
  </w:num>
  <w:num w:numId="2" w16cid:durableId="1570925182">
    <w:abstractNumId w:val="4"/>
  </w:num>
  <w:num w:numId="3" w16cid:durableId="1040936644">
    <w:abstractNumId w:val="1"/>
  </w:num>
  <w:num w:numId="4" w16cid:durableId="491026760">
    <w:abstractNumId w:val="5"/>
  </w:num>
  <w:num w:numId="5" w16cid:durableId="816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8578140">
    <w:abstractNumId w:val="3"/>
  </w:num>
  <w:num w:numId="7" w16cid:durableId="1851406615">
    <w:abstractNumId w:val="6"/>
  </w:num>
  <w:num w:numId="8" w16cid:durableId="143279965">
    <w:abstractNumId w:val="6"/>
  </w:num>
  <w:num w:numId="9" w16cid:durableId="676926137">
    <w:abstractNumId w:val="6"/>
  </w:num>
  <w:num w:numId="10" w16cid:durableId="1910460018">
    <w:abstractNumId w:val="6"/>
  </w:num>
  <w:num w:numId="11" w16cid:durableId="467742994">
    <w:abstractNumId w:val="6"/>
  </w:num>
  <w:num w:numId="12" w16cid:durableId="1128743158">
    <w:abstractNumId w:val="6"/>
  </w:num>
  <w:num w:numId="13" w16cid:durableId="1759710048">
    <w:abstractNumId w:val="3"/>
  </w:num>
  <w:num w:numId="14" w16cid:durableId="1838033952">
    <w:abstractNumId w:val="2"/>
  </w:num>
  <w:num w:numId="15" w16cid:durableId="1695156877">
    <w:abstractNumId w:val="2"/>
  </w:num>
  <w:num w:numId="16" w16cid:durableId="1500267464">
    <w:abstractNumId w:val="2"/>
  </w:num>
  <w:num w:numId="17" w16cid:durableId="2028366420">
    <w:abstractNumId w:val="2"/>
  </w:num>
  <w:num w:numId="18" w16cid:durableId="784615421">
    <w:abstractNumId w:val="2"/>
  </w:num>
  <w:num w:numId="19" w16cid:durableId="1068842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8"/>
  <w:attachedTemplate r:id="rId1"/>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9s9sr2pzwraaedpswvdxff005x5wtrz50z&quot;&gt;Crystal EndNote Library from 2015&lt;record-ids&gt;&lt;item&gt;304&lt;/item&gt;&lt;item&gt;589&lt;/item&gt;&lt;/record-ids&gt;&lt;/item&gt;&lt;/Libraries&gt;"/>
  </w:docVars>
  <w:rsids>
    <w:rsidRoot w:val="00ED20B5"/>
    <w:rsid w:val="0001436A"/>
    <w:rsid w:val="00032605"/>
    <w:rsid w:val="00034304"/>
    <w:rsid w:val="00035434"/>
    <w:rsid w:val="00052A14"/>
    <w:rsid w:val="00077D53"/>
    <w:rsid w:val="00105FD9"/>
    <w:rsid w:val="00117666"/>
    <w:rsid w:val="001549D3"/>
    <w:rsid w:val="00160065"/>
    <w:rsid w:val="00177D84"/>
    <w:rsid w:val="001B4764"/>
    <w:rsid w:val="00267D18"/>
    <w:rsid w:val="00274347"/>
    <w:rsid w:val="00281A66"/>
    <w:rsid w:val="002868E2"/>
    <w:rsid w:val="002869C3"/>
    <w:rsid w:val="002936E4"/>
    <w:rsid w:val="002B4A57"/>
    <w:rsid w:val="002C74CA"/>
    <w:rsid w:val="002D5281"/>
    <w:rsid w:val="003123F4"/>
    <w:rsid w:val="00332E36"/>
    <w:rsid w:val="00350A70"/>
    <w:rsid w:val="003544FB"/>
    <w:rsid w:val="003D2F2D"/>
    <w:rsid w:val="003F0A43"/>
    <w:rsid w:val="00401590"/>
    <w:rsid w:val="00444137"/>
    <w:rsid w:val="00445777"/>
    <w:rsid w:val="00447801"/>
    <w:rsid w:val="00452E9C"/>
    <w:rsid w:val="004735C8"/>
    <w:rsid w:val="004947A6"/>
    <w:rsid w:val="004961FF"/>
    <w:rsid w:val="004972BD"/>
    <w:rsid w:val="004B11FE"/>
    <w:rsid w:val="00517A89"/>
    <w:rsid w:val="005250F2"/>
    <w:rsid w:val="005379CA"/>
    <w:rsid w:val="00593EEA"/>
    <w:rsid w:val="005A5EEE"/>
    <w:rsid w:val="005F1CEB"/>
    <w:rsid w:val="00607D6D"/>
    <w:rsid w:val="006375C7"/>
    <w:rsid w:val="00654E8F"/>
    <w:rsid w:val="00660D05"/>
    <w:rsid w:val="006820B1"/>
    <w:rsid w:val="006B7D14"/>
    <w:rsid w:val="00701727"/>
    <w:rsid w:val="0070566C"/>
    <w:rsid w:val="00714C50"/>
    <w:rsid w:val="00725A7D"/>
    <w:rsid w:val="007501BE"/>
    <w:rsid w:val="00790BB3"/>
    <w:rsid w:val="00794FB5"/>
    <w:rsid w:val="007A1405"/>
    <w:rsid w:val="007C206C"/>
    <w:rsid w:val="00817DD6"/>
    <w:rsid w:val="0083759F"/>
    <w:rsid w:val="008531A1"/>
    <w:rsid w:val="00863A0F"/>
    <w:rsid w:val="00885156"/>
    <w:rsid w:val="009151AA"/>
    <w:rsid w:val="0093429D"/>
    <w:rsid w:val="00943573"/>
    <w:rsid w:val="00964134"/>
    <w:rsid w:val="00970F7D"/>
    <w:rsid w:val="00994A3D"/>
    <w:rsid w:val="009C2B12"/>
    <w:rsid w:val="00A174D9"/>
    <w:rsid w:val="00A6212C"/>
    <w:rsid w:val="00AA4D24"/>
    <w:rsid w:val="00AB6715"/>
    <w:rsid w:val="00B1671E"/>
    <w:rsid w:val="00B25EB8"/>
    <w:rsid w:val="00B37F4D"/>
    <w:rsid w:val="00C52A7B"/>
    <w:rsid w:val="00C56BAF"/>
    <w:rsid w:val="00C679AA"/>
    <w:rsid w:val="00C75972"/>
    <w:rsid w:val="00C86550"/>
    <w:rsid w:val="00CD066B"/>
    <w:rsid w:val="00CE4FEE"/>
    <w:rsid w:val="00D060CF"/>
    <w:rsid w:val="00D143D1"/>
    <w:rsid w:val="00D77B69"/>
    <w:rsid w:val="00DB59C3"/>
    <w:rsid w:val="00DC259A"/>
    <w:rsid w:val="00DC6684"/>
    <w:rsid w:val="00DE23E8"/>
    <w:rsid w:val="00E135D7"/>
    <w:rsid w:val="00E52377"/>
    <w:rsid w:val="00E537AD"/>
    <w:rsid w:val="00E64E17"/>
    <w:rsid w:val="00E6511F"/>
    <w:rsid w:val="00E866C9"/>
    <w:rsid w:val="00EA3D3C"/>
    <w:rsid w:val="00EC090A"/>
    <w:rsid w:val="00ED20B5"/>
    <w:rsid w:val="00F46900"/>
    <w:rsid w:val="00F61D89"/>
    <w:rsid w:val="00F70C2F"/>
    <w:rsid w:val="02570C69"/>
    <w:rsid w:val="12189A14"/>
    <w:rsid w:val="2677A498"/>
    <w:rsid w:val="390F6605"/>
    <w:rsid w:val="4AF6B8BE"/>
    <w:rsid w:val="4CA3F82C"/>
    <w:rsid w:val="50958C62"/>
    <w:rsid w:val="6AC536E1"/>
    <w:rsid w:val="6B697952"/>
    <w:rsid w:val="6DF364EA"/>
    <w:rsid w:val="72B2B38C"/>
    <w:rsid w:val="738F7B76"/>
    <w:rsid w:val="73EBE556"/>
    <w:rsid w:val="7EB948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97952"/>
  <w15:docId w15:val="{6076C20B-B622-4986-B1F0-052F6B05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2"/>
    <w:rsid w:val="00AB6715"/>
    <w:rPr>
      <w:rFonts w:ascii="Times New Roman" w:hAnsi="Times New Roman" w:eastAsia="Cambria" w:cs="Times New Roman"/>
      <w:b/>
      <w:sz w:val="24"/>
      <w:szCs w:val="24"/>
    </w:rPr>
  </w:style>
  <w:style w:type="character" w:styleId="Heading2Char" w:customStyle="1">
    <w:name w:val="Heading 2 Char"/>
    <w:basedOn w:val="DefaultParagraphFont"/>
    <w:link w:val="Heading2"/>
    <w:uiPriority w:val="2"/>
    <w:rsid w:val="00AB6715"/>
    <w:rPr>
      <w:rFonts w:ascii="Times New Roman" w:hAnsi="Times New Roman" w:eastAsia="Cambria"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styleId="SubtitleChar" w:customStyle="1">
    <w:name w:val="Subtitle Char"/>
    <w:basedOn w:val="DefaultParagraphFont"/>
    <w:link w:val="Subtitle"/>
    <w:uiPriority w:val="99"/>
    <w:rsid w:val="00AB6715"/>
    <w:rPr>
      <w:rFonts w:ascii="Times New Roman" w:hAnsi="Times New Roman" w:cs="Times New Roman"/>
      <w:b/>
      <w:sz w:val="24"/>
      <w:szCs w:val="24"/>
    </w:rPr>
  </w:style>
  <w:style w:type="paragraph" w:styleId="AuthorList" w:customStyle="1">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styleId="CommentTextChar" w:customStyle="1">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styleId="CommentSubjectChar" w:customStyle="1">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styleId="EndnoteTextChar" w:customStyle="1">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styleId="FooterChar" w:customStyle="1">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styleId="FootnoteTextChar" w:customStyle="1">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styleId="HeaderChar" w:customStyle="1">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styleId="Headings" w:customStyle="1">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styleId="Heading3Char" w:customStyle="1">
    <w:name w:val="Heading 3 Char"/>
    <w:basedOn w:val="DefaultParagraphFont"/>
    <w:link w:val="Heading3"/>
    <w:uiPriority w:val="2"/>
    <w:rsid w:val="00AB6715"/>
    <w:rPr>
      <w:rFonts w:ascii="Times New Roman" w:hAnsi="Times New Roman" w:eastAsiaTheme="majorEastAsia" w:cstheme="majorBidi"/>
      <w:b/>
      <w:sz w:val="24"/>
      <w:szCs w:val="24"/>
    </w:rPr>
  </w:style>
  <w:style w:type="character" w:styleId="Heading4Char" w:customStyle="1">
    <w:name w:val="Heading 4 Char"/>
    <w:basedOn w:val="DefaultParagraphFont"/>
    <w:link w:val="Heading4"/>
    <w:uiPriority w:val="2"/>
    <w:rsid w:val="00AB6715"/>
    <w:rPr>
      <w:rFonts w:ascii="Times New Roman" w:hAnsi="Times New Roman" w:eastAsiaTheme="majorEastAsia" w:cstheme="majorBidi"/>
      <w:b/>
      <w:iCs/>
      <w:sz w:val="24"/>
      <w:szCs w:val="24"/>
    </w:rPr>
  </w:style>
  <w:style w:type="character" w:styleId="Heading5Char" w:customStyle="1">
    <w:name w:val="Heading 5 Char"/>
    <w:basedOn w:val="DefaultParagraphFont"/>
    <w:link w:val="Heading5"/>
    <w:uiPriority w:val="2"/>
    <w:rsid w:val="00AB6715"/>
    <w:rPr>
      <w:rFonts w:ascii="Times New Roman" w:hAnsi="Times New Roman" w:eastAsiaTheme="majorEastAsia"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styleId="TitleChar" w:customStyle="1">
    <w:name w:val="Title Char"/>
    <w:basedOn w:val="DefaultParagraphFont"/>
    <w:link w:val="Title"/>
    <w:rsid w:val="00AB6715"/>
    <w:rPr>
      <w:rFonts w:ascii="Times New Roman" w:hAnsi="Times New Roman" w:cs="Times New Roman"/>
      <w:b/>
      <w:sz w:val="32"/>
      <w:szCs w:val="32"/>
    </w:rPr>
  </w:style>
  <w:style w:type="paragraph" w:styleId="SupplementaryMaterial" w:customStyle="1">
    <w:name w:val="Supplementary Material"/>
    <w:basedOn w:val="Title"/>
    <w:next w:val="Title"/>
    <w:qFormat/>
    <w:rsid w:val="0001436A"/>
    <w:pPr>
      <w:spacing w:after="120"/>
    </w:pPr>
    <w:rPr>
      <w:i/>
    </w:rPr>
  </w:style>
  <w:style w:type="paragraph" w:styleId="EndNoteBibliographyTitle" w:customStyle="1">
    <w:name w:val="EndNote Bibliography Title"/>
    <w:basedOn w:val="Normal"/>
    <w:link w:val="EndNoteBibliographyTitleChar"/>
    <w:rsid w:val="005379CA"/>
    <w:pPr>
      <w:spacing w:after="0"/>
      <w:jc w:val="center"/>
    </w:pPr>
    <w:rPr>
      <w:rFonts w:cs="Times New Roman"/>
      <w:noProof/>
    </w:rPr>
  </w:style>
  <w:style w:type="character" w:styleId="EndNoteBibliographyTitleChar" w:customStyle="1">
    <w:name w:val="EndNote Bibliography Title Char"/>
    <w:basedOn w:val="Heading2Char"/>
    <w:link w:val="EndNoteBibliographyTitle"/>
    <w:rsid w:val="005379CA"/>
    <w:rPr>
      <w:rFonts w:ascii="Times New Roman" w:hAnsi="Times New Roman" w:eastAsia="Cambria" w:cs="Times New Roman"/>
      <w:b w:val="0"/>
      <w:noProof/>
      <w:sz w:val="24"/>
      <w:szCs w:val="24"/>
    </w:rPr>
  </w:style>
  <w:style w:type="paragraph" w:styleId="EndNoteBibliography" w:customStyle="1">
    <w:name w:val="EndNote Bibliography"/>
    <w:basedOn w:val="Normal"/>
    <w:link w:val="EndNoteBibliographyChar"/>
    <w:rsid w:val="005379CA"/>
    <w:rPr>
      <w:rFonts w:cs="Times New Roman"/>
      <w:noProof/>
    </w:rPr>
  </w:style>
  <w:style w:type="character" w:styleId="EndNoteBibliographyChar" w:customStyle="1">
    <w:name w:val="EndNote Bibliography Char"/>
    <w:basedOn w:val="Heading2Char"/>
    <w:link w:val="EndNoteBibliography"/>
    <w:rsid w:val="005379CA"/>
    <w:rPr>
      <w:rFonts w:ascii="Times New Roman" w:hAnsi="Times New Roman" w:eastAsia="Cambria" w:cs="Times New Roman"/>
      <w:b w:val="0"/>
      <w:noProof/>
      <w:sz w:val="24"/>
      <w:szCs w:val="24"/>
    </w:rPr>
  </w:style>
  <w:style w:type="paragraph" w:styleId="Revision">
    <w:name w:val="Revision"/>
    <w:hidden/>
    <w:uiPriority w:val="99"/>
    <w:semiHidden/>
    <w:rsid w:val="00A6212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tiff"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oleObject" Target="embeddings/oleObject1.bin"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2.emf" Id="rId10" /><Relationship Type="http://schemas.openxmlformats.org/officeDocument/2006/relationships/fontTable" Target="fontTable.xml" Id="rId19" /><Relationship Type="http://schemas.openxmlformats.org/officeDocument/2006/relationships/settings" Target="settings.xml" Id="rId4" /><Relationship Type="http://schemas.microsoft.com/office/2007/relationships/hdphoto" Target="media/hdphoto1.wdp" Id="rId9" /><Relationship Type="http://schemas.openxmlformats.org/officeDocument/2006/relationships/image" Target="/media/image5.png" Id="R8820f7f3f31043ad" /></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1EF9842-3B4A-4FE9-9A6B-E0E9F903136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C:\Users\joshua.stocco\Documents\Templates\Frontiers_Word_Templates\Supplementary_Material.dotx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Wu Crystal</dc:creator>
  <keywords/>
  <dc:description/>
  <lastModifiedBy>Wu Crystal</lastModifiedBy>
  <revision>6</revision>
  <lastPrinted>2013-10-03T12:51:00.0000000Z</lastPrinted>
  <dcterms:created xsi:type="dcterms:W3CDTF">2022-05-10T20:26:08.4070757Z</dcterms:created>
  <dcterms:modified xsi:type="dcterms:W3CDTF">2022-05-10T20:43:30.7082171Z</dcterms:modified>
</coreProperties>
</file>