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E9052B" w:rsidRDefault="00654E8F" w:rsidP="00E9052B">
      <w:pPr>
        <w:pStyle w:val="SupplementaryMaterial"/>
        <w:rPr>
          <w:b w:val="0"/>
          <w:sz w:val="24"/>
          <w:szCs w:val="24"/>
        </w:rPr>
      </w:pPr>
      <w:r w:rsidRPr="00E9052B">
        <w:rPr>
          <w:sz w:val="24"/>
          <w:szCs w:val="24"/>
        </w:rPr>
        <w:t>Supplementary Material</w:t>
      </w:r>
    </w:p>
    <w:p w14:paraId="6B8A9751" w14:textId="77777777" w:rsidR="00E9052B" w:rsidRPr="00E9052B" w:rsidRDefault="00E9052B" w:rsidP="00E9052B">
      <w:pPr>
        <w:spacing w:after="160"/>
        <w:ind w:firstLineChars="300" w:firstLine="723"/>
        <w:rPr>
          <w:rFonts w:eastAsia="宋体" w:cs="Times New Roman"/>
          <w:b/>
          <w:szCs w:val="24"/>
          <w:lang w:val="en-GB"/>
        </w:rPr>
      </w:pPr>
      <w:r w:rsidRPr="00E9052B">
        <w:rPr>
          <w:rFonts w:eastAsia="宋体" w:cs="Times New Roman"/>
          <w:b/>
          <w:szCs w:val="24"/>
          <w:lang w:val="en-GB"/>
        </w:rPr>
        <w:t>Supplemental Table 1. Basic characteristics of all treated patients.</w:t>
      </w:r>
    </w:p>
    <w:tbl>
      <w:tblPr>
        <w:tblW w:w="709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824"/>
        <w:gridCol w:w="1768"/>
        <w:gridCol w:w="1498"/>
      </w:tblGrid>
      <w:tr w:rsidR="00E9052B" w:rsidRPr="00E9052B" w14:paraId="4BB7216B" w14:textId="77777777" w:rsidTr="00E9052B">
        <w:trPr>
          <w:trHeight w:val="622"/>
        </w:trPr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F8E9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szCs w:val="24"/>
              </w:rPr>
              <w:t>Variables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E7851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szCs w:val="24"/>
              </w:rPr>
              <w:t>Number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ABB7B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szCs w:val="24"/>
              </w:rPr>
              <w:t>Proportion (%)</w:t>
            </w:r>
          </w:p>
        </w:tc>
      </w:tr>
      <w:tr w:rsidR="00E9052B" w:rsidRPr="00E9052B" w14:paraId="48A75F3E" w14:textId="77777777" w:rsidTr="00E9052B">
        <w:trPr>
          <w:trHeight w:val="288"/>
        </w:trPr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9E781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830D5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A39567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9052B" w:rsidRPr="00E9052B" w14:paraId="17A6F157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DAAA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Male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8E6C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9D11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47.3</w:t>
            </w:r>
          </w:p>
        </w:tc>
      </w:tr>
      <w:tr w:rsidR="00E9052B" w:rsidRPr="00E9052B" w14:paraId="529C1364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560DB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Female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1B1F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5F747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52.7</w:t>
            </w:r>
          </w:p>
        </w:tc>
      </w:tr>
      <w:tr w:rsidR="00E9052B" w:rsidRPr="00E9052B" w14:paraId="5C770A68" w14:textId="77777777" w:rsidTr="00E9052B">
        <w:trPr>
          <w:trHeight w:val="288"/>
        </w:trPr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0D0C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 xml:space="preserve">Median age at diagnosis, </w:t>
            </w:r>
            <w:proofErr w:type="spellStart"/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yr</w:t>
            </w:r>
            <w:proofErr w:type="spellEnd"/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 xml:space="preserve"> (range)        </w:t>
            </w:r>
            <w:r w:rsidRPr="00E9052B">
              <w:rPr>
                <w:rFonts w:cs="Times New Roman"/>
                <w:color w:val="000000"/>
                <w:szCs w:val="24"/>
              </w:rPr>
              <w:t>52 (40-70)</w:t>
            </w:r>
          </w:p>
        </w:tc>
      </w:tr>
      <w:tr w:rsidR="00E9052B" w:rsidRPr="00E9052B" w14:paraId="23A59A91" w14:textId="77777777" w:rsidTr="00E9052B">
        <w:trPr>
          <w:trHeight w:val="288"/>
        </w:trPr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731F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 xml:space="preserve">Median preoperative KPS (range)        </w:t>
            </w:r>
            <w:r w:rsidRPr="00E9052B">
              <w:rPr>
                <w:rFonts w:cs="Times New Roman"/>
                <w:szCs w:val="24"/>
              </w:rPr>
              <w:t> </w:t>
            </w:r>
            <w:r w:rsidRPr="00E9052B">
              <w:rPr>
                <w:rFonts w:cs="Times New Roman"/>
                <w:color w:val="000000"/>
                <w:szCs w:val="24"/>
              </w:rPr>
              <w:t>80 (70-100)</w:t>
            </w:r>
          </w:p>
        </w:tc>
      </w:tr>
      <w:tr w:rsidR="00E9052B" w:rsidRPr="00E9052B" w14:paraId="340AF0CA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7767B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MGMT promoter status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9234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C19E9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9052B" w:rsidRPr="00E9052B" w14:paraId="159664B1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4338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Methylation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87F3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5CA1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10.5</w:t>
            </w:r>
          </w:p>
        </w:tc>
      </w:tr>
      <w:tr w:rsidR="00E9052B" w:rsidRPr="00E9052B" w14:paraId="09555689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1A4B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Unmethylation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8756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C5BA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73.7</w:t>
            </w:r>
          </w:p>
        </w:tc>
      </w:tr>
      <w:tr w:rsidR="00E9052B" w:rsidRPr="00E9052B" w14:paraId="662DEA33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58E1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Unknown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8539B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C3FF2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15.8</w:t>
            </w:r>
          </w:p>
        </w:tc>
      </w:tr>
      <w:tr w:rsidR="00E9052B" w:rsidRPr="00E9052B" w14:paraId="53B35932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E84B7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IDH 1/2 mutations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62052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2BA57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9052B" w:rsidRPr="00E9052B" w14:paraId="7E7AE4BA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1B8D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Mutant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CFC99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37A6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10.5</w:t>
            </w:r>
          </w:p>
        </w:tc>
      </w:tr>
      <w:tr w:rsidR="00E9052B" w:rsidRPr="00E9052B" w14:paraId="3706F8CD" w14:textId="77777777" w:rsidTr="00E9052B">
        <w:trPr>
          <w:trHeight w:val="304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5BFC3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Wild-type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A6FF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6EFB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73.7</w:t>
            </w:r>
          </w:p>
        </w:tc>
      </w:tr>
      <w:tr w:rsidR="00E9052B" w:rsidRPr="00E9052B" w14:paraId="322F2AB4" w14:textId="77777777" w:rsidTr="00E9052B">
        <w:trPr>
          <w:trHeight w:val="304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3A8A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Unknown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A539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53C19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15.8</w:t>
            </w:r>
          </w:p>
        </w:tc>
      </w:tr>
      <w:tr w:rsidR="00E9052B" w:rsidRPr="00E9052B" w14:paraId="7E63F63D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607E5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TERT promoter mutations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9B82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99EF6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9052B" w:rsidRPr="00E9052B" w14:paraId="36C7D5DF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A8F2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Mutant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3857E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50BF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57.9</w:t>
            </w:r>
          </w:p>
        </w:tc>
      </w:tr>
      <w:tr w:rsidR="00E9052B" w:rsidRPr="00E9052B" w14:paraId="6F899431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4A42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Wildtype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950D7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F338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26.3</w:t>
            </w:r>
          </w:p>
        </w:tc>
      </w:tr>
      <w:tr w:rsidR="00E9052B" w:rsidRPr="00E9052B" w14:paraId="10F7850F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7123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Unknown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194FB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D16F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15.8</w:t>
            </w:r>
          </w:p>
        </w:tc>
      </w:tr>
      <w:tr w:rsidR="00E9052B" w:rsidRPr="00E9052B" w14:paraId="07155F00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85D2F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Status at last follow-up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B783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EB86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9052B" w:rsidRPr="00E9052B" w14:paraId="3B378BD6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A482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Alive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F197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102D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31.5</w:t>
            </w:r>
          </w:p>
        </w:tc>
      </w:tr>
      <w:tr w:rsidR="00E9052B" w:rsidRPr="00E9052B" w14:paraId="7A69B543" w14:textId="77777777" w:rsidTr="00E9052B">
        <w:trPr>
          <w:trHeight w:val="288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C6962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Dead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3A9DE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89E9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68.5</w:t>
            </w:r>
          </w:p>
        </w:tc>
      </w:tr>
      <w:tr w:rsidR="00E9052B" w:rsidRPr="00E9052B" w14:paraId="1131DE85" w14:textId="77777777" w:rsidTr="00E9052B">
        <w:trPr>
          <w:trHeight w:val="288"/>
        </w:trPr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BCF7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 xml:space="preserve">Median follow-up time, </w:t>
            </w:r>
            <w:proofErr w:type="spellStart"/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mo</w:t>
            </w:r>
            <w:proofErr w:type="spellEnd"/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 xml:space="preserve"> (range)        </w:t>
            </w:r>
            <w:r w:rsidRPr="00E9052B">
              <w:rPr>
                <w:rFonts w:cs="Times New Roman"/>
                <w:color w:val="000000"/>
                <w:szCs w:val="24"/>
              </w:rPr>
              <w:t>58.9 (34.6-80.2)</w:t>
            </w:r>
          </w:p>
        </w:tc>
      </w:tr>
    </w:tbl>
    <w:p w14:paraId="0C0E84EA" w14:textId="77777777" w:rsidR="00E9052B" w:rsidRPr="00E9052B" w:rsidRDefault="00E9052B" w:rsidP="00E9052B">
      <w:pPr>
        <w:rPr>
          <w:rFonts w:cs="Times New Roman"/>
          <w:color w:val="000000"/>
          <w:szCs w:val="24"/>
        </w:rPr>
      </w:pPr>
      <w:r w:rsidRPr="00E9052B">
        <w:rPr>
          <w:rFonts w:cs="Times New Roman"/>
          <w:color w:val="000000"/>
          <w:szCs w:val="24"/>
        </w:rPr>
        <w:t xml:space="preserve">KPS, </w:t>
      </w:r>
      <w:proofErr w:type="spellStart"/>
      <w:r w:rsidRPr="00E9052B">
        <w:rPr>
          <w:rFonts w:cs="Times New Roman"/>
          <w:color w:val="000000"/>
          <w:szCs w:val="24"/>
        </w:rPr>
        <w:t>Karnofsky</w:t>
      </w:r>
      <w:proofErr w:type="spellEnd"/>
      <w:r w:rsidRPr="00E9052B">
        <w:rPr>
          <w:rFonts w:cs="Times New Roman"/>
          <w:color w:val="000000"/>
          <w:szCs w:val="24"/>
        </w:rPr>
        <w:t xml:space="preserve"> performance score; MGMT, O6-methylguanine-DNA </w:t>
      </w:r>
      <w:proofErr w:type="spellStart"/>
      <w:r w:rsidRPr="00E9052B">
        <w:rPr>
          <w:rFonts w:cs="Times New Roman"/>
          <w:color w:val="000000"/>
          <w:szCs w:val="24"/>
        </w:rPr>
        <w:t>methyltransferase</w:t>
      </w:r>
      <w:proofErr w:type="spellEnd"/>
      <w:r w:rsidRPr="00E9052B">
        <w:rPr>
          <w:rFonts w:cs="Times New Roman"/>
          <w:color w:val="000000"/>
          <w:szCs w:val="24"/>
        </w:rPr>
        <w:t xml:space="preserve">; IDH, </w:t>
      </w:r>
      <w:proofErr w:type="spellStart"/>
      <w:r w:rsidRPr="00E9052B">
        <w:rPr>
          <w:rFonts w:cs="Times New Roman"/>
          <w:color w:val="000000"/>
          <w:szCs w:val="24"/>
        </w:rPr>
        <w:t>isocitrate</w:t>
      </w:r>
      <w:proofErr w:type="spellEnd"/>
      <w:r w:rsidRPr="00E9052B">
        <w:rPr>
          <w:rFonts w:cs="Times New Roman"/>
          <w:color w:val="000000"/>
          <w:szCs w:val="24"/>
        </w:rPr>
        <w:t xml:space="preserve"> </w:t>
      </w:r>
      <w:proofErr w:type="spellStart"/>
      <w:r w:rsidRPr="00E9052B">
        <w:rPr>
          <w:rFonts w:cs="Times New Roman"/>
          <w:color w:val="000000"/>
          <w:szCs w:val="24"/>
        </w:rPr>
        <w:t>dehydrogenase.TERT</w:t>
      </w:r>
      <w:proofErr w:type="spellEnd"/>
      <w:r w:rsidRPr="00E9052B">
        <w:rPr>
          <w:rFonts w:cs="Times New Roman"/>
          <w:color w:val="000000"/>
          <w:szCs w:val="24"/>
        </w:rPr>
        <w:t>, Telomerase reverse transcriptase.</w:t>
      </w:r>
    </w:p>
    <w:p w14:paraId="7DD487D6" w14:textId="77777777" w:rsidR="00E9052B" w:rsidRPr="00E9052B" w:rsidRDefault="00E9052B" w:rsidP="00E9052B">
      <w:pPr>
        <w:spacing w:after="160"/>
        <w:ind w:firstLineChars="300" w:firstLine="720"/>
        <w:rPr>
          <w:rFonts w:eastAsia="宋体" w:cs="Times New Roman"/>
          <w:szCs w:val="24"/>
          <w:lang w:val="en-GB"/>
        </w:rPr>
      </w:pPr>
    </w:p>
    <w:p w14:paraId="3EDBFD6E" w14:textId="77777777" w:rsidR="00E9052B" w:rsidRPr="00E9052B" w:rsidRDefault="00E9052B" w:rsidP="00E9052B">
      <w:pPr>
        <w:spacing w:after="160"/>
        <w:ind w:firstLineChars="300" w:firstLine="723"/>
        <w:rPr>
          <w:rFonts w:eastAsia="宋体" w:cs="Times New Roman"/>
          <w:b/>
          <w:szCs w:val="24"/>
          <w:lang w:val="en-GB"/>
        </w:rPr>
      </w:pPr>
      <w:r w:rsidRPr="00E9052B">
        <w:rPr>
          <w:rFonts w:eastAsia="宋体" w:cs="Times New Roman"/>
          <w:b/>
          <w:szCs w:val="24"/>
          <w:lang w:val="en-GB"/>
        </w:rPr>
        <w:t>Supplemental Table 2. Detailed experimental conditions of the MIF assay.</w:t>
      </w:r>
    </w:p>
    <w:tbl>
      <w:tblPr>
        <w:tblStyle w:val="afc"/>
        <w:tblW w:w="5000" w:type="pc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1252"/>
        <w:gridCol w:w="2866"/>
        <w:gridCol w:w="1057"/>
        <w:gridCol w:w="1878"/>
        <w:gridCol w:w="1817"/>
      </w:tblGrid>
      <w:tr w:rsidR="00E9052B" w:rsidRPr="00E9052B" w14:paraId="46644318" w14:textId="77777777" w:rsidTr="00E9052B">
        <w:trPr>
          <w:trHeight w:val="56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312C7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Supplement Table 2A: Primary antibodies used in the multiplex immunofluorescence assay.</w:t>
            </w:r>
          </w:p>
        </w:tc>
      </w:tr>
      <w:tr w:rsidR="00E9052B" w:rsidRPr="00E9052B" w14:paraId="4974F80B" w14:textId="77777777" w:rsidTr="00E9052B">
        <w:trPr>
          <w:trHeight w:val="566"/>
        </w:trPr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ED1A7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Stain Order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DB6A8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Antibody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050D57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Clone or lot# (host)/Company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DB94A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Dilution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A414B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Opal dye (Dilution)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7CC49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CITY/Nation</w:t>
            </w:r>
          </w:p>
        </w:tc>
      </w:tr>
      <w:tr w:rsidR="00E9052B" w:rsidRPr="00E9052B" w14:paraId="1010E0CF" w14:textId="77777777" w:rsidTr="00E9052B">
        <w:trPr>
          <w:trHeight w:val="566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5C8A93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3CF54F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CD8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9B8B40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ab4055(Rabbit)/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39EEE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1/400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8E761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540 (1:100)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556BAE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3B0397C8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D1C92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DEFC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PD-1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5282C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NAT105 (Mouse)/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2E943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1/400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BA1E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650 (1:100)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10C7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7C6C6B18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2A64E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BF38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Gp96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ED31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ab3674 (Rabbit)/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4C3B2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1/400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28D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570 (1:100)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F2A7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6E33A555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57872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A89A6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GFAP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F962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EPR1034Y (Rabbit)/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FF88F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1/400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F6E19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690 (1:100)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FA18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605BA79D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A950E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51893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CD4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C74C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EPR6855 (Rabbit)/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7D02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1/400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33C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620 (1:100)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171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524821AC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A13F8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D41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MxA</w:t>
            </w:r>
            <w:proofErr w:type="spellEnd"/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0EBF1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ab95926 (Rabbit)/</w:t>
            </w:r>
            <w:proofErr w:type="spellStart"/>
            <w:r w:rsidRPr="00E9052B">
              <w:rPr>
                <w:rFonts w:cs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84CDF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1/200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9FC6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520 (1:100)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AD5A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Cambridge/UK</w:t>
            </w:r>
          </w:p>
        </w:tc>
      </w:tr>
      <w:tr w:rsidR="00E9052B" w:rsidRPr="00E9052B" w14:paraId="57B363DE" w14:textId="77777777" w:rsidTr="00E9052B">
        <w:trPr>
          <w:trHeight w:val="566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0A45E" w14:textId="77777777" w:rsidR="00E9052B" w:rsidRPr="00E9052B" w:rsidRDefault="00E9052B" w:rsidP="00E9052B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E7EAB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DAPI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E3BC4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C0060/Solarbio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79949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1/500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03925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D200D" w14:textId="77777777" w:rsidR="00E9052B" w:rsidRPr="00E9052B" w:rsidRDefault="00E9052B" w:rsidP="00E9052B">
            <w:pPr>
              <w:rPr>
                <w:rFonts w:cs="Times New Roman"/>
                <w:color w:val="000000"/>
                <w:szCs w:val="24"/>
              </w:rPr>
            </w:pPr>
            <w:r w:rsidRPr="00E9052B">
              <w:rPr>
                <w:rFonts w:cs="Times New Roman"/>
                <w:color w:val="000000"/>
                <w:szCs w:val="24"/>
              </w:rPr>
              <w:t>Beijing/China</w:t>
            </w:r>
          </w:p>
        </w:tc>
      </w:tr>
    </w:tbl>
    <w:p w14:paraId="6B8D6499" w14:textId="77777777" w:rsidR="00E9052B" w:rsidRPr="00E9052B" w:rsidRDefault="00E9052B" w:rsidP="00E9052B">
      <w:pPr>
        <w:spacing w:after="160"/>
        <w:rPr>
          <w:rFonts w:eastAsia="宋体" w:cs="Times New Roman"/>
          <w:szCs w:val="24"/>
          <w:lang w:val="en-GB"/>
        </w:rPr>
      </w:pPr>
    </w:p>
    <w:tbl>
      <w:tblPr>
        <w:tblW w:w="50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990"/>
        <w:gridCol w:w="1117"/>
        <w:gridCol w:w="1117"/>
        <w:gridCol w:w="1117"/>
        <w:gridCol w:w="1117"/>
        <w:gridCol w:w="1136"/>
        <w:gridCol w:w="1072"/>
      </w:tblGrid>
      <w:tr w:rsidR="00E9052B" w:rsidRPr="00E9052B" w14:paraId="2912D1F2" w14:textId="77777777" w:rsidTr="00E9052B">
        <w:trPr>
          <w:trHeight w:val="86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7538DA" w14:textId="77777777" w:rsidR="00E9052B" w:rsidRPr="00E9052B" w:rsidRDefault="00E9052B" w:rsidP="00E9052B">
            <w:pPr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 xml:space="preserve">Supplement Table 2B: Experimental conditions and procedures for </w:t>
            </w:r>
            <w:r w:rsidRPr="00E9052B">
              <w:rPr>
                <w:rFonts w:cs="Times New Roman"/>
                <w:b/>
                <w:bCs/>
                <w:color w:val="000000"/>
                <w:szCs w:val="24"/>
              </w:rPr>
              <w:t>the multiplex immunofluorescence assay.</w:t>
            </w: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 </w:t>
            </w:r>
          </w:p>
        </w:tc>
      </w:tr>
      <w:tr w:rsidR="00E9052B" w:rsidRPr="00E9052B" w14:paraId="7BA263B5" w14:textId="77777777" w:rsidTr="00E9052B">
        <w:trPr>
          <w:trHeight w:val="676"/>
        </w:trPr>
        <w:tc>
          <w:tcPr>
            <w:tcW w:w="10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D071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Antigen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D5861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CD8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8736C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PD-1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4CDF6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Gp96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24842E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GFAP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FD743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CD4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21D87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b/>
                <w:bCs/>
                <w:color w:val="000000"/>
                <w:kern w:val="24"/>
                <w:szCs w:val="24"/>
              </w:rPr>
            </w:pPr>
            <w:proofErr w:type="spellStart"/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MxA</w:t>
            </w:r>
            <w:proofErr w:type="spellEnd"/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D38502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DAPI</w:t>
            </w:r>
          </w:p>
        </w:tc>
      </w:tr>
      <w:tr w:rsidR="00E9052B" w:rsidRPr="00E9052B" w14:paraId="48F4D16A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D8099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lastRenderedPageBreak/>
              <w:t>Antigen retrieval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5DDC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AR6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9B392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AR6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7ABC2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AR9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92303D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AR6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173D9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AR9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FD96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AR6 </w:t>
            </w:r>
            <w:r w:rsidRPr="00E9052B">
              <w:rPr>
                <w:rFonts w:cs="Times New Roman"/>
                <w:color w:val="000000"/>
                <w:kern w:val="24"/>
                <w:szCs w:val="24"/>
              </w:rPr>
              <w:br/>
              <w:t>20 min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E2E59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06EB457D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2BB7A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Wash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F2DB5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4B79524B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6E369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85EF6A9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2957C2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53188751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C0018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3A6C9879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222841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06F3EB4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520E2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138B5F5D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D628E2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6BA6B517" w14:textId="77777777" w:rsidTr="00E9052B">
        <w:trPr>
          <w:trHeight w:val="1056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D588A8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Blocking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E84A02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366BF250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3BBAC1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1C787A32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4A236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47FFC77C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94C008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7797C087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20224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14D8E5BD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24226" w14:textId="77777777" w:rsidR="00E9052B" w:rsidRPr="00E9052B" w:rsidRDefault="00E9052B" w:rsidP="00E9052B">
            <w:pPr>
              <w:jc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6BE09860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27C49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0B45E4EF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7E1283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 xml:space="preserve">Inc. with Primary antibody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991FCF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60 min</w:t>
            </w:r>
          </w:p>
          <w:p w14:paraId="0D65F130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@37℃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E27FA1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Over night</w:t>
            </w:r>
          </w:p>
          <w:p w14:paraId="7E470383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@4℃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5EADBE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Over night</w:t>
            </w:r>
          </w:p>
          <w:p w14:paraId="1C3C1889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@4℃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85F053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60 min</w:t>
            </w:r>
          </w:p>
          <w:p w14:paraId="55616E9A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@37℃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DCEA9B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Over night</w:t>
            </w:r>
          </w:p>
          <w:p w14:paraId="5720FBEC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@4℃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D6EBE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Over night</w:t>
            </w:r>
          </w:p>
          <w:p w14:paraId="2C3E38FB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@4℃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CB35F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6A1A3A92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</w:tr>
      <w:tr w:rsidR="00E9052B" w:rsidRPr="00E9052B" w14:paraId="023CB7F1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C5BE6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Wash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0E4D70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22BD9516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D26D6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3997C246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04CBCD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690B3F2D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839B07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26DF5B26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B8812B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7E40299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82698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483DA3F5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C7C8E3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2E72B95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</w:tr>
      <w:tr w:rsidR="00E9052B" w:rsidRPr="00E9052B" w14:paraId="39358143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6945A8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 xml:space="preserve">Inc. with Opal HRP Polymer </w:t>
            </w:r>
            <w:proofErr w:type="spellStart"/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Ms+Rb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22535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027A57AC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8206CD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594BAB7C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FE89B1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2DF51661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8613B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7566CDAD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D5D5D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44236179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F2AA3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09F3743A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BE93B6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64E4362D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CC081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Wash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61F48D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2EF76FB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B41FAD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14300BE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4684BA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365E9030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E5940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5B42E7F5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C97793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3BFD0683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FADB2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29E78B43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65E16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Mounting</w:t>
            </w:r>
          </w:p>
        </w:tc>
      </w:tr>
      <w:tr w:rsidR="00E9052B" w:rsidRPr="00E9052B" w14:paraId="32BEF130" w14:textId="77777777" w:rsidTr="00E9052B">
        <w:trPr>
          <w:trHeight w:val="1124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F416E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 xml:space="preserve">Inc. with Opal Dye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DCDB6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540</w:t>
            </w:r>
          </w:p>
          <w:p w14:paraId="6D499429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3AC5C8F4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B0D62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650</w:t>
            </w:r>
          </w:p>
          <w:p w14:paraId="32FD5327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3B6BBDE2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606237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570</w:t>
            </w:r>
          </w:p>
          <w:p w14:paraId="1FA4AD07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0B8E9F3E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7FBBC0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690</w:t>
            </w:r>
          </w:p>
          <w:p w14:paraId="3452B7BA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645F2187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61268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620</w:t>
            </w:r>
          </w:p>
          <w:p w14:paraId="084CFBDF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0C67568F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0566E" w14:textId="77777777" w:rsidR="00E9052B" w:rsidRPr="00E9052B" w:rsidRDefault="00E9052B" w:rsidP="00E9052B">
            <w:pPr>
              <w:jc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opal 520</w:t>
            </w:r>
          </w:p>
          <w:p w14:paraId="37B0B9CA" w14:textId="77777777" w:rsidR="00E9052B" w:rsidRPr="00E9052B" w:rsidRDefault="00E9052B" w:rsidP="00E9052B">
            <w:pPr>
              <w:jc w:val="center"/>
              <w:textAlignment w:val="center"/>
              <w:rPr>
                <w:rFonts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  <w:p w14:paraId="11D44FBB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@RT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036824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56B648F8" w14:textId="77777777" w:rsidTr="00E9052B">
        <w:trPr>
          <w:trHeight w:val="867"/>
        </w:trPr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379C8C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b/>
                <w:bCs/>
                <w:szCs w:val="24"/>
              </w:rPr>
            </w:pPr>
            <w:r w:rsidRPr="00E9052B">
              <w:rPr>
                <w:rFonts w:cs="Times New Roman"/>
                <w:b/>
                <w:bCs/>
                <w:color w:val="000000"/>
                <w:kern w:val="24"/>
                <w:szCs w:val="24"/>
              </w:rPr>
              <w:t>Wash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D8619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C8E1B64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BD888B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7C2C25B1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EF867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77C6010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7DF4B8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00220573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37AEA5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5733CDAD" w14:textId="77777777" w:rsidR="00E9052B" w:rsidRPr="00E9052B" w:rsidRDefault="00E9052B" w:rsidP="00E9052B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656FC" w14:textId="77777777" w:rsidR="00E9052B" w:rsidRPr="00E9052B" w:rsidRDefault="00E9052B" w:rsidP="00E9052B">
            <w:pPr>
              <w:jc w:val="center"/>
              <w:textAlignment w:val="center"/>
              <w:rPr>
                <w:rFonts w:eastAsia="等线" w:cs="Times New Roman"/>
                <w:color w:val="000000"/>
                <w:kern w:val="24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TBST</w:t>
            </w:r>
          </w:p>
          <w:p w14:paraId="66240C63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>10 min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C2223" w14:textId="77777777" w:rsidR="00E9052B" w:rsidRPr="00E9052B" w:rsidRDefault="00E9052B" w:rsidP="00E905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E9052B" w:rsidRPr="00E9052B" w14:paraId="48F1C30C" w14:textId="77777777" w:rsidTr="00E9052B">
        <w:trPr>
          <w:trHeight w:val="867"/>
        </w:trPr>
        <w:tc>
          <w:tcPr>
            <w:tcW w:w="5000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A1A2B09" w14:textId="77777777" w:rsidR="00E9052B" w:rsidRPr="00E9052B" w:rsidRDefault="00E9052B" w:rsidP="00E9052B">
            <w:pPr>
              <w:textAlignment w:val="center"/>
              <w:rPr>
                <w:rFonts w:eastAsia="宋体" w:cs="Times New Roman"/>
                <w:szCs w:val="24"/>
              </w:rPr>
            </w:pPr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Abbreviations: AR6: Antigen retrieval at pH=6; AR9: Antigen retrieval at pH=9; @; at; RT: at Room temperature; </w:t>
            </w:r>
            <w:proofErr w:type="spellStart"/>
            <w:r w:rsidRPr="00E9052B">
              <w:rPr>
                <w:rFonts w:cs="Times New Roman"/>
                <w:color w:val="000000"/>
                <w:kern w:val="24"/>
                <w:szCs w:val="24"/>
              </w:rPr>
              <w:t>Inc</w:t>
            </w:r>
            <w:proofErr w:type="spellEnd"/>
            <w:r w:rsidRPr="00E9052B">
              <w:rPr>
                <w:rFonts w:cs="Times New Roman"/>
                <w:color w:val="000000"/>
                <w:kern w:val="24"/>
                <w:szCs w:val="24"/>
              </w:rPr>
              <w:t xml:space="preserve">: Incubation; Temp: Temperature; </w:t>
            </w:r>
            <w:proofErr w:type="spellStart"/>
            <w:r w:rsidRPr="00E9052B">
              <w:rPr>
                <w:rFonts w:cs="Times New Roman"/>
                <w:color w:val="000000"/>
                <w:kern w:val="24"/>
                <w:szCs w:val="24"/>
              </w:rPr>
              <w:t>Ms+Rb</w:t>
            </w:r>
            <w:proofErr w:type="spellEnd"/>
            <w:r w:rsidRPr="00E9052B">
              <w:rPr>
                <w:rFonts w:cs="Times New Roman"/>
                <w:color w:val="000000"/>
                <w:kern w:val="24"/>
                <w:szCs w:val="24"/>
              </w:rPr>
              <w:t>: Mouse and Rabbit</w:t>
            </w:r>
          </w:p>
        </w:tc>
      </w:tr>
    </w:tbl>
    <w:p w14:paraId="2A5923BD" w14:textId="77777777" w:rsidR="00E9052B" w:rsidRPr="00E9052B" w:rsidRDefault="00E9052B" w:rsidP="00E9052B">
      <w:pPr>
        <w:spacing w:after="160"/>
        <w:rPr>
          <w:rFonts w:eastAsia="宋体" w:cs="Times New Roman"/>
          <w:szCs w:val="24"/>
          <w:lang w:val="en-GB"/>
        </w:rPr>
      </w:pPr>
    </w:p>
    <w:p w14:paraId="18963A4F" w14:textId="77777777" w:rsidR="00E9052B" w:rsidRPr="00E9052B" w:rsidRDefault="00E9052B" w:rsidP="00E9052B">
      <w:pPr>
        <w:spacing w:after="160"/>
        <w:ind w:firstLineChars="300" w:firstLine="723"/>
        <w:rPr>
          <w:rFonts w:eastAsia="宋体" w:cs="Times New Roman"/>
          <w:b/>
          <w:szCs w:val="24"/>
          <w:lang w:val="en-GB"/>
        </w:rPr>
      </w:pPr>
      <w:r w:rsidRPr="00E9052B">
        <w:rPr>
          <w:rFonts w:eastAsia="宋体" w:cs="Times New Roman"/>
          <w:b/>
          <w:szCs w:val="24"/>
          <w:lang w:val="en-GB"/>
        </w:rPr>
        <w:t>Supplemental Figure 1. Higher infiltration of CD4</w:t>
      </w:r>
      <w:r w:rsidRPr="00E9052B">
        <w:rPr>
          <w:rFonts w:eastAsia="宋体" w:cs="Times New Roman"/>
          <w:b/>
          <w:szCs w:val="24"/>
          <w:vertAlign w:val="superscript"/>
          <w:lang w:val="en-GB"/>
        </w:rPr>
        <w:t>+</w:t>
      </w:r>
      <w:r w:rsidRPr="00E9052B">
        <w:rPr>
          <w:rFonts w:eastAsia="宋体" w:cs="Times New Roman"/>
          <w:b/>
          <w:szCs w:val="24"/>
          <w:lang w:val="en-GB"/>
        </w:rPr>
        <w:t xml:space="preserve"> T cells than CD8</w:t>
      </w:r>
      <w:r w:rsidRPr="00E9052B">
        <w:rPr>
          <w:rFonts w:eastAsia="宋体" w:cs="Times New Roman"/>
          <w:b/>
          <w:szCs w:val="24"/>
          <w:vertAlign w:val="superscript"/>
          <w:lang w:val="en-GB"/>
        </w:rPr>
        <w:t>+</w:t>
      </w:r>
      <w:r w:rsidRPr="00E9052B">
        <w:rPr>
          <w:rFonts w:eastAsia="宋体" w:cs="Times New Roman"/>
          <w:b/>
          <w:szCs w:val="24"/>
          <w:lang w:val="en-GB"/>
        </w:rPr>
        <w:t xml:space="preserve"> T cells.</w:t>
      </w:r>
    </w:p>
    <w:p w14:paraId="0786367C" w14:textId="09EE5D6E" w:rsidR="00E9052B" w:rsidRPr="00E9052B" w:rsidRDefault="00E9052B" w:rsidP="00E9052B">
      <w:pPr>
        <w:spacing w:after="160"/>
        <w:ind w:firstLineChars="300" w:firstLine="720"/>
        <w:rPr>
          <w:rFonts w:eastAsia="宋体" w:cs="Times New Roman"/>
          <w:szCs w:val="24"/>
          <w:lang w:val="en-GB"/>
        </w:rPr>
      </w:pPr>
      <w:r w:rsidRPr="00E9052B">
        <w:rPr>
          <w:rFonts w:eastAsia="宋体" w:cs="Times New Roman"/>
          <w:noProof/>
          <w:szCs w:val="24"/>
          <w:lang w:eastAsia="zh-CN"/>
        </w:rPr>
        <w:lastRenderedPageBreak/>
        <w:drawing>
          <wp:inline distT="0" distB="0" distL="0" distR="0" wp14:anchorId="7BE99AB3" wp14:editId="218BC417">
            <wp:extent cx="2372360" cy="2519680"/>
            <wp:effectExtent l="0" t="0" r="8890" b="0"/>
            <wp:docPr id="2" name="图片 2" descr="C:\Users\wydeq\Desktop\Low MxA expression predicts better immunotherapeutic outcomes in glioblastoma patients receiving heat shock protein peptide complex 96 vaccine-wy\Supplementary document\Supplemental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deq\Desktop\Low MxA expression predicts better immunotherapeutic outcomes in glioblastoma patients receiving heat shock protein peptide complex 96 vaccine-wy\Supplementary document\Supplemental Figure 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97E7" w14:textId="77777777" w:rsidR="00E9052B" w:rsidRPr="00E9052B" w:rsidRDefault="00E9052B" w:rsidP="00E9052B">
      <w:pPr>
        <w:spacing w:after="160"/>
        <w:ind w:firstLineChars="300" w:firstLine="723"/>
        <w:rPr>
          <w:rFonts w:eastAsia="宋体" w:cs="Times New Roman"/>
          <w:b/>
          <w:szCs w:val="24"/>
          <w:lang w:val="en-GB"/>
        </w:rPr>
      </w:pPr>
      <w:bookmarkStart w:id="0" w:name="_GoBack"/>
      <w:r w:rsidRPr="00E9052B">
        <w:rPr>
          <w:rFonts w:eastAsia="宋体" w:cs="Times New Roman"/>
          <w:b/>
          <w:szCs w:val="24"/>
          <w:lang w:val="en-GB"/>
        </w:rPr>
        <w:t>Supplemental Figure 2. A Cox regression model predicting median overall survival</w:t>
      </w:r>
    </w:p>
    <w:bookmarkEnd w:id="0"/>
    <w:p w14:paraId="7B65BC41" w14:textId="2F05B13C" w:rsidR="00DE23E8" w:rsidRPr="00E9052B" w:rsidRDefault="00E9052B" w:rsidP="00E9052B">
      <w:pPr>
        <w:spacing w:before="240"/>
        <w:rPr>
          <w:rFonts w:cs="Times New Roman"/>
          <w:szCs w:val="24"/>
          <w:lang w:val="en-GB"/>
        </w:rPr>
      </w:pPr>
      <w:r w:rsidRPr="00E9052B">
        <w:rPr>
          <w:rFonts w:cs="Times New Roman"/>
          <w:noProof/>
          <w:szCs w:val="24"/>
          <w:lang w:eastAsia="zh-CN"/>
        </w:rPr>
        <w:drawing>
          <wp:inline distT="0" distB="0" distL="0" distR="0" wp14:anchorId="7D58BA4D" wp14:editId="1E1E9BBF">
            <wp:extent cx="6208395" cy="2483358"/>
            <wp:effectExtent l="0" t="0" r="1905" b="0"/>
            <wp:docPr id="3" name="图片 3" descr="C:\Users\wydeq\Desktop\Low MxA expression predicts better immunotherapeutic outcomes in glioblastoma patients receiving heat shock protein peptide complex 96 vaccine-wy\Supplementary document\Supplemental Fig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ydeq\Desktop\Low MxA expression predicts better immunotherapeutic outcomes in glioblastoma patients receiving heat shock protein peptide complex 96 vaccine-wy\Supplementary document\Supplemental Figure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4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E9052B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58FD" w14:textId="77777777" w:rsidR="00E10835" w:rsidRDefault="00E10835" w:rsidP="00117666">
      <w:pPr>
        <w:spacing w:after="0"/>
      </w:pPr>
      <w:r>
        <w:separator/>
      </w:r>
    </w:p>
  </w:endnote>
  <w:endnote w:type="continuationSeparator" w:id="0">
    <w:p w14:paraId="3D81C079" w14:textId="77777777" w:rsidR="00E10835" w:rsidRDefault="00E108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9052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9052B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9052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9052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614C" w14:textId="77777777" w:rsidR="00E10835" w:rsidRDefault="00E10835" w:rsidP="00117666">
      <w:pPr>
        <w:spacing w:after="0"/>
      </w:pPr>
      <w:r>
        <w:separator/>
      </w:r>
    </w:p>
  </w:footnote>
  <w:footnote w:type="continuationSeparator" w:id="0">
    <w:p w14:paraId="26EE478B" w14:textId="77777777" w:rsidR="00E10835" w:rsidRDefault="00E108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835"/>
    <w:rsid w:val="00E52377"/>
    <w:rsid w:val="00E537AD"/>
    <w:rsid w:val="00E64E17"/>
    <w:rsid w:val="00E866C9"/>
    <w:rsid w:val="00E9052B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9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9D44A0-CEB9-4035-A845-C41B79A1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yi wang</cp:lastModifiedBy>
  <cp:revision>3</cp:revision>
  <cp:lastPrinted>2013-10-03T12:51:00Z</cp:lastPrinted>
  <dcterms:created xsi:type="dcterms:W3CDTF">2018-11-23T08:58:00Z</dcterms:created>
  <dcterms:modified xsi:type="dcterms:W3CDTF">2022-01-30T09:51:00Z</dcterms:modified>
</cp:coreProperties>
</file>