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75B" w:rsidRDefault="00B0275B" w:rsidP="00B0275B">
      <w:pPr>
        <w:pStyle w:val="ad"/>
        <w:spacing w:line="400" w:lineRule="atLeast"/>
        <w:ind w:firstLineChars="0" w:firstLine="0"/>
        <w:jc w:val="center"/>
        <w:rPr>
          <w:rFonts w:eastAsiaTheme="minorEastAsia"/>
          <w:b/>
          <w:color w:val="000000" w:themeColor="text1"/>
          <w:sz w:val="29"/>
        </w:rPr>
      </w:pPr>
      <w:r w:rsidRPr="00461D29">
        <w:rPr>
          <w:rFonts w:eastAsiaTheme="minorEastAsia"/>
          <w:b/>
          <w:sz w:val="31"/>
        </w:rPr>
        <w:t xml:space="preserve">How </w:t>
      </w:r>
      <w:r w:rsidRPr="00D062D4">
        <w:rPr>
          <w:rFonts w:eastAsiaTheme="minorEastAsia"/>
          <w:b/>
          <w:sz w:val="31"/>
        </w:rPr>
        <w:t>Two-Child Policy</w:t>
      </w:r>
      <w:r>
        <w:rPr>
          <w:rFonts w:eastAsiaTheme="minorEastAsia"/>
          <w:b/>
          <w:sz w:val="31"/>
        </w:rPr>
        <w:t xml:space="preserve"> Affect</w:t>
      </w:r>
      <w:r w:rsidRPr="00D062D4">
        <w:rPr>
          <w:rFonts w:eastAsiaTheme="minorEastAsia"/>
          <w:b/>
          <w:color w:val="000000" w:themeColor="text1"/>
          <w:sz w:val="29"/>
        </w:rPr>
        <w:t xml:space="preserve"> China’s Energy Consumption: </w:t>
      </w:r>
      <w:r w:rsidRPr="00061CA7">
        <w:rPr>
          <w:rFonts w:eastAsiaTheme="minorEastAsia"/>
          <w:b/>
          <w:color w:val="000000" w:themeColor="text1"/>
          <w:sz w:val="29"/>
        </w:rPr>
        <w:t xml:space="preserve">the Mediating Role of </w:t>
      </w:r>
      <w:r>
        <w:rPr>
          <w:rFonts w:eastAsiaTheme="minorEastAsia" w:hint="eastAsia"/>
          <w:b/>
          <w:color w:val="000000" w:themeColor="text1"/>
          <w:sz w:val="29"/>
        </w:rPr>
        <w:t>L</w:t>
      </w:r>
      <w:r w:rsidRPr="00061CA7">
        <w:rPr>
          <w:rFonts w:eastAsiaTheme="minorEastAsia" w:hint="eastAsia"/>
          <w:b/>
          <w:color w:val="000000" w:themeColor="text1"/>
          <w:sz w:val="29"/>
        </w:rPr>
        <w:t>ifestyle</w:t>
      </w:r>
    </w:p>
    <w:p w:rsidR="00A63B98" w:rsidRDefault="00A63B98" w:rsidP="00A63B98">
      <w:pPr>
        <w:rPr>
          <w:rFonts w:eastAsiaTheme="minorEastAsia"/>
          <w:b/>
          <w:bCs/>
          <w:kern w:val="0"/>
          <w:sz w:val="24"/>
        </w:rPr>
      </w:pPr>
    </w:p>
    <w:p w:rsidR="00A63B98" w:rsidRPr="0073079F" w:rsidRDefault="00A63B98" w:rsidP="00A63B98">
      <w:pPr>
        <w:autoSpaceDE w:val="0"/>
        <w:autoSpaceDN w:val="0"/>
        <w:adjustRightInd w:val="0"/>
        <w:rPr>
          <w:rFonts w:eastAsiaTheme="minorEastAsia"/>
          <w:b/>
          <w:kern w:val="0"/>
          <w:sz w:val="23"/>
          <w:szCs w:val="21"/>
        </w:rPr>
      </w:pPr>
      <w:r w:rsidRPr="00F21E58">
        <w:rPr>
          <w:rFonts w:eastAsiaTheme="minorEastAsia"/>
          <w:b/>
        </w:rPr>
        <w:t>S</w:t>
      </w:r>
      <w:r>
        <w:rPr>
          <w:rFonts w:eastAsiaTheme="minorEastAsia"/>
          <w:b/>
        </w:rPr>
        <w:t>upplementary Table 1</w:t>
      </w:r>
      <w:r w:rsidR="00C2375C">
        <w:rPr>
          <w:rFonts w:eastAsiaTheme="minorEastAsia"/>
          <w:b/>
        </w:rPr>
        <w:t xml:space="preserve">| </w:t>
      </w:r>
      <w:r>
        <w:rPr>
          <w:rFonts w:eastAsiaTheme="minorEastAsia"/>
          <w:b/>
        </w:rPr>
        <w:t xml:space="preserve">Energy </w:t>
      </w:r>
      <w:r w:rsidRPr="00652062">
        <w:rPr>
          <w:rFonts w:eastAsiaTheme="minorEastAsia"/>
          <w:b/>
          <w:color w:val="0000FF"/>
        </w:rPr>
        <w:t>consumption</w:t>
      </w:r>
      <w:r w:rsidRPr="007162C4">
        <w:rPr>
          <w:rFonts w:eastAsiaTheme="minorEastAsia"/>
          <w:b/>
        </w:rPr>
        <w:t xml:space="preserve"> index for different household types </w:t>
      </w:r>
    </w:p>
    <w:tbl>
      <w:tblPr>
        <w:tblStyle w:val="a7"/>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
        <w:gridCol w:w="1126"/>
        <w:gridCol w:w="1249"/>
        <w:gridCol w:w="1250"/>
        <w:gridCol w:w="1251"/>
        <w:gridCol w:w="1251"/>
        <w:gridCol w:w="1248"/>
      </w:tblGrid>
      <w:tr w:rsidR="00A63B98" w:rsidRPr="006B1EE1" w:rsidTr="009F577E">
        <w:tc>
          <w:tcPr>
            <w:tcW w:w="563" w:type="pct"/>
            <w:tcBorders>
              <w:top w:val="single" w:sz="4" w:space="0" w:color="auto"/>
              <w:bottom w:val="single" w:sz="4" w:space="0" w:color="auto"/>
            </w:tcBorders>
            <w:vAlign w:val="center"/>
          </w:tcPr>
          <w:p w:rsidR="00A63B98" w:rsidRDefault="00A63B98" w:rsidP="009F577E">
            <w:pPr>
              <w:autoSpaceDE w:val="0"/>
              <w:autoSpaceDN w:val="0"/>
              <w:adjustRightInd w:val="0"/>
              <w:spacing w:line="280" w:lineRule="exact"/>
              <w:jc w:val="center"/>
              <w:rPr>
                <w:rFonts w:eastAsiaTheme="minorEastAsia"/>
                <w:kern w:val="0"/>
                <w:szCs w:val="21"/>
              </w:rPr>
            </w:pPr>
            <w:r>
              <w:rPr>
                <w:rFonts w:eastAsiaTheme="minorEastAsia"/>
                <w:kern w:val="0"/>
                <w:szCs w:val="21"/>
              </w:rPr>
              <w:t>Area</w:t>
            </w:r>
          </w:p>
        </w:tc>
        <w:tc>
          <w:tcPr>
            <w:tcW w:w="665" w:type="pct"/>
            <w:tcBorders>
              <w:top w:val="single" w:sz="4" w:space="0" w:color="auto"/>
              <w:bottom w:val="single" w:sz="4" w:space="0" w:color="auto"/>
            </w:tcBorders>
            <w:vAlign w:val="center"/>
          </w:tcPr>
          <w:p w:rsidR="00A63B98" w:rsidRPr="006B1EE1" w:rsidRDefault="00A63B98" w:rsidP="009F577E">
            <w:pPr>
              <w:autoSpaceDE w:val="0"/>
              <w:autoSpaceDN w:val="0"/>
              <w:adjustRightInd w:val="0"/>
              <w:spacing w:line="280" w:lineRule="exact"/>
              <w:jc w:val="center"/>
              <w:rPr>
                <w:rFonts w:eastAsiaTheme="minorEastAsia"/>
                <w:kern w:val="0"/>
                <w:szCs w:val="21"/>
              </w:rPr>
            </w:pPr>
            <w:r>
              <w:rPr>
                <w:rFonts w:eastAsiaTheme="minorEastAsia" w:hint="eastAsia"/>
                <w:kern w:val="0"/>
                <w:szCs w:val="21"/>
              </w:rPr>
              <w:t xml:space="preserve">Household </w:t>
            </w:r>
            <w:r w:rsidRPr="002E0B0F">
              <w:rPr>
                <w:rFonts w:eastAsiaTheme="minorEastAsia"/>
                <w:color w:val="0000FF"/>
                <w:kern w:val="0"/>
                <w:szCs w:val="21"/>
              </w:rPr>
              <w:t>size</w:t>
            </w:r>
          </w:p>
        </w:tc>
        <w:tc>
          <w:tcPr>
            <w:tcW w:w="754" w:type="pct"/>
            <w:tcBorders>
              <w:top w:val="single" w:sz="4" w:space="0" w:color="auto"/>
              <w:bottom w:val="single" w:sz="4" w:space="0" w:color="auto"/>
            </w:tcBorders>
            <w:vAlign w:val="center"/>
          </w:tcPr>
          <w:p w:rsidR="00A63B98" w:rsidRPr="006B1EE1" w:rsidRDefault="00A63B98" w:rsidP="009F577E">
            <w:pPr>
              <w:autoSpaceDE w:val="0"/>
              <w:autoSpaceDN w:val="0"/>
              <w:adjustRightInd w:val="0"/>
              <w:spacing w:line="280" w:lineRule="exact"/>
              <w:jc w:val="center"/>
              <w:rPr>
                <w:rFonts w:eastAsiaTheme="minorEastAsia"/>
                <w:kern w:val="0"/>
                <w:szCs w:val="21"/>
              </w:rPr>
            </w:pPr>
            <w:r>
              <w:rPr>
                <w:rFonts w:eastAsiaTheme="minorEastAsia" w:hint="eastAsia"/>
                <w:kern w:val="0"/>
                <w:szCs w:val="21"/>
              </w:rPr>
              <w:t>Coal</w:t>
            </w:r>
          </w:p>
        </w:tc>
        <w:tc>
          <w:tcPr>
            <w:tcW w:w="755" w:type="pct"/>
            <w:tcBorders>
              <w:top w:val="single" w:sz="4" w:space="0" w:color="auto"/>
              <w:bottom w:val="single" w:sz="4" w:space="0" w:color="auto"/>
            </w:tcBorders>
            <w:vAlign w:val="center"/>
          </w:tcPr>
          <w:p w:rsidR="00A63B98" w:rsidRPr="006B1EE1" w:rsidRDefault="00A63B98" w:rsidP="009F577E">
            <w:pPr>
              <w:autoSpaceDE w:val="0"/>
              <w:autoSpaceDN w:val="0"/>
              <w:adjustRightInd w:val="0"/>
              <w:spacing w:line="280" w:lineRule="exact"/>
              <w:jc w:val="center"/>
              <w:rPr>
                <w:rFonts w:eastAsiaTheme="minorEastAsia"/>
                <w:kern w:val="0"/>
                <w:szCs w:val="21"/>
              </w:rPr>
            </w:pPr>
            <w:r>
              <w:rPr>
                <w:rFonts w:eastAsiaTheme="minorEastAsia" w:hint="eastAsia"/>
                <w:kern w:val="0"/>
                <w:szCs w:val="21"/>
              </w:rPr>
              <w:t>O</w:t>
            </w:r>
            <w:r>
              <w:rPr>
                <w:rFonts w:eastAsiaTheme="minorEastAsia"/>
                <w:kern w:val="0"/>
                <w:szCs w:val="21"/>
              </w:rPr>
              <w:t>il</w:t>
            </w:r>
          </w:p>
        </w:tc>
        <w:tc>
          <w:tcPr>
            <w:tcW w:w="755" w:type="pct"/>
            <w:tcBorders>
              <w:top w:val="single" w:sz="4" w:space="0" w:color="auto"/>
              <w:bottom w:val="single" w:sz="4" w:space="0" w:color="auto"/>
            </w:tcBorders>
            <w:vAlign w:val="center"/>
          </w:tcPr>
          <w:p w:rsidR="00A63B98" w:rsidRPr="006B1EE1" w:rsidRDefault="00A63B98" w:rsidP="009F577E">
            <w:pPr>
              <w:autoSpaceDE w:val="0"/>
              <w:autoSpaceDN w:val="0"/>
              <w:adjustRightInd w:val="0"/>
              <w:spacing w:line="280" w:lineRule="exact"/>
              <w:jc w:val="center"/>
              <w:rPr>
                <w:rFonts w:eastAsiaTheme="minorEastAsia"/>
                <w:kern w:val="0"/>
                <w:szCs w:val="21"/>
              </w:rPr>
            </w:pPr>
            <w:r>
              <w:rPr>
                <w:rFonts w:eastAsiaTheme="minorEastAsia" w:hint="eastAsia"/>
                <w:kern w:val="0"/>
                <w:szCs w:val="21"/>
              </w:rPr>
              <w:t>G</w:t>
            </w:r>
            <w:r>
              <w:rPr>
                <w:rFonts w:eastAsiaTheme="minorEastAsia"/>
                <w:kern w:val="0"/>
                <w:szCs w:val="21"/>
              </w:rPr>
              <w:t>as</w:t>
            </w:r>
          </w:p>
        </w:tc>
        <w:tc>
          <w:tcPr>
            <w:tcW w:w="755" w:type="pct"/>
            <w:tcBorders>
              <w:top w:val="single" w:sz="4" w:space="0" w:color="auto"/>
              <w:bottom w:val="single" w:sz="4" w:space="0" w:color="auto"/>
            </w:tcBorders>
            <w:vAlign w:val="center"/>
          </w:tcPr>
          <w:p w:rsidR="00A63B98" w:rsidRPr="006B1EE1" w:rsidRDefault="00A63B98" w:rsidP="009F577E">
            <w:pPr>
              <w:autoSpaceDE w:val="0"/>
              <w:autoSpaceDN w:val="0"/>
              <w:adjustRightInd w:val="0"/>
              <w:spacing w:line="280" w:lineRule="exact"/>
              <w:jc w:val="center"/>
              <w:rPr>
                <w:rFonts w:eastAsiaTheme="minorEastAsia"/>
                <w:kern w:val="0"/>
                <w:szCs w:val="21"/>
              </w:rPr>
            </w:pPr>
            <w:r>
              <w:rPr>
                <w:rFonts w:eastAsiaTheme="minorEastAsia" w:hint="eastAsia"/>
                <w:kern w:val="0"/>
                <w:szCs w:val="21"/>
              </w:rPr>
              <w:t>E</w:t>
            </w:r>
            <w:r>
              <w:rPr>
                <w:rFonts w:eastAsiaTheme="minorEastAsia"/>
                <w:kern w:val="0"/>
                <w:szCs w:val="21"/>
              </w:rPr>
              <w:t>lectric</w:t>
            </w:r>
          </w:p>
        </w:tc>
        <w:tc>
          <w:tcPr>
            <w:tcW w:w="755" w:type="pct"/>
            <w:tcBorders>
              <w:top w:val="single" w:sz="4" w:space="0" w:color="auto"/>
              <w:bottom w:val="single" w:sz="4" w:space="0" w:color="auto"/>
            </w:tcBorders>
            <w:vAlign w:val="center"/>
          </w:tcPr>
          <w:p w:rsidR="00A63B98" w:rsidRPr="006B1EE1" w:rsidRDefault="00A63B98" w:rsidP="009F577E">
            <w:pPr>
              <w:autoSpaceDE w:val="0"/>
              <w:autoSpaceDN w:val="0"/>
              <w:adjustRightInd w:val="0"/>
              <w:spacing w:line="280" w:lineRule="exact"/>
              <w:jc w:val="center"/>
              <w:rPr>
                <w:rFonts w:eastAsiaTheme="minorEastAsia"/>
                <w:kern w:val="0"/>
                <w:szCs w:val="21"/>
              </w:rPr>
            </w:pPr>
            <w:r>
              <w:rPr>
                <w:rFonts w:eastAsiaTheme="minorEastAsia" w:hint="eastAsia"/>
                <w:kern w:val="0"/>
                <w:szCs w:val="21"/>
              </w:rPr>
              <w:t>Other</w:t>
            </w:r>
          </w:p>
        </w:tc>
      </w:tr>
      <w:tr w:rsidR="00A63B98" w:rsidRPr="006B1EE1" w:rsidTr="009F577E">
        <w:tc>
          <w:tcPr>
            <w:tcW w:w="563" w:type="pct"/>
            <w:vMerge w:val="restart"/>
            <w:tcBorders>
              <w:top w:val="single" w:sz="4" w:space="0" w:color="auto"/>
            </w:tcBorders>
            <w:vAlign w:val="center"/>
          </w:tcPr>
          <w:p w:rsidR="00A63B98" w:rsidRPr="00E73A24" w:rsidRDefault="00A63B98" w:rsidP="009F577E">
            <w:pPr>
              <w:autoSpaceDE w:val="0"/>
              <w:autoSpaceDN w:val="0"/>
              <w:adjustRightInd w:val="0"/>
              <w:jc w:val="center"/>
              <w:rPr>
                <w:rFonts w:eastAsiaTheme="minorEastAsia"/>
                <w:kern w:val="0"/>
                <w:sz w:val="20"/>
              </w:rPr>
            </w:pPr>
            <w:r w:rsidRPr="00E73A24">
              <w:rPr>
                <w:rFonts w:eastAsiaTheme="minorEastAsia" w:hint="eastAsia"/>
                <w:kern w:val="0"/>
                <w:sz w:val="20"/>
              </w:rPr>
              <w:t>U</w:t>
            </w:r>
            <w:r w:rsidRPr="00E73A24">
              <w:rPr>
                <w:rFonts w:eastAsiaTheme="minorEastAsia"/>
                <w:kern w:val="0"/>
                <w:sz w:val="20"/>
              </w:rPr>
              <w:t>rban</w:t>
            </w:r>
          </w:p>
        </w:tc>
        <w:tc>
          <w:tcPr>
            <w:tcW w:w="665" w:type="pct"/>
            <w:tcBorders>
              <w:top w:val="single" w:sz="4" w:space="0" w:color="auto"/>
            </w:tcBorders>
            <w:vAlign w:val="center"/>
          </w:tcPr>
          <w:p w:rsidR="00A63B98" w:rsidRPr="00E73A24" w:rsidRDefault="00A63B98" w:rsidP="009F577E">
            <w:pPr>
              <w:autoSpaceDE w:val="0"/>
              <w:autoSpaceDN w:val="0"/>
              <w:adjustRightInd w:val="0"/>
              <w:jc w:val="center"/>
              <w:rPr>
                <w:rFonts w:eastAsiaTheme="minorEastAsia"/>
                <w:kern w:val="0"/>
                <w:sz w:val="20"/>
              </w:rPr>
            </w:pPr>
            <w:r w:rsidRPr="00E73A24">
              <w:rPr>
                <w:rFonts w:eastAsiaTheme="minorEastAsia"/>
                <w:kern w:val="0"/>
                <w:sz w:val="20"/>
              </w:rPr>
              <w:t>1</w:t>
            </w:r>
          </w:p>
        </w:tc>
        <w:tc>
          <w:tcPr>
            <w:tcW w:w="754" w:type="pct"/>
            <w:tcBorders>
              <w:top w:val="single" w:sz="4" w:space="0" w:color="auto"/>
            </w:tcBorders>
            <w:vAlign w:val="center"/>
          </w:tcPr>
          <w:p w:rsidR="00A63B98" w:rsidRPr="00E73A24" w:rsidRDefault="00A63B98" w:rsidP="009F577E">
            <w:pPr>
              <w:widowControl/>
              <w:jc w:val="center"/>
              <w:rPr>
                <w:color w:val="000000"/>
                <w:kern w:val="0"/>
                <w:sz w:val="20"/>
              </w:rPr>
            </w:pPr>
            <w:r w:rsidRPr="00E73A24">
              <w:rPr>
                <w:rFonts w:hint="eastAsia"/>
                <w:color w:val="000000"/>
                <w:kern w:val="0"/>
                <w:sz w:val="20"/>
              </w:rPr>
              <w:t>100</w:t>
            </w:r>
            <w:r w:rsidRPr="00E73A24">
              <w:rPr>
                <w:color w:val="000000"/>
                <w:kern w:val="0"/>
                <w:sz w:val="20"/>
              </w:rPr>
              <w:t>.00</w:t>
            </w:r>
          </w:p>
        </w:tc>
        <w:tc>
          <w:tcPr>
            <w:tcW w:w="755" w:type="pct"/>
            <w:tcBorders>
              <w:top w:val="single" w:sz="4" w:space="0" w:color="auto"/>
            </w:tcBorders>
            <w:vAlign w:val="center"/>
          </w:tcPr>
          <w:p w:rsidR="00A63B98" w:rsidRPr="00E73A24" w:rsidRDefault="00A63B98" w:rsidP="009F577E">
            <w:pPr>
              <w:jc w:val="center"/>
              <w:rPr>
                <w:sz w:val="20"/>
              </w:rPr>
            </w:pPr>
            <w:r w:rsidRPr="00E73A24">
              <w:rPr>
                <w:sz w:val="20"/>
              </w:rPr>
              <w:t>100.00</w:t>
            </w:r>
          </w:p>
        </w:tc>
        <w:tc>
          <w:tcPr>
            <w:tcW w:w="755" w:type="pct"/>
            <w:tcBorders>
              <w:top w:val="single" w:sz="4" w:space="0" w:color="auto"/>
            </w:tcBorders>
            <w:vAlign w:val="center"/>
          </w:tcPr>
          <w:p w:rsidR="00A63B98" w:rsidRPr="00E73A24" w:rsidRDefault="00A63B98" w:rsidP="009F577E">
            <w:pPr>
              <w:jc w:val="center"/>
              <w:rPr>
                <w:sz w:val="20"/>
              </w:rPr>
            </w:pPr>
            <w:r w:rsidRPr="00E73A24">
              <w:rPr>
                <w:sz w:val="20"/>
              </w:rPr>
              <w:t>100.00</w:t>
            </w:r>
          </w:p>
        </w:tc>
        <w:tc>
          <w:tcPr>
            <w:tcW w:w="755" w:type="pct"/>
            <w:tcBorders>
              <w:top w:val="single" w:sz="4" w:space="0" w:color="auto"/>
            </w:tcBorders>
            <w:vAlign w:val="center"/>
          </w:tcPr>
          <w:p w:rsidR="00A63B98" w:rsidRPr="00E73A24" w:rsidRDefault="00A63B98" w:rsidP="009F577E">
            <w:pPr>
              <w:jc w:val="center"/>
              <w:rPr>
                <w:sz w:val="20"/>
              </w:rPr>
            </w:pPr>
            <w:r w:rsidRPr="00E73A24">
              <w:rPr>
                <w:sz w:val="20"/>
              </w:rPr>
              <w:t>100.00</w:t>
            </w:r>
          </w:p>
        </w:tc>
        <w:tc>
          <w:tcPr>
            <w:tcW w:w="755" w:type="pct"/>
            <w:tcBorders>
              <w:top w:val="single" w:sz="4" w:space="0" w:color="auto"/>
            </w:tcBorders>
            <w:vAlign w:val="center"/>
          </w:tcPr>
          <w:p w:rsidR="00A63B98" w:rsidRPr="00E73A24" w:rsidRDefault="00A63B98" w:rsidP="009F577E">
            <w:pPr>
              <w:widowControl/>
              <w:jc w:val="center"/>
              <w:rPr>
                <w:color w:val="000000"/>
                <w:kern w:val="0"/>
                <w:sz w:val="20"/>
              </w:rPr>
            </w:pPr>
            <w:r w:rsidRPr="00E73A24">
              <w:rPr>
                <w:rFonts w:hint="eastAsia"/>
                <w:color w:val="000000"/>
                <w:sz w:val="20"/>
              </w:rPr>
              <w:t>100.00</w:t>
            </w:r>
          </w:p>
        </w:tc>
      </w:tr>
      <w:tr w:rsidR="00A63B98" w:rsidRPr="006B1EE1" w:rsidTr="009F577E">
        <w:tc>
          <w:tcPr>
            <w:tcW w:w="563" w:type="pct"/>
            <w:vMerge/>
            <w:vAlign w:val="center"/>
          </w:tcPr>
          <w:p w:rsidR="00A63B98" w:rsidRPr="00E73A24" w:rsidRDefault="00A63B98" w:rsidP="009F577E">
            <w:pPr>
              <w:autoSpaceDE w:val="0"/>
              <w:autoSpaceDN w:val="0"/>
              <w:adjustRightInd w:val="0"/>
              <w:jc w:val="center"/>
              <w:rPr>
                <w:rFonts w:eastAsiaTheme="minorEastAsia"/>
                <w:kern w:val="0"/>
                <w:sz w:val="20"/>
              </w:rPr>
            </w:pPr>
          </w:p>
        </w:tc>
        <w:tc>
          <w:tcPr>
            <w:tcW w:w="665" w:type="pct"/>
            <w:vAlign w:val="center"/>
          </w:tcPr>
          <w:p w:rsidR="00A63B98" w:rsidRPr="00E73A24" w:rsidRDefault="00A63B98" w:rsidP="009F577E">
            <w:pPr>
              <w:autoSpaceDE w:val="0"/>
              <w:autoSpaceDN w:val="0"/>
              <w:adjustRightInd w:val="0"/>
              <w:jc w:val="center"/>
              <w:rPr>
                <w:rFonts w:eastAsiaTheme="minorEastAsia"/>
                <w:kern w:val="0"/>
                <w:sz w:val="20"/>
              </w:rPr>
            </w:pPr>
            <w:r w:rsidRPr="00E73A24">
              <w:rPr>
                <w:rFonts w:eastAsiaTheme="minorEastAsia"/>
                <w:kern w:val="0"/>
                <w:sz w:val="20"/>
              </w:rPr>
              <w:t>2</w:t>
            </w:r>
          </w:p>
        </w:tc>
        <w:tc>
          <w:tcPr>
            <w:tcW w:w="754" w:type="pct"/>
            <w:vAlign w:val="center"/>
          </w:tcPr>
          <w:p w:rsidR="00A63B98" w:rsidRPr="00E73A24" w:rsidRDefault="00A63B98" w:rsidP="009F577E">
            <w:pPr>
              <w:jc w:val="center"/>
              <w:rPr>
                <w:color w:val="000000"/>
                <w:sz w:val="20"/>
              </w:rPr>
            </w:pPr>
            <w:r w:rsidRPr="00E73A24">
              <w:rPr>
                <w:rFonts w:hint="eastAsia"/>
                <w:color w:val="000000"/>
                <w:sz w:val="20"/>
              </w:rPr>
              <w:t>1</w:t>
            </w:r>
            <w:r w:rsidRPr="00E73A24">
              <w:rPr>
                <w:color w:val="000000"/>
                <w:sz w:val="20"/>
              </w:rPr>
              <w:t>3</w:t>
            </w:r>
            <w:r w:rsidRPr="00E73A24">
              <w:rPr>
                <w:rFonts w:hint="eastAsia"/>
                <w:color w:val="000000"/>
                <w:sz w:val="20"/>
              </w:rPr>
              <w:t>4.48</w:t>
            </w:r>
          </w:p>
        </w:tc>
        <w:tc>
          <w:tcPr>
            <w:tcW w:w="755" w:type="pct"/>
            <w:vAlign w:val="center"/>
          </w:tcPr>
          <w:p w:rsidR="00A63B98" w:rsidRPr="00E73A24" w:rsidRDefault="00A63B98" w:rsidP="009F577E">
            <w:pPr>
              <w:jc w:val="center"/>
              <w:rPr>
                <w:sz w:val="20"/>
              </w:rPr>
            </w:pPr>
            <w:r w:rsidRPr="00E73A24">
              <w:rPr>
                <w:sz w:val="20"/>
              </w:rPr>
              <w:t>167.84</w:t>
            </w:r>
          </w:p>
        </w:tc>
        <w:tc>
          <w:tcPr>
            <w:tcW w:w="755" w:type="pct"/>
            <w:vAlign w:val="center"/>
          </w:tcPr>
          <w:p w:rsidR="00A63B98" w:rsidRPr="00E73A24" w:rsidRDefault="00A63B98" w:rsidP="009F577E">
            <w:pPr>
              <w:jc w:val="center"/>
              <w:rPr>
                <w:sz w:val="20"/>
              </w:rPr>
            </w:pPr>
            <w:r w:rsidRPr="00E73A24">
              <w:rPr>
                <w:sz w:val="20"/>
              </w:rPr>
              <w:t>193.72</w:t>
            </w:r>
          </w:p>
        </w:tc>
        <w:tc>
          <w:tcPr>
            <w:tcW w:w="755" w:type="pct"/>
            <w:vAlign w:val="center"/>
          </w:tcPr>
          <w:p w:rsidR="00A63B98" w:rsidRPr="00E73A24" w:rsidRDefault="00A63B98" w:rsidP="009F577E">
            <w:pPr>
              <w:jc w:val="center"/>
              <w:rPr>
                <w:sz w:val="20"/>
              </w:rPr>
            </w:pPr>
            <w:r w:rsidRPr="00E73A24">
              <w:rPr>
                <w:sz w:val="20"/>
              </w:rPr>
              <w:t>146.63</w:t>
            </w:r>
          </w:p>
        </w:tc>
        <w:tc>
          <w:tcPr>
            <w:tcW w:w="755" w:type="pct"/>
            <w:vAlign w:val="center"/>
          </w:tcPr>
          <w:p w:rsidR="00A63B98" w:rsidRPr="00E73A24" w:rsidRDefault="00A63B98" w:rsidP="009F577E">
            <w:pPr>
              <w:jc w:val="center"/>
              <w:rPr>
                <w:color w:val="000000"/>
                <w:sz w:val="20"/>
              </w:rPr>
            </w:pPr>
            <w:r w:rsidRPr="00E73A24">
              <w:rPr>
                <w:rFonts w:hint="eastAsia"/>
                <w:color w:val="000000"/>
                <w:sz w:val="20"/>
              </w:rPr>
              <w:t>1</w:t>
            </w:r>
            <w:r w:rsidRPr="00E73A24">
              <w:rPr>
                <w:color w:val="000000"/>
                <w:sz w:val="20"/>
              </w:rPr>
              <w:t>4</w:t>
            </w:r>
            <w:r w:rsidRPr="00E73A24">
              <w:rPr>
                <w:rFonts w:hint="eastAsia"/>
                <w:color w:val="000000"/>
                <w:sz w:val="20"/>
              </w:rPr>
              <w:t>0.89</w:t>
            </w:r>
          </w:p>
        </w:tc>
      </w:tr>
      <w:tr w:rsidR="00A63B98" w:rsidRPr="006B1EE1" w:rsidTr="009F577E">
        <w:tc>
          <w:tcPr>
            <w:tcW w:w="563" w:type="pct"/>
            <w:vMerge/>
            <w:vAlign w:val="center"/>
          </w:tcPr>
          <w:p w:rsidR="00A63B98" w:rsidRPr="00E73A24" w:rsidRDefault="00A63B98" w:rsidP="009F577E">
            <w:pPr>
              <w:autoSpaceDE w:val="0"/>
              <w:autoSpaceDN w:val="0"/>
              <w:adjustRightInd w:val="0"/>
              <w:jc w:val="center"/>
              <w:rPr>
                <w:rFonts w:eastAsiaTheme="minorEastAsia"/>
                <w:kern w:val="0"/>
                <w:sz w:val="20"/>
              </w:rPr>
            </w:pPr>
          </w:p>
        </w:tc>
        <w:tc>
          <w:tcPr>
            <w:tcW w:w="665" w:type="pct"/>
            <w:vAlign w:val="center"/>
          </w:tcPr>
          <w:p w:rsidR="00A63B98" w:rsidRPr="00E73A24" w:rsidRDefault="00A63B98" w:rsidP="009F577E">
            <w:pPr>
              <w:autoSpaceDE w:val="0"/>
              <w:autoSpaceDN w:val="0"/>
              <w:adjustRightInd w:val="0"/>
              <w:jc w:val="center"/>
              <w:rPr>
                <w:rFonts w:eastAsiaTheme="minorEastAsia"/>
                <w:kern w:val="0"/>
                <w:sz w:val="20"/>
              </w:rPr>
            </w:pPr>
            <w:r w:rsidRPr="00E73A24">
              <w:rPr>
                <w:rFonts w:eastAsiaTheme="minorEastAsia"/>
                <w:kern w:val="0"/>
                <w:sz w:val="20"/>
              </w:rPr>
              <w:t>3</w:t>
            </w:r>
          </w:p>
        </w:tc>
        <w:tc>
          <w:tcPr>
            <w:tcW w:w="754" w:type="pct"/>
            <w:vAlign w:val="center"/>
          </w:tcPr>
          <w:p w:rsidR="00A63B98" w:rsidRPr="004B6799" w:rsidRDefault="00A63B98" w:rsidP="009F577E">
            <w:pPr>
              <w:widowControl/>
              <w:jc w:val="center"/>
              <w:rPr>
                <w:color w:val="000000"/>
                <w:kern w:val="0"/>
                <w:sz w:val="20"/>
              </w:rPr>
            </w:pPr>
            <w:r w:rsidRPr="004B6799">
              <w:rPr>
                <w:color w:val="000000"/>
                <w:kern w:val="0"/>
                <w:sz w:val="20"/>
              </w:rPr>
              <w:t>153.20</w:t>
            </w:r>
          </w:p>
        </w:tc>
        <w:tc>
          <w:tcPr>
            <w:tcW w:w="755" w:type="pct"/>
            <w:vAlign w:val="center"/>
          </w:tcPr>
          <w:p w:rsidR="00A63B98" w:rsidRPr="004B6799" w:rsidRDefault="00A63B98" w:rsidP="009F577E">
            <w:pPr>
              <w:jc w:val="center"/>
              <w:rPr>
                <w:color w:val="000000"/>
                <w:kern w:val="0"/>
                <w:sz w:val="20"/>
              </w:rPr>
            </w:pPr>
            <w:r w:rsidRPr="004B6799">
              <w:rPr>
                <w:color w:val="000000"/>
                <w:kern w:val="0"/>
                <w:sz w:val="20"/>
              </w:rPr>
              <w:t>198.65</w:t>
            </w:r>
          </w:p>
        </w:tc>
        <w:tc>
          <w:tcPr>
            <w:tcW w:w="755" w:type="pct"/>
            <w:vAlign w:val="center"/>
          </w:tcPr>
          <w:p w:rsidR="00A63B98" w:rsidRPr="004B6799" w:rsidRDefault="00A63B98" w:rsidP="009F577E">
            <w:pPr>
              <w:jc w:val="center"/>
              <w:rPr>
                <w:color w:val="000000"/>
                <w:kern w:val="0"/>
                <w:sz w:val="20"/>
              </w:rPr>
            </w:pPr>
            <w:r w:rsidRPr="004B6799">
              <w:rPr>
                <w:color w:val="000000"/>
                <w:kern w:val="0"/>
                <w:sz w:val="20"/>
              </w:rPr>
              <w:t>203.31</w:t>
            </w:r>
          </w:p>
        </w:tc>
        <w:tc>
          <w:tcPr>
            <w:tcW w:w="755" w:type="pct"/>
            <w:vAlign w:val="center"/>
          </w:tcPr>
          <w:p w:rsidR="00A63B98" w:rsidRPr="004B6799" w:rsidRDefault="00A63B98" w:rsidP="009F577E">
            <w:pPr>
              <w:jc w:val="center"/>
              <w:rPr>
                <w:color w:val="000000"/>
                <w:kern w:val="0"/>
                <w:sz w:val="20"/>
              </w:rPr>
            </w:pPr>
            <w:r w:rsidRPr="004B6799">
              <w:rPr>
                <w:color w:val="000000"/>
                <w:kern w:val="0"/>
                <w:sz w:val="20"/>
              </w:rPr>
              <w:t>173.45</w:t>
            </w:r>
          </w:p>
        </w:tc>
        <w:tc>
          <w:tcPr>
            <w:tcW w:w="755" w:type="pct"/>
            <w:vAlign w:val="center"/>
          </w:tcPr>
          <w:p w:rsidR="00A63B98" w:rsidRPr="00E73A24" w:rsidRDefault="00A63B98" w:rsidP="009F577E">
            <w:pPr>
              <w:jc w:val="center"/>
              <w:rPr>
                <w:color w:val="000000"/>
                <w:sz w:val="20"/>
              </w:rPr>
            </w:pPr>
            <w:r w:rsidRPr="00E73A24">
              <w:rPr>
                <w:rFonts w:hint="eastAsia"/>
                <w:color w:val="000000"/>
                <w:sz w:val="20"/>
              </w:rPr>
              <w:t>147.64</w:t>
            </w:r>
          </w:p>
        </w:tc>
      </w:tr>
      <w:tr w:rsidR="00A63B98" w:rsidRPr="006B1EE1" w:rsidTr="009F577E">
        <w:tc>
          <w:tcPr>
            <w:tcW w:w="563" w:type="pct"/>
            <w:vMerge/>
            <w:vAlign w:val="center"/>
          </w:tcPr>
          <w:p w:rsidR="00A63B98" w:rsidRPr="00E73A24" w:rsidRDefault="00A63B98" w:rsidP="009F577E">
            <w:pPr>
              <w:autoSpaceDE w:val="0"/>
              <w:autoSpaceDN w:val="0"/>
              <w:adjustRightInd w:val="0"/>
              <w:jc w:val="center"/>
              <w:rPr>
                <w:rFonts w:eastAsiaTheme="minorEastAsia"/>
                <w:kern w:val="0"/>
                <w:sz w:val="20"/>
              </w:rPr>
            </w:pPr>
          </w:p>
        </w:tc>
        <w:tc>
          <w:tcPr>
            <w:tcW w:w="665" w:type="pct"/>
            <w:vAlign w:val="center"/>
          </w:tcPr>
          <w:p w:rsidR="00A63B98" w:rsidRPr="00E73A24" w:rsidRDefault="00A63B98" w:rsidP="009F577E">
            <w:pPr>
              <w:autoSpaceDE w:val="0"/>
              <w:autoSpaceDN w:val="0"/>
              <w:adjustRightInd w:val="0"/>
              <w:jc w:val="center"/>
              <w:rPr>
                <w:rFonts w:eastAsiaTheme="minorEastAsia"/>
                <w:kern w:val="0"/>
                <w:sz w:val="20"/>
              </w:rPr>
            </w:pPr>
            <w:r w:rsidRPr="00E73A24">
              <w:rPr>
                <w:rFonts w:eastAsiaTheme="minorEastAsia"/>
                <w:kern w:val="0"/>
                <w:sz w:val="20"/>
              </w:rPr>
              <w:t>4</w:t>
            </w:r>
          </w:p>
        </w:tc>
        <w:tc>
          <w:tcPr>
            <w:tcW w:w="754" w:type="pct"/>
            <w:vAlign w:val="center"/>
          </w:tcPr>
          <w:p w:rsidR="00A63B98" w:rsidRPr="00E73A24" w:rsidRDefault="00A63B98" w:rsidP="009F577E">
            <w:pPr>
              <w:jc w:val="center"/>
              <w:rPr>
                <w:color w:val="000000"/>
                <w:sz w:val="20"/>
              </w:rPr>
            </w:pPr>
            <w:r w:rsidRPr="00E73A24">
              <w:rPr>
                <w:rFonts w:hint="eastAsia"/>
                <w:color w:val="000000"/>
                <w:sz w:val="20"/>
              </w:rPr>
              <w:t>1</w:t>
            </w:r>
            <w:r w:rsidRPr="00E73A24">
              <w:rPr>
                <w:color w:val="000000"/>
                <w:sz w:val="20"/>
              </w:rPr>
              <w:t>7</w:t>
            </w:r>
            <w:r w:rsidRPr="00E73A24">
              <w:rPr>
                <w:rFonts w:hint="eastAsia"/>
                <w:color w:val="000000"/>
                <w:sz w:val="20"/>
              </w:rPr>
              <w:t>1.83</w:t>
            </w:r>
          </w:p>
        </w:tc>
        <w:tc>
          <w:tcPr>
            <w:tcW w:w="755" w:type="pct"/>
            <w:vAlign w:val="center"/>
          </w:tcPr>
          <w:p w:rsidR="00A63B98" w:rsidRPr="00E73A24" w:rsidRDefault="00A63B98" w:rsidP="009F577E">
            <w:pPr>
              <w:jc w:val="center"/>
              <w:rPr>
                <w:sz w:val="20"/>
              </w:rPr>
            </w:pPr>
            <w:r w:rsidRPr="00E73A24">
              <w:rPr>
                <w:sz w:val="20"/>
              </w:rPr>
              <w:t>221.54</w:t>
            </w:r>
          </w:p>
        </w:tc>
        <w:tc>
          <w:tcPr>
            <w:tcW w:w="755" w:type="pct"/>
            <w:vAlign w:val="center"/>
          </w:tcPr>
          <w:p w:rsidR="00A63B98" w:rsidRPr="00E73A24" w:rsidRDefault="00A63B98" w:rsidP="009F577E">
            <w:pPr>
              <w:jc w:val="center"/>
              <w:rPr>
                <w:sz w:val="20"/>
              </w:rPr>
            </w:pPr>
            <w:r w:rsidRPr="00E73A24">
              <w:rPr>
                <w:sz w:val="20"/>
              </w:rPr>
              <w:t>223.93</w:t>
            </w:r>
          </w:p>
        </w:tc>
        <w:tc>
          <w:tcPr>
            <w:tcW w:w="755" w:type="pct"/>
            <w:vAlign w:val="center"/>
          </w:tcPr>
          <w:p w:rsidR="00A63B98" w:rsidRPr="00E73A24" w:rsidRDefault="00A63B98" w:rsidP="009F577E">
            <w:pPr>
              <w:jc w:val="center"/>
              <w:rPr>
                <w:sz w:val="20"/>
              </w:rPr>
            </w:pPr>
            <w:r w:rsidRPr="00E73A24">
              <w:rPr>
                <w:sz w:val="20"/>
              </w:rPr>
              <w:t>192.95</w:t>
            </w:r>
          </w:p>
        </w:tc>
        <w:tc>
          <w:tcPr>
            <w:tcW w:w="755" w:type="pct"/>
            <w:vAlign w:val="center"/>
          </w:tcPr>
          <w:p w:rsidR="00A63B98" w:rsidRPr="00E73A24" w:rsidRDefault="00A63B98" w:rsidP="009F577E">
            <w:pPr>
              <w:jc w:val="center"/>
              <w:rPr>
                <w:color w:val="000000"/>
                <w:sz w:val="20"/>
              </w:rPr>
            </w:pPr>
            <w:r w:rsidRPr="00E73A24">
              <w:rPr>
                <w:rFonts w:hint="eastAsia"/>
                <w:color w:val="000000"/>
                <w:sz w:val="20"/>
              </w:rPr>
              <w:t>155.92</w:t>
            </w:r>
          </w:p>
        </w:tc>
      </w:tr>
      <w:tr w:rsidR="00A63B98" w:rsidRPr="006B1EE1" w:rsidTr="009F577E">
        <w:tc>
          <w:tcPr>
            <w:tcW w:w="563" w:type="pct"/>
            <w:vMerge/>
            <w:vAlign w:val="center"/>
          </w:tcPr>
          <w:p w:rsidR="00A63B98" w:rsidRPr="00E73A24" w:rsidRDefault="00A63B98" w:rsidP="009F577E">
            <w:pPr>
              <w:autoSpaceDE w:val="0"/>
              <w:autoSpaceDN w:val="0"/>
              <w:adjustRightInd w:val="0"/>
              <w:jc w:val="center"/>
              <w:rPr>
                <w:rFonts w:eastAsiaTheme="minorEastAsia"/>
                <w:kern w:val="0"/>
                <w:sz w:val="20"/>
              </w:rPr>
            </w:pPr>
          </w:p>
        </w:tc>
        <w:tc>
          <w:tcPr>
            <w:tcW w:w="665" w:type="pct"/>
            <w:vAlign w:val="center"/>
          </w:tcPr>
          <w:p w:rsidR="00A63B98" w:rsidRPr="00E73A24" w:rsidRDefault="00A63B98" w:rsidP="009F577E">
            <w:pPr>
              <w:autoSpaceDE w:val="0"/>
              <w:autoSpaceDN w:val="0"/>
              <w:adjustRightInd w:val="0"/>
              <w:jc w:val="center"/>
              <w:rPr>
                <w:rFonts w:eastAsiaTheme="minorEastAsia"/>
                <w:kern w:val="0"/>
                <w:sz w:val="20"/>
              </w:rPr>
            </w:pPr>
            <w:r w:rsidRPr="00E73A24">
              <w:rPr>
                <w:rFonts w:eastAsiaTheme="minorEastAsia"/>
                <w:kern w:val="0"/>
                <w:sz w:val="20"/>
              </w:rPr>
              <w:t>5</w:t>
            </w:r>
          </w:p>
        </w:tc>
        <w:tc>
          <w:tcPr>
            <w:tcW w:w="754" w:type="pct"/>
            <w:vAlign w:val="center"/>
          </w:tcPr>
          <w:p w:rsidR="00A63B98" w:rsidRPr="00E73A24" w:rsidRDefault="00A63B98" w:rsidP="009F577E">
            <w:pPr>
              <w:jc w:val="center"/>
              <w:rPr>
                <w:color w:val="000000"/>
                <w:sz w:val="20"/>
              </w:rPr>
            </w:pPr>
            <w:r w:rsidRPr="00E73A24">
              <w:rPr>
                <w:rFonts w:hint="eastAsia"/>
                <w:color w:val="000000"/>
                <w:sz w:val="20"/>
              </w:rPr>
              <w:t>1</w:t>
            </w:r>
            <w:r w:rsidRPr="00E73A24">
              <w:rPr>
                <w:color w:val="000000"/>
                <w:sz w:val="20"/>
              </w:rPr>
              <w:t>8</w:t>
            </w:r>
            <w:r w:rsidRPr="00E73A24">
              <w:rPr>
                <w:rFonts w:hint="eastAsia"/>
                <w:color w:val="000000"/>
                <w:sz w:val="20"/>
              </w:rPr>
              <w:t>2.95</w:t>
            </w:r>
          </w:p>
        </w:tc>
        <w:tc>
          <w:tcPr>
            <w:tcW w:w="755" w:type="pct"/>
            <w:vAlign w:val="center"/>
          </w:tcPr>
          <w:p w:rsidR="00A63B98" w:rsidRPr="00E73A24" w:rsidRDefault="00A63B98" w:rsidP="009F577E">
            <w:pPr>
              <w:jc w:val="center"/>
              <w:rPr>
                <w:sz w:val="20"/>
              </w:rPr>
            </w:pPr>
            <w:r w:rsidRPr="00E73A24">
              <w:rPr>
                <w:sz w:val="20"/>
              </w:rPr>
              <w:t>224.90</w:t>
            </w:r>
          </w:p>
        </w:tc>
        <w:tc>
          <w:tcPr>
            <w:tcW w:w="755" w:type="pct"/>
            <w:vAlign w:val="center"/>
          </w:tcPr>
          <w:p w:rsidR="00A63B98" w:rsidRPr="00E73A24" w:rsidRDefault="00A63B98" w:rsidP="009F577E">
            <w:pPr>
              <w:jc w:val="center"/>
              <w:rPr>
                <w:sz w:val="20"/>
              </w:rPr>
            </w:pPr>
            <w:r w:rsidRPr="00E73A24">
              <w:rPr>
                <w:sz w:val="20"/>
              </w:rPr>
              <w:t>265.84</w:t>
            </w:r>
          </w:p>
        </w:tc>
        <w:tc>
          <w:tcPr>
            <w:tcW w:w="755" w:type="pct"/>
            <w:vAlign w:val="center"/>
          </w:tcPr>
          <w:p w:rsidR="00A63B98" w:rsidRPr="00E73A24" w:rsidRDefault="00A63B98" w:rsidP="009F577E">
            <w:pPr>
              <w:jc w:val="center"/>
              <w:rPr>
                <w:sz w:val="20"/>
              </w:rPr>
            </w:pPr>
            <w:r w:rsidRPr="00E73A24">
              <w:rPr>
                <w:sz w:val="20"/>
              </w:rPr>
              <w:t>264.51</w:t>
            </w:r>
          </w:p>
        </w:tc>
        <w:tc>
          <w:tcPr>
            <w:tcW w:w="755" w:type="pct"/>
            <w:vAlign w:val="center"/>
          </w:tcPr>
          <w:p w:rsidR="00A63B98" w:rsidRPr="00E73A24" w:rsidRDefault="00A63B98" w:rsidP="009F577E">
            <w:pPr>
              <w:jc w:val="center"/>
              <w:rPr>
                <w:color w:val="000000"/>
                <w:sz w:val="20"/>
              </w:rPr>
            </w:pPr>
            <w:r w:rsidRPr="00E73A24">
              <w:rPr>
                <w:rFonts w:hint="eastAsia"/>
                <w:color w:val="000000"/>
                <w:sz w:val="20"/>
              </w:rPr>
              <w:t>1</w:t>
            </w:r>
            <w:r w:rsidRPr="00E73A24">
              <w:rPr>
                <w:color w:val="000000"/>
                <w:sz w:val="20"/>
              </w:rPr>
              <w:t>6</w:t>
            </w:r>
            <w:r w:rsidRPr="00E73A24">
              <w:rPr>
                <w:rFonts w:hint="eastAsia"/>
                <w:color w:val="000000"/>
                <w:sz w:val="20"/>
              </w:rPr>
              <w:t>8.74</w:t>
            </w:r>
          </w:p>
        </w:tc>
      </w:tr>
      <w:tr w:rsidR="00A63B98" w:rsidRPr="006B1EE1" w:rsidTr="009F577E">
        <w:tc>
          <w:tcPr>
            <w:tcW w:w="563" w:type="pct"/>
            <w:vMerge/>
            <w:vAlign w:val="center"/>
          </w:tcPr>
          <w:p w:rsidR="00A63B98" w:rsidRPr="00E73A24" w:rsidRDefault="00A63B98" w:rsidP="009F577E">
            <w:pPr>
              <w:autoSpaceDE w:val="0"/>
              <w:autoSpaceDN w:val="0"/>
              <w:adjustRightInd w:val="0"/>
              <w:jc w:val="center"/>
              <w:rPr>
                <w:rFonts w:eastAsiaTheme="minorEastAsia"/>
                <w:kern w:val="0"/>
                <w:sz w:val="20"/>
              </w:rPr>
            </w:pPr>
          </w:p>
        </w:tc>
        <w:tc>
          <w:tcPr>
            <w:tcW w:w="665" w:type="pct"/>
            <w:vAlign w:val="center"/>
          </w:tcPr>
          <w:p w:rsidR="00A63B98" w:rsidRPr="00E73A24" w:rsidRDefault="00A63B98" w:rsidP="009F577E">
            <w:pPr>
              <w:autoSpaceDE w:val="0"/>
              <w:autoSpaceDN w:val="0"/>
              <w:adjustRightInd w:val="0"/>
              <w:jc w:val="center"/>
              <w:rPr>
                <w:rFonts w:eastAsiaTheme="minorEastAsia"/>
                <w:kern w:val="0"/>
                <w:sz w:val="20"/>
              </w:rPr>
            </w:pPr>
            <w:r w:rsidRPr="00E73A24">
              <w:rPr>
                <w:rFonts w:eastAsiaTheme="minorEastAsia"/>
                <w:kern w:val="0"/>
                <w:sz w:val="20"/>
              </w:rPr>
              <w:t>6</w:t>
            </w:r>
          </w:p>
        </w:tc>
        <w:tc>
          <w:tcPr>
            <w:tcW w:w="754" w:type="pct"/>
            <w:vAlign w:val="center"/>
          </w:tcPr>
          <w:p w:rsidR="00A63B98" w:rsidRPr="00E73A24" w:rsidRDefault="00A63B98" w:rsidP="009F577E">
            <w:pPr>
              <w:jc w:val="center"/>
              <w:rPr>
                <w:color w:val="000000"/>
                <w:sz w:val="20"/>
              </w:rPr>
            </w:pPr>
            <w:r w:rsidRPr="00E73A24">
              <w:rPr>
                <w:rFonts w:hint="eastAsia"/>
                <w:color w:val="000000"/>
                <w:sz w:val="20"/>
              </w:rPr>
              <w:t>1</w:t>
            </w:r>
            <w:r w:rsidRPr="00E73A24">
              <w:rPr>
                <w:color w:val="000000"/>
                <w:sz w:val="20"/>
              </w:rPr>
              <w:t>8</w:t>
            </w:r>
            <w:r w:rsidRPr="00E73A24">
              <w:rPr>
                <w:rFonts w:hint="eastAsia"/>
                <w:color w:val="000000"/>
                <w:sz w:val="20"/>
              </w:rPr>
              <w:t>8.73</w:t>
            </w:r>
          </w:p>
        </w:tc>
        <w:tc>
          <w:tcPr>
            <w:tcW w:w="755" w:type="pct"/>
            <w:vAlign w:val="center"/>
          </w:tcPr>
          <w:p w:rsidR="00A63B98" w:rsidRPr="00E73A24" w:rsidRDefault="00A63B98" w:rsidP="009F577E">
            <w:pPr>
              <w:jc w:val="center"/>
              <w:rPr>
                <w:sz w:val="20"/>
              </w:rPr>
            </w:pPr>
            <w:r w:rsidRPr="00E73A24">
              <w:rPr>
                <w:sz w:val="20"/>
              </w:rPr>
              <w:t>249.41</w:t>
            </w:r>
          </w:p>
        </w:tc>
        <w:tc>
          <w:tcPr>
            <w:tcW w:w="755" w:type="pct"/>
            <w:vAlign w:val="center"/>
          </w:tcPr>
          <w:p w:rsidR="00A63B98" w:rsidRPr="00E73A24" w:rsidRDefault="00A63B98" w:rsidP="009F577E">
            <w:pPr>
              <w:jc w:val="center"/>
              <w:rPr>
                <w:sz w:val="20"/>
              </w:rPr>
            </w:pPr>
            <w:r w:rsidRPr="00E73A24">
              <w:rPr>
                <w:sz w:val="20"/>
              </w:rPr>
              <w:t>301.52</w:t>
            </w:r>
          </w:p>
        </w:tc>
        <w:tc>
          <w:tcPr>
            <w:tcW w:w="755" w:type="pct"/>
            <w:vAlign w:val="center"/>
          </w:tcPr>
          <w:p w:rsidR="00A63B98" w:rsidRPr="00E73A24" w:rsidRDefault="00A63B98" w:rsidP="009F577E">
            <w:pPr>
              <w:jc w:val="center"/>
              <w:rPr>
                <w:sz w:val="20"/>
              </w:rPr>
            </w:pPr>
            <w:r w:rsidRPr="00E73A24">
              <w:rPr>
                <w:sz w:val="20"/>
              </w:rPr>
              <w:t>290.93</w:t>
            </w:r>
          </w:p>
        </w:tc>
        <w:tc>
          <w:tcPr>
            <w:tcW w:w="755" w:type="pct"/>
            <w:vAlign w:val="center"/>
          </w:tcPr>
          <w:p w:rsidR="00A63B98" w:rsidRPr="00E73A24" w:rsidRDefault="00A63B98" w:rsidP="009F577E">
            <w:pPr>
              <w:jc w:val="center"/>
              <w:rPr>
                <w:color w:val="000000"/>
                <w:sz w:val="20"/>
              </w:rPr>
            </w:pPr>
            <w:r w:rsidRPr="00E73A24">
              <w:rPr>
                <w:rFonts w:hint="eastAsia"/>
                <w:color w:val="000000"/>
                <w:sz w:val="20"/>
              </w:rPr>
              <w:t>1</w:t>
            </w:r>
            <w:r w:rsidRPr="00E73A24">
              <w:rPr>
                <w:color w:val="000000"/>
                <w:sz w:val="20"/>
              </w:rPr>
              <w:t>7</w:t>
            </w:r>
            <w:r w:rsidRPr="00E73A24">
              <w:rPr>
                <w:rFonts w:hint="eastAsia"/>
                <w:color w:val="000000"/>
                <w:sz w:val="20"/>
              </w:rPr>
              <w:t>9.95</w:t>
            </w:r>
          </w:p>
        </w:tc>
      </w:tr>
      <w:tr w:rsidR="00A63B98" w:rsidRPr="006B1EE1" w:rsidTr="009F577E">
        <w:tc>
          <w:tcPr>
            <w:tcW w:w="563" w:type="pct"/>
            <w:vMerge/>
            <w:vAlign w:val="center"/>
          </w:tcPr>
          <w:p w:rsidR="00A63B98" w:rsidRPr="00E73A24" w:rsidRDefault="00A63B98" w:rsidP="009F577E">
            <w:pPr>
              <w:autoSpaceDE w:val="0"/>
              <w:autoSpaceDN w:val="0"/>
              <w:adjustRightInd w:val="0"/>
              <w:jc w:val="center"/>
              <w:rPr>
                <w:rFonts w:eastAsiaTheme="minorEastAsia"/>
                <w:kern w:val="0"/>
                <w:sz w:val="20"/>
              </w:rPr>
            </w:pPr>
          </w:p>
        </w:tc>
        <w:tc>
          <w:tcPr>
            <w:tcW w:w="665" w:type="pct"/>
            <w:vAlign w:val="center"/>
          </w:tcPr>
          <w:p w:rsidR="00A63B98" w:rsidRPr="00E73A24" w:rsidRDefault="00A63B98" w:rsidP="009F577E">
            <w:pPr>
              <w:autoSpaceDE w:val="0"/>
              <w:autoSpaceDN w:val="0"/>
              <w:adjustRightInd w:val="0"/>
              <w:jc w:val="center"/>
              <w:rPr>
                <w:rFonts w:eastAsiaTheme="minorEastAsia"/>
                <w:kern w:val="0"/>
                <w:sz w:val="20"/>
              </w:rPr>
            </w:pPr>
            <w:r w:rsidRPr="00E73A24">
              <w:rPr>
                <w:rFonts w:eastAsiaTheme="minorEastAsia"/>
                <w:kern w:val="0"/>
                <w:sz w:val="20"/>
              </w:rPr>
              <w:t>7+</w:t>
            </w:r>
          </w:p>
        </w:tc>
        <w:tc>
          <w:tcPr>
            <w:tcW w:w="754" w:type="pct"/>
            <w:vAlign w:val="center"/>
          </w:tcPr>
          <w:p w:rsidR="00A63B98" w:rsidRPr="00E73A24" w:rsidRDefault="00A63B98" w:rsidP="009F577E">
            <w:pPr>
              <w:jc w:val="center"/>
              <w:rPr>
                <w:color w:val="000000"/>
                <w:sz w:val="20"/>
              </w:rPr>
            </w:pPr>
            <w:r w:rsidRPr="00E73A24">
              <w:rPr>
                <w:rFonts w:hint="eastAsia"/>
                <w:color w:val="000000"/>
                <w:sz w:val="20"/>
              </w:rPr>
              <w:t>190.64</w:t>
            </w:r>
          </w:p>
        </w:tc>
        <w:tc>
          <w:tcPr>
            <w:tcW w:w="755" w:type="pct"/>
            <w:vAlign w:val="center"/>
          </w:tcPr>
          <w:p w:rsidR="00A63B98" w:rsidRPr="00E73A24" w:rsidRDefault="00A63B98" w:rsidP="009F577E">
            <w:pPr>
              <w:jc w:val="center"/>
              <w:rPr>
                <w:sz w:val="20"/>
              </w:rPr>
            </w:pPr>
            <w:r w:rsidRPr="00E73A24">
              <w:rPr>
                <w:sz w:val="20"/>
              </w:rPr>
              <w:t>276.42</w:t>
            </w:r>
          </w:p>
        </w:tc>
        <w:tc>
          <w:tcPr>
            <w:tcW w:w="755" w:type="pct"/>
            <w:vAlign w:val="center"/>
          </w:tcPr>
          <w:p w:rsidR="00A63B98" w:rsidRPr="00E73A24" w:rsidRDefault="00A63B98" w:rsidP="009F577E">
            <w:pPr>
              <w:jc w:val="center"/>
              <w:rPr>
                <w:sz w:val="20"/>
              </w:rPr>
            </w:pPr>
            <w:r w:rsidRPr="00E73A24">
              <w:rPr>
                <w:sz w:val="20"/>
              </w:rPr>
              <w:t>314.49</w:t>
            </w:r>
          </w:p>
        </w:tc>
        <w:tc>
          <w:tcPr>
            <w:tcW w:w="755" w:type="pct"/>
            <w:vAlign w:val="center"/>
          </w:tcPr>
          <w:p w:rsidR="00A63B98" w:rsidRPr="00E73A24" w:rsidRDefault="00A63B98" w:rsidP="009F577E">
            <w:pPr>
              <w:jc w:val="center"/>
              <w:rPr>
                <w:sz w:val="20"/>
              </w:rPr>
            </w:pPr>
            <w:r w:rsidRPr="00E73A24">
              <w:rPr>
                <w:sz w:val="20"/>
              </w:rPr>
              <w:t>340.37</w:t>
            </w:r>
          </w:p>
        </w:tc>
        <w:tc>
          <w:tcPr>
            <w:tcW w:w="755" w:type="pct"/>
            <w:vAlign w:val="center"/>
          </w:tcPr>
          <w:p w:rsidR="00A63B98" w:rsidRPr="00E73A24" w:rsidRDefault="00A63B98" w:rsidP="009F577E">
            <w:pPr>
              <w:jc w:val="center"/>
              <w:rPr>
                <w:color w:val="000000"/>
                <w:sz w:val="20"/>
              </w:rPr>
            </w:pPr>
            <w:r w:rsidRPr="00E73A24">
              <w:rPr>
                <w:rFonts w:hint="eastAsia"/>
                <w:color w:val="000000"/>
                <w:sz w:val="20"/>
              </w:rPr>
              <w:t>1</w:t>
            </w:r>
            <w:r w:rsidRPr="00E73A24">
              <w:rPr>
                <w:color w:val="000000"/>
                <w:sz w:val="20"/>
              </w:rPr>
              <w:t>8</w:t>
            </w:r>
            <w:r w:rsidRPr="00E73A24">
              <w:rPr>
                <w:rFonts w:hint="eastAsia"/>
                <w:color w:val="000000"/>
                <w:sz w:val="20"/>
              </w:rPr>
              <w:t>1.67</w:t>
            </w:r>
          </w:p>
        </w:tc>
      </w:tr>
      <w:tr w:rsidR="00A63B98" w:rsidTr="009F577E">
        <w:tc>
          <w:tcPr>
            <w:tcW w:w="563" w:type="pct"/>
            <w:vMerge w:val="restart"/>
            <w:tcBorders>
              <w:top w:val="single" w:sz="4" w:space="0" w:color="auto"/>
            </w:tcBorders>
            <w:vAlign w:val="center"/>
          </w:tcPr>
          <w:p w:rsidR="00A63B98" w:rsidRPr="00E73A24" w:rsidRDefault="00A63B98" w:rsidP="009F577E">
            <w:pPr>
              <w:autoSpaceDE w:val="0"/>
              <w:autoSpaceDN w:val="0"/>
              <w:adjustRightInd w:val="0"/>
              <w:jc w:val="center"/>
              <w:rPr>
                <w:rFonts w:eastAsiaTheme="minorEastAsia"/>
                <w:kern w:val="0"/>
                <w:sz w:val="20"/>
              </w:rPr>
            </w:pPr>
            <w:r w:rsidRPr="00E73A24">
              <w:rPr>
                <w:rFonts w:eastAsiaTheme="minorEastAsia"/>
                <w:sz w:val="20"/>
              </w:rPr>
              <w:t>Rural</w:t>
            </w:r>
          </w:p>
        </w:tc>
        <w:tc>
          <w:tcPr>
            <w:tcW w:w="665" w:type="pct"/>
            <w:tcBorders>
              <w:top w:val="single" w:sz="4" w:space="0" w:color="auto"/>
            </w:tcBorders>
            <w:vAlign w:val="center"/>
          </w:tcPr>
          <w:p w:rsidR="00A63B98" w:rsidRPr="00E73A24" w:rsidRDefault="00A63B98" w:rsidP="009F577E">
            <w:pPr>
              <w:autoSpaceDE w:val="0"/>
              <w:autoSpaceDN w:val="0"/>
              <w:adjustRightInd w:val="0"/>
              <w:jc w:val="center"/>
              <w:rPr>
                <w:rFonts w:eastAsiaTheme="minorEastAsia"/>
                <w:kern w:val="0"/>
                <w:sz w:val="20"/>
              </w:rPr>
            </w:pPr>
            <w:r w:rsidRPr="00E73A24">
              <w:rPr>
                <w:rFonts w:eastAsiaTheme="minorEastAsia"/>
                <w:kern w:val="0"/>
                <w:sz w:val="20"/>
              </w:rPr>
              <w:t>1</w:t>
            </w:r>
          </w:p>
        </w:tc>
        <w:tc>
          <w:tcPr>
            <w:tcW w:w="754" w:type="pct"/>
            <w:tcBorders>
              <w:top w:val="single" w:sz="4" w:space="0" w:color="auto"/>
            </w:tcBorders>
            <w:vAlign w:val="center"/>
          </w:tcPr>
          <w:p w:rsidR="00A63B98" w:rsidRPr="00E73A24" w:rsidRDefault="00A63B98" w:rsidP="009F577E">
            <w:pPr>
              <w:widowControl/>
              <w:jc w:val="center"/>
              <w:rPr>
                <w:kern w:val="0"/>
                <w:sz w:val="20"/>
              </w:rPr>
            </w:pPr>
            <w:r w:rsidRPr="00E73A24">
              <w:rPr>
                <w:sz w:val="20"/>
              </w:rPr>
              <w:t>100.00</w:t>
            </w:r>
          </w:p>
        </w:tc>
        <w:tc>
          <w:tcPr>
            <w:tcW w:w="755" w:type="pct"/>
            <w:tcBorders>
              <w:top w:val="single" w:sz="4" w:space="0" w:color="auto"/>
            </w:tcBorders>
            <w:vAlign w:val="center"/>
          </w:tcPr>
          <w:p w:rsidR="00A63B98" w:rsidRPr="00E73A24" w:rsidRDefault="00A63B98" w:rsidP="009F577E">
            <w:pPr>
              <w:widowControl/>
              <w:jc w:val="center"/>
              <w:rPr>
                <w:kern w:val="0"/>
                <w:sz w:val="20"/>
              </w:rPr>
            </w:pPr>
            <w:r w:rsidRPr="00E73A24">
              <w:rPr>
                <w:sz w:val="20"/>
              </w:rPr>
              <w:t>100.00</w:t>
            </w:r>
          </w:p>
        </w:tc>
        <w:tc>
          <w:tcPr>
            <w:tcW w:w="755" w:type="pct"/>
            <w:tcBorders>
              <w:top w:val="single" w:sz="4" w:space="0" w:color="auto"/>
            </w:tcBorders>
            <w:vAlign w:val="center"/>
          </w:tcPr>
          <w:p w:rsidR="00A63B98" w:rsidRPr="00E73A24" w:rsidRDefault="00A63B98" w:rsidP="009F577E">
            <w:pPr>
              <w:widowControl/>
              <w:jc w:val="center"/>
              <w:rPr>
                <w:kern w:val="0"/>
                <w:sz w:val="20"/>
              </w:rPr>
            </w:pPr>
            <w:r w:rsidRPr="00E73A24">
              <w:rPr>
                <w:sz w:val="20"/>
              </w:rPr>
              <w:t>100.00</w:t>
            </w:r>
          </w:p>
        </w:tc>
        <w:tc>
          <w:tcPr>
            <w:tcW w:w="755" w:type="pct"/>
            <w:tcBorders>
              <w:top w:val="single" w:sz="4" w:space="0" w:color="auto"/>
            </w:tcBorders>
            <w:vAlign w:val="center"/>
          </w:tcPr>
          <w:p w:rsidR="00A63B98" w:rsidRPr="00E73A24" w:rsidRDefault="00A63B98" w:rsidP="009F577E">
            <w:pPr>
              <w:widowControl/>
              <w:jc w:val="center"/>
              <w:rPr>
                <w:kern w:val="0"/>
                <w:sz w:val="20"/>
              </w:rPr>
            </w:pPr>
            <w:r w:rsidRPr="00E73A24">
              <w:rPr>
                <w:sz w:val="20"/>
              </w:rPr>
              <w:t>100</w:t>
            </w:r>
          </w:p>
        </w:tc>
        <w:tc>
          <w:tcPr>
            <w:tcW w:w="755" w:type="pct"/>
            <w:tcBorders>
              <w:top w:val="single" w:sz="4" w:space="0" w:color="auto"/>
            </w:tcBorders>
            <w:vAlign w:val="center"/>
          </w:tcPr>
          <w:p w:rsidR="00A63B98" w:rsidRPr="00E73A24" w:rsidRDefault="00A63B98" w:rsidP="009F577E">
            <w:pPr>
              <w:widowControl/>
              <w:jc w:val="center"/>
              <w:rPr>
                <w:sz w:val="20"/>
              </w:rPr>
            </w:pPr>
            <w:r w:rsidRPr="00E73A24">
              <w:rPr>
                <w:sz w:val="20"/>
              </w:rPr>
              <w:t>100.00</w:t>
            </w:r>
          </w:p>
        </w:tc>
      </w:tr>
      <w:tr w:rsidR="00A63B98" w:rsidTr="009F577E">
        <w:tc>
          <w:tcPr>
            <w:tcW w:w="563" w:type="pct"/>
            <w:vMerge/>
            <w:vAlign w:val="center"/>
          </w:tcPr>
          <w:p w:rsidR="00A63B98" w:rsidRPr="00E73A24" w:rsidRDefault="00A63B98" w:rsidP="009F577E">
            <w:pPr>
              <w:autoSpaceDE w:val="0"/>
              <w:autoSpaceDN w:val="0"/>
              <w:adjustRightInd w:val="0"/>
              <w:jc w:val="center"/>
              <w:rPr>
                <w:rFonts w:eastAsiaTheme="minorEastAsia"/>
                <w:kern w:val="0"/>
                <w:sz w:val="20"/>
              </w:rPr>
            </w:pPr>
          </w:p>
        </w:tc>
        <w:tc>
          <w:tcPr>
            <w:tcW w:w="665" w:type="pct"/>
            <w:vAlign w:val="center"/>
          </w:tcPr>
          <w:p w:rsidR="00A63B98" w:rsidRPr="00E73A24" w:rsidRDefault="00A63B98" w:rsidP="009F577E">
            <w:pPr>
              <w:autoSpaceDE w:val="0"/>
              <w:autoSpaceDN w:val="0"/>
              <w:adjustRightInd w:val="0"/>
              <w:jc w:val="center"/>
              <w:rPr>
                <w:rFonts w:eastAsiaTheme="minorEastAsia"/>
                <w:kern w:val="0"/>
                <w:sz w:val="20"/>
              </w:rPr>
            </w:pPr>
            <w:r w:rsidRPr="00E73A24">
              <w:rPr>
                <w:rFonts w:eastAsiaTheme="minorEastAsia"/>
                <w:kern w:val="0"/>
                <w:sz w:val="20"/>
              </w:rPr>
              <w:t>2</w:t>
            </w:r>
          </w:p>
        </w:tc>
        <w:tc>
          <w:tcPr>
            <w:tcW w:w="754" w:type="pct"/>
            <w:vAlign w:val="center"/>
          </w:tcPr>
          <w:p w:rsidR="00A63B98" w:rsidRPr="00E73A24" w:rsidRDefault="00A63B98" w:rsidP="009F577E">
            <w:pPr>
              <w:jc w:val="center"/>
              <w:rPr>
                <w:sz w:val="20"/>
              </w:rPr>
            </w:pPr>
            <w:r w:rsidRPr="00E73A24">
              <w:rPr>
                <w:sz w:val="20"/>
              </w:rPr>
              <w:t>127.87</w:t>
            </w:r>
          </w:p>
        </w:tc>
        <w:tc>
          <w:tcPr>
            <w:tcW w:w="755" w:type="pct"/>
            <w:vAlign w:val="center"/>
          </w:tcPr>
          <w:p w:rsidR="00A63B98" w:rsidRPr="00E73A24" w:rsidRDefault="00A63B98" w:rsidP="009F577E">
            <w:pPr>
              <w:jc w:val="center"/>
              <w:rPr>
                <w:sz w:val="20"/>
              </w:rPr>
            </w:pPr>
            <w:r w:rsidRPr="00E73A24">
              <w:rPr>
                <w:sz w:val="20"/>
              </w:rPr>
              <w:t>122.20</w:t>
            </w:r>
          </w:p>
        </w:tc>
        <w:tc>
          <w:tcPr>
            <w:tcW w:w="755" w:type="pct"/>
            <w:vAlign w:val="center"/>
          </w:tcPr>
          <w:p w:rsidR="00A63B98" w:rsidRPr="00E73A24" w:rsidRDefault="00A63B98" w:rsidP="009F577E">
            <w:pPr>
              <w:jc w:val="center"/>
              <w:rPr>
                <w:sz w:val="20"/>
              </w:rPr>
            </w:pPr>
            <w:r w:rsidRPr="00E73A24">
              <w:rPr>
                <w:sz w:val="20"/>
              </w:rPr>
              <w:t>147.17</w:t>
            </w:r>
          </w:p>
        </w:tc>
        <w:tc>
          <w:tcPr>
            <w:tcW w:w="755" w:type="pct"/>
            <w:vAlign w:val="center"/>
          </w:tcPr>
          <w:p w:rsidR="00A63B98" w:rsidRPr="00E73A24" w:rsidRDefault="00A63B98" w:rsidP="009F577E">
            <w:pPr>
              <w:jc w:val="center"/>
              <w:rPr>
                <w:sz w:val="20"/>
              </w:rPr>
            </w:pPr>
            <w:r w:rsidRPr="00E73A24">
              <w:rPr>
                <w:sz w:val="20"/>
              </w:rPr>
              <w:t>147.99</w:t>
            </w:r>
          </w:p>
        </w:tc>
        <w:tc>
          <w:tcPr>
            <w:tcW w:w="755" w:type="pct"/>
            <w:vAlign w:val="center"/>
          </w:tcPr>
          <w:p w:rsidR="00A63B98" w:rsidRPr="00E73A24" w:rsidRDefault="00A63B98" w:rsidP="009F577E">
            <w:pPr>
              <w:widowControl/>
              <w:jc w:val="center"/>
              <w:rPr>
                <w:sz w:val="20"/>
              </w:rPr>
            </w:pPr>
            <w:r w:rsidRPr="00E73A24">
              <w:rPr>
                <w:sz w:val="20"/>
              </w:rPr>
              <w:t>138.96</w:t>
            </w:r>
          </w:p>
        </w:tc>
      </w:tr>
      <w:tr w:rsidR="00A63B98" w:rsidTr="009F577E">
        <w:tc>
          <w:tcPr>
            <w:tcW w:w="563" w:type="pct"/>
            <w:vMerge/>
            <w:vAlign w:val="center"/>
          </w:tcPr>
          <w:p w:rsidR="00A63B98" w:rsidRPr="00E73A24" w:rsidRDefault="00A63B98" w:rsidP="009F577E">
            <w:pPr>
              <w:autoSpaceDE w:val="0"/>
              <w:autoSpaceDN w:val="0"/>
              <w:adjustRightInd w:val="0"/>
              <w:jc w:val="center"/>
              <w:rPr>
                <w:rFonts w:eastAsiaTheme="minorEastAsia"/>
                <w:kern w:val="0"/>
                <w:sz w:val="20"/>
              </w:rPr>
            </w:pPr>
          </w:p>
        </w:tc>
        <w:tc>
          <w:tcPr>
            <w:tcW w:w="665" w:type="pct"/>
            <w:vAlign w:val="center"/>
          </w:tcPr>
          <w:p w:rsidR="00A63B98" w:rsidRPr="00E73A24" w:rsidRDefault="00A63B98" w:rsidP="009F577E">
            <w:pPr>
              <w:autoSpaceDE w:val="0"/>
              <w:autoSpaceDN w:val="0"/>
              <w:adjustRightInd w:val="0"/>
              <w:jc w:val="center"/>
              <w:rPr>
                <w:rFonts w:eastAsiaTheme="minorEastAsia"/>
                <w:kern w:val="0"/>
                <w:sz w:val="20"/>
              </w:rPr>
            </w:pPr>
            <w:r w:rsidRPr="00E73A24">
              <w:rPr>
                <w:rFonts w:eastAsiaTheme="minorEastAsia"/>
                <w:kern w:val="0"/>
                <w:sz w:val="20"/>
              </w:rPr>
              <w:t>3</w:t>
            </w:r>
          </w:p>
        </w:tc>
        <w:tc>
          <w:tcPr>
            <w:tcW w:w="754" w:type="pct"/>
            <w:vAlign w:val="center"/>
          </w:tcPr>
          <w:p w:rsidR="00A63B98" w:rsidRPr="00E73A24" w:rsidRDefault="00A63B98" w:rsidP="009F577E">
            <w:pPr>
              <w:jc w:val="center"/>
              <w:rPr>
                <w:sz w:val="20"/>
              </w:rPr>
            </w:pPr>
            <w:r w:rsidRPr="00E73A24">
              <w:rPr>
                <w:sz w:val="20"/>
              </w:rPr>
              <w:t>130.78</w:t>
            </w:r>
          </w:p>
        </w:tc>
        <w:tc>
          <w:tcPr>
            <w:tcW w:w="755" w:type="pct"/>
            <w:vAlign w:val="center"/>
          </w:tcPr>
          <w:p w:rsidR="00A63B98" w:rsidRPr="00E73A24" w:rsidRDefault="00A63B98" w:rsidP="009F577E">
            <w:pPr>
              <w:jc w:val="center"/>
              <w:rPr>
                <w:sz w:val="20"/>
              </w:rPr>
            </w:pPr>
            <w:r w:rsidRPr="00E73A24">
              <w:rPr>
                <w:sz w:val="20"/>
              </w:rPr>
              <w:t>214.78</w:t>
            </w:r>
          </w:p>
        </w:tc>
        <w:tc>
          <w:tcPr>
            <w:tcW w:w="755" w:type="pct"/>
            <w:vAlign w:val="center"/>
          </w:tcPr>
          <w:p w:rsidR="00A63B98" w:rsidRPr="00E73A24" w:rsidRDefault="00A63B98" w:rsidP="009F577E">
            <w:pPr>
              <w:jc w:val="center"/>
              <w:rPr>
                <w:sz w:val="20"/>
              </w:rPr>
            </w:pPr>
            <w:r w:rsidRPr="00E73A24">
              <w:rPr>
                <w:sz w:val="20"/>
              </w:rPr>
              <w:t>159.11</w:t>
            </w:r>
          </w:p>
        </w:tc>
        <w:tc>
          <w:tcPr>
            <w:tcW w:w="755" w:type="pct"/>
            <w:vAlign w:val="center"/>
          </w:tcPr>
          <w:p w:rsidR="00A63B98" w:rsidRPr="00E73A24" w:rsidRDefault="00A63B98" w:rsidP="009F577E">
            <w:pPr>
              <w:jc w:val="center"/>
              <w:rPr>
                <w:sz w:val="20"/>
              </w:rPr>
            </w:pPr>
            <w:r w:rsidRPr="00E73A24">
              <w:rPr>
                <w:sz w:val="20"/>
              </w:rPr>
              <w:t>170.52</w:t>
            </w:r>
          </w:p>
        </w:tc>
        <w:tc>
          <w:tcPr>
            <w:tcW w:w="755" w:type="pct"/>
            <w:vAlign w:val="center"/>
          </w:tcPr>
          <w:p w:rsidR="00A63B98" w:rsidRPr="00E73A24" w:rsidRDefault="00A63B98" w:rsidP="009F577E">
            <w:pPr>
              <w:widowControl/>
              <w:jc w:val="center"/>
              <w:rPr>
                <w:sz w:val="20"/>
              </w:rPr>
            </w:pPr>
            <w:r w:rsidRPr="00E73A24">
              <w:rPr>
                <w:sz w:val="20"/>
              </w:rPr>
              <w:t>141.51</w:t>
            </w:r>
          </w:p>
        </w:tc>
      </w:tr>
      <w:tr w:rsidR="00A63B98" w:rsidTr="009F577E">
        <w:tc>
          <w:tcPr>
            <w:tcW w:w="563" w:type="pct"/>
            <w:vMerge/>
            <w:vAlign w:val="center"/>
          </w:tcPr>
          <w:p w:rsidR="00A63B98" w:rsidRPr="00E73A24" w:rsidRDefault="00A63B98" w:rsidP="009F577E">
            <w:pPr>
              <w:autoSpaceDE w:val="0"/>
              <w:autoSpaceDN w:val="0"/>
              <w:adjustRightInd w:val="0"/>
              <w:jc w:val="center"/>
              <w:rPr>
                <w:rFonts w:eastAsiaTheme="minorEastAsia"/>
                <w:kern w:val="0"/>
                <w:sz w:val="20"/>
              </w:rPr>
            </w:pPr>
          </w:p>
        </w:tc>
        <w:tc>
          <w:tcPr>
            <w:tcW w:w="665" w:type="pct"/>
            <w:vAlign w:val="center"/>
          </w:tcPr>
          <w:p w:rsidR="00A63B98" w:rsidRPr="00E73A24" w:rsidRDefault="00A63B98" w:rsidP="009F577E">
            <w:pPr>
              <w:autoSpaceDE w:val="0"/>
              <w:autoSpaceDN w:val="0"/>
              <w:adjustRightInd w:val="0"/>
              <w:jc w:val="center"/>
              <w:rPr>
                <w:rFonts w:eastAsiaTheme="minorEastAsia"/>
                <w:kern w:val="0"/>
                <w:sz w:val="20"/>
              </w:rPr>
            </w:pPr>
            <w:r w:rsidRPr="00E73A24">
              <w:rPr>
                <w:rFonts w:eastAsiaTheme="minorEastAsia"/>
                <w:kern w:val="0"/>
                <w:sz w:val="20"/>
              </w:rPr>
              <w:t>4</w:t>
            </w:r>
          </w:p>
        </w:tc>
        <w:tc>
          <w:tcPr>
            <w:tcW w:w="754" w:type="pct"/>
            <w:vAlign w:val="center"/>
          </w:tcPr>
          <w:p w:rsidR="00A63B98" w:rsidRPr="00E73A24" w:rsidRDefault="00A63B98" w:rsidP="009F577E">
            <w:pPr>
              <w:jc w:val="center"/>
              <w:rPr>
                <w:sz w:val="20"/>
              </w:rPr>
            </w:pPr>
            <w:r w:rsidRPr="00E73A24">
              <w:rPr>
                <w:sz w:val="20"/>
              </w:rPr>
              <w:t>136.58</w:t>
            </w:r>
          </w:p>
        </w:tc>
        <w:tc>
          <w:tcPr>
            <w:tcW w:w="755" w:type="pct"/>
            <w:vAlign w:val="center"/>
          </w:tcPr>
          <w:p w:rsidR="00A63B98" w:rsidRPr="00E73A24" w:rsidRDefault="00A63B98" w:rsidP="009F577E">
            <w:pPr>
              <w:jc w:val="center"/>
              <w:rPr>
                <w:sz w:val="20"/>
              </w:rPr>
            </w:pPr>
            <w:r w:rsidRPr="00E73A24">
              <w:rPr>
                <w:sz w:val="20"/>
              </w:rPr>
              <w:t>231.12</w:t>
            </w:r>
          </w:p>
        </w:tc>
        <w:tc>
          <w:tcPr>
            <w:tcW w:w="755" w:type="pct"/>
            <w:vAlign w:val="center"/>
          </w:tcPr>
          <w:p w:rsidR="00A63B98" w:rsidRPr="00E73A24" w:rsidRDefault="00A63B98" w:rsidP="009F577E">
            <w:pPr>
              <w:jc w:val="center"/>
              <w:rPr>
                <w:sz w:val="20"/>
              </w:rPr>
            </w:pPr>
            <w:r w:rsidRPr="00E73A24">
              <w:rPr>
                <w:sz w:val="20"/>
              </w:rPr>
              <w:t>173.53</w:t>
            </w:r>
          </w:p>
        </w:tc>
        <w:tc>
          <w:tcPr>
            <w:tcW w:w="755" w:type="pct"/>
            <w:vAlign w:val="center"/>
          </w:tcPr>
          <w:p w:rsidR="00A63B98" w:rsidRPr="00E73A24" w:rsidRDefault="00A63B98" w:rsidP="009F577E">
            <w:pPr>
              <w:jc w:val="center"/>
              <w:rPr>
                <w:sz w:val="20"/>
              </w:rPr>
            </w:pPr>
            <w:r w:rsidRPr="00E73A24">
              <w:rPr>
                <w:sz w:val="20"/>
              </w:rPr>
              <w:t>216.06</w:t>
            </w:r>
          </w:p>
        </w:tc>
        <w:tc>
          <w:tcPr>
            <w:tcW w:w="755" w:type="pct"/>
            <w:vAlign w:val="center"/>
          </w:tcPr>
          <w:p w:rsidR="00A63B98" w:rsidRPr="00E73A24" w:rsidRDefault="00A63B98" w:rsidP="009F577E">
            <w:pPr>
              <w:widowControl/>
              <w:jc w:val="center"/>
              <w:rPr>
                <w:sz w:val="20"/>
              </w:rPr>
            </w:pPr>
            <w:r w:rsidRPr="00E73A24">
              <w:rPr>
                <w:sz w:val="20"/>
              </w:rPr>
              <w:t>150.57</w:t>
            </w:r>
          </w:p>
        </w:tc>
      </w:tr>
      <w:tr w:rsidR="00A63B98" w:rsidTr="009F577E">
        <w:tc>
          <w:tcPr>
            <w:tcW w:w="563" w:type="pct"/>
            <w:vMerge/>
            <w:vAlign w:val="center"/>
          </w:tcPr>
          <w:p w:rsidR="00A63B98" w:rsidRPr="00E73A24" w:rsidRDefault="00A63B98" w:rsidP="009F577E">
            <w:pPr>
              <w:autoSpaceDE w:val="0"/>
              <w:autoSpaceDN w:val="0"/>
              <w:adjustRightInd w:val="0"/>
              <w:jc w:val="center"/>
              <w:rPr>
                <w:rFonts w:eastAsiaTheme="minorEastAsia"/>
                <w:kern w:val="0"/>
                <w:sz w:val="20"/>
              </w:rPr>
            </w:pPr>
          </w:p>
        </w:tc>
        <w:tc>
          <w:tcPr>
            <w:tcW w:w="665" w:type="pct"/>
            <w:vAlign w:val="center"/>
          </w:tcPr>
          <w:p w:rsidR="00A63B98" w:rsidRPr="00E73A24" w:rsidRDefault="00A63B98" w:rsidP="009F577E">
            <w:pPr>
              <w:autoSpaceDE w:val="0"/>
              <w:autoSpaceDN w:val="0"/>
              <w:adjustRightInd w:val="0"/>
              <w:jc w:val="center"/>
              <w:rPr>
                <w:rFonts w:eastAsiaTheme="minorEastAsia"/>
                <w:kern w:val="0"/>
                <w:sz w:val="20"/>
              </w:rPr>
            </w:pPr>
            <w:r w:rsidRPr="00E73A24">
              <w:rPr>
                <w:rFonts w:eastAsiaTheme="minorEastAsia"/>
                <w:kern w:val="0"/>
                <w:sz w:val="20"/>
              </w:rPr>
              <w:t>5</w:t>
            </w:r>
          </w:p>
        </w:tc>
        <w:tc>
          <w:tcPr>
            <w:tcW w:w="754" w:type="pct"/>
            <w:vAlign w:val="center"/>
          </w:tcPr>
          <w:p w:rsidR="00A63B98" w:rsidRPr="00E73A24" w:rsidRDefault="00A63B98" w:rsidP="009F577E">
            <w:pPr>
              <w:widowControl/>
              <w:jc w:val="center"/>
              <w:rPr>
                <w:sz w:val="20"/>
              </w:rPr>
            </w:pPr>
            <w:r w:rsidRPr="00E73A24">
              <w:rPr>
                <w:sz w:val="20"/>
              </w:rPr>
              <w:t>144.62</w:t>
            </w:r>
          </w:p>
        </w:tc>
        <w:tc>
          <w:tcPr>
            <w:tcW w:w="755" w:type="pct"/>
            <w:vAlign w:val="center"/>
          </w:tcPr>
          <w:p w:rsidR="00A63B98" w:rsidRPr="00E73A24" w:rsidRDefault="00A63B98" w:rsidP="009F577E">
            <w:pPr>
              <w:jc w:val="center"/>
              <w:rPr>
                <w:sz w:val="20"/>
              </w:rPr>
            </w:pPr>
            <w:r w:rsidRPr="00E73A24">
              <w:rPr>
                <w:sz w:val="20"/>
              </w:rPr>
              <w:t>273.38</w:t>
            </w:r>
          </w:p>
        </w:tc>
        <w:tc>
          <w:tcPr>
            <w:tcW w:w="755" w:type="pct"/>
            <w:vAlign w:val="center"/>
          </w:tcPr>
          <w:p w:rsidR="00A63B98" w:rsidRPr="00E73A24" w:rsidRDefault="00A63B98" w:rsidP="009F577E">
            <w:pPr>
              <w:jc w:val="center"/>
              <w:rPr>
                <w:sz w:val="20"/>
              </w:rPr>
            </w:pPr>
            <w:r w:rsidRPr="00E73A24">
              <w:rPr>
                <w:sz w:val="20"/>
              </w:rPr>
              <w:t>194.74</w:t>
            </w:r>
          </w:p>
        </w:tc>
        <w:tc>
          <w:tcPr>
            <w:tcW w:w="755" w:type="pct"/>
            <w:vAlign w:val="center"/>
          </w:tcPr>
          <w:p w:rsidR="00A63B98" w:rsidRPr="00E73A24" w:rsidRDefault="00A63B98" w:rsidP="009F577E">
            <w:pPr>
              <w:jc w:val="center"/>
              <w:rPr>
                <w:sz w:val="20"/>
              </w:rPr>
            </w:pPr>
            <w:r w:rsidRPr="00E73A24">
              <w:rPr>
                <w:sz w:val="20"/>
              </w:rPr>
              <w:t>242.15</w:t>
            </w:r>
          </w:p>
        </w:tc>
        <w:tc>
          <w:tcPr>
            <w:tcW w:w="755" w:type="pct"/>
            <w:vAlign w:val="center"/>
          </w:tcPr>
          <w:p w:rsidR="00A63B98" w:rsidRPr="00E73A24" w:rsidRDefault="00A63B98" w:rsidP="009F577E">
            <w:pPr>
              <w:widowControl/>
              <w:jc w:val="center"/>
              <w:rPr>
                <w:sz w:val="20"/>
              </w:rPr>
            </w:pPr>
            <w:r w:rsidRPr="00E73A24">
              <w:rPr>
                <w:sz w:val="20"/>
              </w:rPr>
              <w:t>176.02</w:t>
            </w:r>
          </w:p>
        </w:tc>
      </w:tr>
      <w:tr w:rsidR="00A63B98" w:rsidTr="009F577E">
        <w:tc>
          <w:tcPr>
            <w:tcW w:w="563" w:type="pct"/>
            <w:vMerge/>
            <w:vAlign w:val="center"/>
          </w:tcPr>
          <w:p w:rsidR="00A63B98" w:rsidRPr="00E73A24" w:rsidRDefault="00A63B98" w:rsidP="009F577E">
            <w:pPr>
              <w:autoSpaceDE w:val="0"/>
              <w:autoSpaceDN w:val="0"/>
              <w:adjustRightInd w:val="0"/>
              <w:jc w:val="center"/>
              <w:rPr>
                <w:rFonts w:eastAsiaTheme="minorEastAsia"/>
                <w:kern w:val="0"/>
                <w:sz w:val="20"/>
              </w:rPr>
            </w:pPr>
          </w:p>
        </w:tc>
        <w:tc>
          <w:tcPr>
            <w:tcW w:w="665" w:type="pct"/>
            <w:vAlign w:val="center"/>
          </w:tcPr>
          <w:p w:rsidR="00A63B98" w:rsidRPr="00E73A24" w:rsidRDefault="00A63B98" w:rsidP="009F577E">
            <w:pPr>
              <w:autoSpaceDE w:val="0"/>
              <w:autoSpaceDN w:val="0"/>
              <w:adjustRightInd w:val="0"/>
              <w:jc w:val="center"/>
              <w:rPr>
                <w:rFonts w:eastAsiaTheme="minorEastAsia"/>
                <w:kern w:val="0"/>
                <w:sz w:val="20"/>
              </w:rPr>
            </w:pPr>
            <w:r w:rsidRPr="00E73A24">
              <w:rPr>
                <w:rFonts w:eastAsiaTheme="minorEastAsia"/>
                <w:kern w:val="0"/>
                <w:sz w:val="20"/>
              </w:rPr>
              <w:t>6</w:t>
            </w:r>
          </w:p>
        </w:tc>
        <w:tc>
          <w:tcPr>
            <w:tcW w:w="754" w:type="pct"/>
            <w:vAlign w:val="center"/>
          </w:tcPr>
          <w:p w:rsidR="00A63B98" w:rsidRPr="00E73A24" w:rsidRDefault="00A63B98" w:rsidP="009F577E">
            <w:pPr>
              <w:jc w:val="center"/>
              <w:rPr>
                <w:sz w:val="20"/>
              </w:rPr>
            </w:pPr>
            <w:r w:rsidRPr="00E73A24">
              <w:rPr>
                <w:sz w:val="20"/>
              </w:rPr>
              <w:t>171.30</w:t>
            </w:r>
          </w:p>
        </w:tc>
        <w:tc>
          <w:tcPr>
            <w:tcW w:w="755" w:type="pct"/>
            <w:vAlign w:val="center"/>
          </w:tcPr>
          <w:p w:rsidR="00A63B98" w:rsidRPr="00E73A24" w:rsidRDefault="00A63B98" w:rsidP="009F577E">
            <w:pPr>
              <w:widowControl/>
              <w:jc w:val="center"/>
              <w:rPr>
                <w:sz w:val="20"/>
              </w:rPr>
            </w:pPr>
            <w:r w:rsidRPr="00E73A24">
              <w:rPr>
                <w:sz w:val="20"/>
              </w:rPr>
              <w:t>292.92</w:t>
            </w:r>
          </w:p>
        </w:tc>
        <w:tc>
          <w:tcPr>
            <w:tcW w:w="755" w:type="pct"/>
            <w:vAlign w:val="center"/>
          </w:tcPr>
          <w:p w:rsidR="00A63B98" w:rsidRPr="00E73A24" w:rsidRDefault="00A63B98" w:rsidP="009F577E">
            <w:pPr>
              <w:jc w:val="center"/>
              <w:rPr>
                <w:sz w:val="20"/>
              </w:rPr>
            </w:pPr>
            <w:r w:rsidRPr="00E73A24">
              <w:rPr>
                <w:sz w:val="20"/>
              </w:rPr>
              <w:t>206.84</w:t>
            </w:r>
          </w:p>
        </w:tc>
        <w:tc>
          <w:tcPr>
            <w:tcW w:w="755" w:type="pct"/>
            <w:vAlign w:val="center"/>
          </w:tcPr>
          <w:p w:rsidR="00A63B98" w:rsidRPr="00E73A24" w:rsidRDefault="00A63B98" w:rsidP="009F577E">
            <w:pPr>
              <w:widowControl/>
              <w:jc w:val="center"/>
              <w:rPr>
                <w:sz w:val="20"/>
              </w:rPr>
            </w:pPr>
            <w:r w:rsidRPr="00E73A24">
              <w:rPr>
                <w:sz w:val="20"/>
              </w:rPr>
              <w:t>274.31</w:t>
            </w:r>
          </w:p>
        </w:tc>
        <w:tc>
          <w:tcPr>
            <w:tcW w:w="755" w:type="pct"/>
            <w:vAlign w:val="center"/>
          </w:tcPr>
          <w:p w:rsidR="00A63B98" w:rsidRPr="00E73A24" w:rsidRDefault="00A63B98" w:rsidP="009F577E">
            <w:pPr>
              <w:widowControl/>
              <w:jc w:val="center"/>
              <w:rPr>
                <w:sz w:val="20"/>
              </w:rPr>
            </w:pPr>
            <w:r w:rsidRPr="00E73A24">
              <w:rPr>
                <w:sz w:val="20"/>
              </w:rPr>
              <w:t>184.75</w:t>
            </w:r>
          </w:p>
        </w:tc>
      </w:tr>
      <w:tr w:rsidR="00A63B98" w:rsidTr="009F577E">
        <w:tc>
          <w:tcPr>
            <w:tcW w:w="563" w:type="pct"/>
            <w:vMerge/>
            <w:vAlign w:val="center"/>
          </w:tcPr>
          <w:p w:rsidR="00A63B98" w:rsidRPr="00E73A24" w:rsidRDefault="00A63B98" w:rsidP="009F577E">
            <w:pPr>
              <w:autoSpaceDE w:val="0"/>
              <w:autoSpaceDN w:val="0"/>
              <w:adjustRightInd w:val="0"/>
              <w:jc w:val="center"/>
              <w:rPr>
                <w:rFonts w:eastAsiaTheme="minorEastAsia"/>
                <w:kern w:val="0"/>
                <w:sz w:val="20"/>
              </w:rPr>
            </w:pPr>
          </w:p>
        </w:tc>
        <w:tc>
          <w:tcPr>
            <w:tcW w:w="665" w:type="pct"/>
            <w:vAlign w:val="center"/>
          </w:tcPr>
          <w:p w:rsidR="00A63B98" w:rsidRPr="00E73A24" w:rsidRDefault="00A63B98" w:rsidP="009F577E">
            <w:pPr>
              <w:autoSpaceDE w:val="0"/>
              <w:autoSpaceDN w:val="0"/>
              <w:adjustRightInd w:val="0"/>
              <w:jc w:val="center"/>
              <w:rPr>
                <w:rFonts w:eastAsiaTheme="minorEastAsia"/>
                <w:kern w:val="0"/>
                <w:sz w:val="20"/>
              </w:rPr>
            </w:pPr>
            <w:r w:rsidRPr="00E73A24">
              <w:rPr>
                <w:rFonts w:eastAsiaTheme="minorEastAsia"/>
                <w:kern w:val="0"/>
                <w:sz w:val="20"/>
              </w:rPr>
              <w:t>7+</w:t>
            </w:r>
          </w:p>
        </w:tc>
        <w:tc>
          <w:tcPr>
            <w:tcW w:w="754" w:type="pct"/>
            <w:vAlign w:val="center"/>
          </w:tcPr>
          <w:p w:rsidR="00A63B98" w:rsidRPr="00E73A24" w:rsidRDefault="00A63B98" w:rsidP="009F577E">
            <w:pPr>
              <w:widowControl/>
              <w:jc w:val="center"/>
              <w:rPr>
                <w:sz w:val="20"/>
              </w:rPr>
            </w:pPr>
            <w:r w:rsidRPr="00E73A24">
              <w:rPr>
                <w:sz w:val="20"/>
              </w:rPr>
              <w:t>196.16</w:t>
            </w:r>
          </w:p>
        </w:tc>
        <w:tc>
          <w:tcPr>
            <w:tcW w:w="755" w:type="pct"/>
            <w:vAlign w:val="center"/>
          </w:tcPr>
          <w:p w:rsidR="00A63B98" w:rsidRPr="00E73A24" w:rsidRDefault="00A63B98" w:rsidP="009F577E">
            <w:pPr>
              <w:widowControl/>
              <w:jc w:val="center"/>
              <w:rPr>
                <w:color w:val="FF0000"/>
                <w:sz w:val="20"/>
              </w:rPr>
            </w:pPr>
            <w:r w:rsidRPr="00E73A24">
              <w:rPr>
                <w:sz w:val="20"/>
              </w:rPr>
              <w:t>313.40</w:t>
            </w:r>
          </w:p>
        </w:tc>
        <w:tc>
          <w:tcPr>
            <w:tcW w:w="755" w:type="pct"/>
            <w:vAlign w:val="center"/>
          </w:tcPr>
          <w:p w:rsidR="00A63B98" w:rsidRPr="00E73A24" w:rsidRDefault="00A63B98" w:rsidP="009F577E">
            <w:pPr>
              <w:widowControl/>
              <w:jc w:val="center"/>
              <w:rPr>
                <w:sz w:val="20"/>
              </w:rPr>
            </w:pPr>
            <w:r w:rsidRPr="00E73A24">
              <w:rPr>
                <w:sz w:val="20"/>
              </w:rPr>
              <w:t>231.34</w:t>
            </w:r>
          </w:p>
        </w:tc>
        <w:tc>
          <w:tcPr>
            <w:tcW w:w="755" w:type="pct"/>
            <w:vAlign w:val="center"/>
          </w:tcPr>
          <w:p w:rsidR="00A63B98" w:rsidRPr="00E73A24" w:rsidRDefault="00A63B98" w:rsidP="009F577E">
            <w:pPr>
              <w:widowControl/>
              <w:jc w:val="center"/>
              <w:rPr>
                <w:sz w:val="20"/>
              </w:rPr>
            </w:pPr>
            <w:r w:rsidRPr="00E73A24">
              <w:rPr>
                <w:sz w:val="20"/>
              </w:rPr>
              <w:t>307.87</w:t>
            </w:r>
          </w:p>
        </w:tc>
        <w:tc>
          <w:tcPr>
            <w:tcW w:w="755" w:type="pct"/>
            <w:vAlign w:val="center"/>
          </w:tcPr>
          <w:p w:rsidR="00A63B98" w:rsidRPr="00E73A24" w:rsidRDefault="00A63B98" w:rsidP="009F577E">
            <w:pPr>
              <w:widowControl/>
              <w:jc w:val="center"/>
              <w:rPr>
                <w:sz w:val="20"/>
              </w:rPr>
            </w:pPr>
            <w:r w:rsidRPr="00E73A24">
              <w:rPr>
                <w:sz w:val="20"/>
              </w:rPr>
              <w:t>208.08</w:t>
            </w:r>
          </w:p>
        </w:tc>
      </w:tr>
    </w:tbl>
    <w:p w:rsidR="00A63B98" w:rsidRDefault="00A63B98" w:rsidP="00A63B98">
      <w:pPr>
        <w:widowControl/>
        <w:jc w:val="left"/>
        <w:rPr>
          <w:rFonts w:eastAsiaTheme="minorEastAsia"/>
          <w:b/>
        </w:rPr>
      </w:pPr>
    </w:p>
    <w:p w:rsidR="00A63B98" w:rsidRDefault="00A63B98" w:rsidP="00A63B98">
      <w:pPr>
        <w:widowControl/>
        <w:jc w:val="left"/>
        <w:rPr>
          <w:rFonts w:eastAsiaTheme="minorEastAsia"/>
          <w:b/>
        </w:rPr>
      </w:pPr>
      <w:r>
        <w:rPr>
          <w:rFonts w:eastAsiaTheme="minorEastAsia" w:hint="eastAsia"/>
          <w:b/>
        </w:rPr>
        <w:t xml:space="preserve">Supplementary </w:t>
      </w:r>
      <w:r w:rsidR="0077673F">
        <w:rPr>
          <w:rFonts w:eastAsiaTheme="minorEastAsia" w:hint="eastAsia"/>
          <w:b/>
        </w:rPr>
        <w:t>T</w:t>
      </w:r>
      <w:bookmarkStart w:id="0" w:name="_GoBack"/>
      <w:bookmarkEnd w:id="0"/>
      <w:r>
        <w:rPr>
          <w:rFonts w:eastAsiaTheme="minorEastAsia" w:hint="eastAsia"/>
          <w:b/>
        </w:rPr>
        <w:t xml:space="preserve">able </w:t>
      </w:r>
      <w:r>
        <w:rPr>
          <w:rFonts w:eastAsiaTheme="minorEastAsia"/>
          <w:b/>
        </w:rPr>
        <w:t>2</w:t>
      </w:r>
      <w:r>
        <w:rPr>
          <w:rFonts w:eastAsiaTheme="minorEastAsia" w:hint="eastAsia"/>
          <w:b/>
        </w:rPr>
        <w:t>.</w:t>
      </w:r>
      <w:r w:rsidRPr="00320CBE">
        <w:rPr>
          <w:rFonts w:eastAsiaTheme="minorEastAsia"/>
          <w:b/>
        </w:rPr>
        <w:t xml:space="preserve"> Parameter assumptions for </w:t>
      </w:r>
      <w:r>
        <w:rPr>
          <w:rFonts w:eastAsiaTheme="minorEastAsia"/>
          <w:b/>
        </w:rPr>
        <w:t>industrial</w:t>
      </w:r>
      <w:r w:rsidRPr="00320CBE">
        <w:rPr>
          <w:rFonts w:eastAsiaTheme="minorEastAsia"/>
          <w:b/>
        </w:rPr>
        <w:t xml:space="preserve"> system</w:t>
      </w:r>
    </w:p>
    <w:tbl>
      <w:tblPr>
        <w:tblW w:w="5000" w:type="pct"/>
        <w:tblBorders>
          <w:top w:val="single" w:sz="4" w:space="0" w:color="auto"/>
          <w:bottom w:val="single" w:sz="4" w:space="0" w:color="auto"/>
        </w:tblBorders>
        <w:shd w:val="clear" w:color="000000" w:fill="auto"/>
        <w:tblLook w:val="04A0" w:firstRow="1" w:lastRow="0" w:firstColumn="1" w:lastColumn="0" w:noHBand="0" w:noVBand="1"/>
      </w:tblPr>
      <w:tblGrid>
        <w:gridCol w:w="1802"/>
        <w:gridCol w:w="2168"/>
        <w:gridCol w:w="2168"/>
        <w:gridCol w:w="2168"/>
      </w:tblGrid>
      <w:tr w:rsidR="00270543" w:rsidRPr="00E73A24" w:rsidTr="00270543">
        <w:trPr>
          <w:trHeight w:val="454"/>
        </w:trPr>
        <w:tc>
          <w:tcPr>
            <w:tcW w:w="1085" w:type="pct"/>
            <w:vMerge w:val="restart"/>
            <w:tcBorders>
              <w:top w:val="single" w:sz="4" w:space="0" w:color="auto"/>
              <w:bottom w:val="nil"/>
            </w:tcBorders>
            <w:shd w:val="clear" w:color="000000" w:fill="auto"/>
            <w:vAlign w:val="center"/>
          </w:tcPr>
          <w:p w:rsidR="00270543" w:rsidRPr="00E73A24" w:rsidRDefault="00270543" w:rsidP="009F577E">
            <w:pPr>
              <w:widowControl/>
              <w:jc w:val="center"/>
              <w:rPr>
                <w:color w:val="000000"/>
                <w:kern w:val="0"/>
                <w:sz w:val="20"/>
                <w:szCs w:val="20"/>
              </w:rPr>
            </w:pPr>
            <w:r>
              <w:rPr>
                <w:color w:val="000000"/>
                <w:kern w:val="0"/>
                <w:sz w:val="20"/>
                <w:szCs w:val="20"/>
              </w:rPr>
              <w:t>Y</w:t>
            </w:r>
            <w:r w:rsidRPr="00E73A24">
              <w:rPr>
                <w:color w:val="000000"/>
                <w:kern w:val="0"/>
                <w:sz w:val="20"/>
                <w:szCs w:val="20"/>
              </w:rPr>
              <w:t>ear</w:t>
            </w:r>
          </w:p>
        </w:tc>
        <w:tc>
          <w:tcPr>
            <w:tcW w:w="2610" w:type="pct"/>
            <w:gridSpan w:val="2"/>
            <w:tcBorders>
              <w:top w:val="single" w:sz="4" w:space="0" w:color="auto"/>
              <w:bottom w:val="nil"/>
            </w:tcBorders>
            <w:shd w:val="clear" w:color="000000" w:fill="auto"/>
            <w:vAlign w:val="center"/>
          </w:tcPr>
          <w:p w:rsidR="00270543" w:rsidRPr="00E73A24" w:rsidRDefault="00270543" w:rsidP="009F577E">
            <w:pPr>
              <w:widowControl/>
              <w:jc w:val="center"/>
              <w:rPr>
                <w:color w:val="000000"/>
                <w:kern w:val="0"/>
                <w:sz w:val="20"/>
                <w:szCs w:val="20"/>
              </w:rPr>
            </w:pPr>
            <w:r w:rsidRPr="00E73A24">
              <w:rPr>
                <w:rFonts w:eastAsiaTheme="minorEastAsia"/>
                <w:kern w:val="0"/>
                <w:sz w:val="20"/>
                <w:szCs w:val="20"/>
              </w:rPr>
              <w:t>Propensity to consume</w:t>
            </w:r>
          </w:p>
        </w:tc>
        <w:tc>
          <w:tcPr>
            <w:tcW w:w="1305" w:type="pct"/>
            <w:vMerge w:val="restart"/>
            <w:tcBorders>
              <w:top w:val="single" w:sz="4" w:space="0" w:color="auto"/>
              <w:bottom w:val="nil"/>
            </w:tcBorders>
            <w:shd w:val="clear" w:color="000000" w:fill="auto"/>
            <w:vAlign w:val="center"/>
          </w:tcPr>
          <w:p w:rsidR="00270543" w:rsidRPr="00E73A24" w:rsidRDefault="00686005" w:rsidP="009F577E">
            <w:pPr>
              <w:widowControl/>
              <w:jc w:val="center"/>
              <w:rPr>
                <w:rFonts w:eastAsiaTheme="minorEastAsia"/>
                <w:kern w:val="0"/>
                <w:sz w:val="20"/>
                <w:szCs w:val="20"/>
              </w:rPr>
            </w:pPr>
            <w:hyperlink r:id="rId7" w:tgtFrame="_blank" w:history="1">
              <w:r w:rsidR="00270543" w:rsidRPr="00E73A24">
                <w:rPr>
                  <w:rFonts w:eastAsiaTheme="minorEastAsia"/>
                  <w:kern w:val="0"/>
                  <w:sz w:val="20"/>
                  <w:szCs w:val="20"/>
                </w:rPr>
                <w:t>GDP per-worker</w:t>
              </w:r>
            </w:hyperlink>
          </w:p>
          <w:p w:rsidR="00270543" w:rsidRPr="00E73A24" w:rsidRDefault="00270543" w:rsidP="009F577E">
            <w:pPr>
              <w:widowControl/>
              <w:jc w:val="center"/>
              <w:rPr>
                <w:color w:val="000000"/>
                <w:kern w:val="0"/>
                <w:sz w:val="20"/>
                <w:szCs w:val="20"/>
              </w:rPr>
            </w:pPr>
            <w:r w:rsidRPr="00E73A24">
              <w:rPr>
                <w:rFonts w:eastAsiaTheme="minorEastAsia"/>
                <w:kern w:val="0"/>
                <w:sz w:val="20"/>
                <w:szCs w:val="20"/>
              </w:rPr>
              <w:t>(10,000CNY)</w:t>
            </w:r>
          </w:p>
        </w:tc>
      </w:tr>
      <w:tr w:rsidR="00270543" w:rsidRPr="00E73A24" w:rsidTr="00270543">
        <w:trPr>
          <w:trHeight w:val="454"/>
        </w:trPr>
        <w:tc>
          <w:tcPr>
            <w:tcW w:w="1085" w:type="pct"/>
            <w:vMerge/>
            <w:tcBorders>
              <w:top w:val="nil"/>
              <w:bottom w:val="single" w:sz="4" w:space="0" w:color="auto"/>
            </w:tcBorders>
            <w:shd w:val="clear" w:color="000000" w:fill="auto"/>
            <w:vAlign w:val="center"/>
          </w:tcPr>
          <w:p w:rsidR="00270543" w:rsidRPr="00E73A24" w:rsidRDefault="00270543" w:rsidP="009F577E">
            <w:pPr>
              <w:widowControl/>
              <w:jc w:val="center"/>
              <w:rPr>
                <w:color w:val="000000"/>
                <w:kern w:val="0"/>
                <w:sz w:val="20"/>
                <w:szCs w:val="20"/>
              </w:rPr>
            </w:pPr>
          </w:p>
        </w:tc>
        <w:tc>
          <w:tcPr>
            <w:tcW w:w="1305" w:type="pct"/>
            <w:tcBorders>
              <w:top w:val="nil"/>
              <w:bottom w:val="single" w:sz="4" w:space="0" w:color="auto"/>
            </w:tcBorders>
            <w:shd w:val="clear" w:color="000000" w:fill="auto"/>
            <w:vAlign w:val="center"/>
          </w:tcPr>
          <w:p w:rsidR="00270543" w:rsidRPr="00E73A24" w:rsidRDefault="00270543" w:rsidP="009F577E">
            <w:pPr>
              <w:widowControl/>
              <w:jc w:val="center"/>
              <w:rPr>
                <w:color w:val="000000"/>
                <w:kern w:val="0"/>
                <w:sz w:val="20"/>
                <w:szCs w:val="20"/>
              </w:rPr>
            </w:pPr>
            <w:r w:rsidRPr="00E73A24">
              <w:rPr>
                <w:color w:val="000000"/>
                <w:kern w:val="0"/>
                <w:sz w:val="20"/>
                <w:szCs w:val="20"/>
              </w:rPr>
              <w:t>Old policy</w:t>
            </w:r>
          </w:p>
        </w:tc>
        <w:tc>
          <w:tcPr>
            <w:tcW w:w="1305" w:type="pct"/>
            <w:tcBorders>
              <w:top w:val="nil"/>
              <w:bottom w:val="single" w:sz="4" w:space="0" w:color="auto"/>
            </w:tcBorders>
            <w:shd w:val="clear" w:color="000000" w:fill="auto"/>
            <w:vAlign w:val="center"/>
          </w:tcPr>
          <w:p w:rsidR="00270543" w:rsidRPr="00E73A24" w:rsidRDefault="00270543" w:rsidP="009F577E">
            <w:pPr>
              <w:widowControl/>
              <w:jc w:val="center"/>
              <w:rPr>
                <w:color w:val="000000"/>
                <w:kern w:val="0"/>
                <w:sz w:val="20"/>
                <w:szCs w:val="20"/>
              </w:rPr>
            </w:pPr>
            <w:r w:rsidRPr="00E73A24">
              <w:rPr>
                <w:color w:val="000000"/>
                <w:kern w:val="0"/>
                <w:sz w:val="20"/>
                <w:szCs w:val="20"/>
              </w:rPr>
              <w:t>New policy</w:t>
            </w:r>
          </w:p>
        </w:tc>
        <w:tc>
          <w:tcPr>
            <w:tcW w:w="1305" w:type="pct"/>
            <w:vMerge/>
            <w:tcBorders>
              <w:top w:val="nil"/>
              <w:bottom w:val="single" w:sz="4" w:space="0" w:color="auto"/>
            </w:tcBorders>
            <w:shd w:val="clear" w:color="000000" w:fill="auto"/>
            <w:vAlign w:val="center"/>
          </w:tcPr>
          <w:p w:rsidR="00270543" w:rsidRPr="00E73A24" w:rsidRDefault="00270543" w:rsidP="009F577E">
            <w:pPr>
              <w:widowControl/>
              <w:jc w:val="center"/>
              <w:rPr>
                <w:color w:val="000000"/>
                <w:kern w:val="0"/>
                <w:sz w:val="20"/>
                <w:szCs w:val="20"/>
              </w:rPr>
            </w:pPr>
          </w:p>
        </w:tc>
      </w:tr>
      <w:tr w:rsidR="00270543" w:rsidRPr="00E73A24" w:rsidTr="00270543">
        <w:trPr>
          <w:trHeight w:val="454"/>
        </w:trPr>
        <w:tc>
          <w:tcPr>
            <w:tcW w:w="1085" w:type="pct"/>
            <w:tcBorders>
              <w:top w:val="single" w:sz="4" w:space="0" w:color="auto"/>
            </w:tcBorders>
            <w:shd w:val="clear" w:color="000000" w:fill="auto"/>
            <w:vAlign w:val="center"/>
            <w:hideMark/>
          </w:tcPr>
          <w:p w:rsidR="00270543" w:rsidRPr="00E73A24" w:rsidRDefault="00270543" w:rsidP="009F577E">
            <w:pPr>
              <w:widowControl/>
              <w:jc w:val="center"/>
              <w:rPr>
                <w:color w:val="000000"/>
                <w:kern w:val="0"/>
                <w:sz w:val="20"/>
                <w:szCs w:val="20"/>
              </w:rPr>
            </w:pPr>
            <w:r w:rsidRPr="00E73A24">
              <w:rPr>
                <w:color w:val="000000"/>
                <w:kern w:val="0"/>
                <w:sz w:val="20"/>
                <w:szCs w:val="20"/>
              </w:rPr>
              <w:t>2020</w:t>
            </w:r>
          </w:p>
        </w:tc>
        <w:tc>
          <w:tcPr>
            <w:tcW w:w="1305" w:type="pct"/>
            <w:tcBorders>
              <w:top w:val="single" w:sz="4" w:space="0" w:color="auto"/>
            </w:tcBorders>
            <w:shd w:val="clear" w:color="000000" w:fill="auto"/>
            <w:vAlign w:val="center"/>
          </w:tcPr>
          <w:p w:rsidR="00270543" w:rsidRPr="00E73A24" w:rsidRDefault="00270543" w:rsidP="009F577E">
            <w:pPr>
              <w:widowControl/>
              <w:jc w:val="center"/>
              <w:rPr>
                <w:kern w:val="0"/>
                <w:sz w:val="20"/>
                <w:szCs w:val="20"/>
              </w:rPr>
            </w:pPr>
            <w:r w:rsidRPr="00E73A24">
              <w:rPr>
                <w:sz w:val="20"/>
                <w:szCs w:val="20"/>
              </w:rPr>
              <w:t>38.1%</w:t>
            </w:r>
          </w:p>
        </w:tc>
        <w:tc>
          <w:tcPr>
            <w:tcW w:w="1305" w:type="pct"/>
            <w:tcBorders>
              <w:top w:val="single" w:sz="4" w:space="0" w:color="auto"/>
            </w:tcBorders>
            <w:shd w:val="clear" w:color="000000" w:fill="auto"/>
            <w:vAlign w:val="center"/>
          </w:tcPr>
          <w:p w:rsidR="00270543" w:rsidRPr="00E73A24" w:rsidRDefault="00270543" w:rsidP="009F577E">
            <w:pPr>
              <w:jc w:val="center"/>
              <w:rPr>
                <w:sz w:val="20"/>
                <w:szCs w:val="20"/>
              </w:rPr>
            </w:pPr>
            <w:r w:rsidRPr="00E73A24">
              <w:rPr>
                <w:sz w:val="20"/>
                <w:szCs w:val="20"/>
              </w:rPr>
              <w:t>39.2%</w:t>
            </w:r>
          </w:p>
        </w:tc>
        <w:tc>
          <w:tcPr>
            <w:tcW w:w="1305" w:type="pct"/>
            <w:tcBorders>
              <w:top w:val="single" w:sz="4" w:space="0" w:color="auto"/>
            </w:tcBorders>
            <w:shd w:val="clear" w:color="000000" w:fill="auto"/>
            <w:vAlign w:val="center"/>
          </w:tcPr>
          <w:p w:rsidR="00270543" w:rsidRPr="00E73A24" w:rsidRDefault="00270543" w:rsidP="009F577E">
            <w:pPr>
              <w:widowControl/>
              <w:jc w:val="center"/>
              <w:rPr>
                <w:color w:val="000000"/>
                <w:kern w:val="0"/>
                <w:sz w:val="20"/>
                <w:szCs w:val="20"/>
              </w:rPr>
            </w:pPr>
            <w:r w:rsidRPr="00E73A24">
              <w:rPr>
                <w:sz w:val="20"/>
                <w:szCs w:val="20"/>
              </w:rPr>
              <w:t>9.42</w:t>
            </w:r>
          </w:p>
        </w:tc>
      </w:tr>
      <w:tr w:rsidR="00270543" w:rsidRPr="00E73A24" w:rsidTr="00270543">
        <w:trPr>
          <w:trHeight w:val="454"/>
        </w:trPr>
        <w:tc>
          <w:tcPr>
            <w:tcW w:w="1085" w:type="pct"/>
            <w:shd w:val="clear" w:color="000000" w:fill="auto"/>
            <w:vAlign w:val="center"/>
            <w:hideMark/>
          </w:tcPr>
          <w:p w:rsidR="00270543" w:rsidRPr="00E73A24" w:rsidRDefault="00270543" w:rsidP="009F577E">
            <w:pPr>
              <w:widowControl/>
              <w:jc w:val="center"/>
              <w:rPr>
                <w:color w:val="000000"/>
                <w:kern w:val="0"/>
                <w:sz w:val="20"/>
                <w:szCs w:val="20"/>
              </w:rPr>
            </w:pPr>
            <w:r w:rsidRPr="00E73A24">
              <w:rPr>
                <w:color w:val="000000"/>
                <w:kern w:val="0"/>
                <w:sz w:val="20"/>
                <w:szCs w:val="20"/>
              </w:rPr>
              <w:t>2025</w:t>
            </w:r>
          </w:p>
        </w:tc>
        <w:tc>
          <w:tcPr>
            <w:tcW w:w="1305" w:type="pct"/>
            <w:shd w:val="clear" w:color="000000" w:fill="auto"/>
            <w:vAlign w:val="center"/>
          </w:tcPr>
          <w:p w:rsidR="00270543" w:rsidRPr="00E73A24" w:rsidRDefault="00270543" w:rsidP="009F577E">
            <w:pPr>
              <w:widowControl/>
              <w:jc w:val="center"/>
              <w:rPr>
                <w:kern w:val="0"/>
                <w:sz w:val="20"/>
                <w:szCs w:val="20"/>
              </w:rPr>
            </w:pPr>
            <w:r w:rsidRPr="00E73A24">
              <w:rPr>
                <w:sz w:val="20"/>
                <w:szCs w:val="20"/>
              </w:rPr>
              <w:t>38.3%</w:t>
            </w:r>
          </w:p>
        </w:tc>
        <w:tc>
          <w:tcPr>
            <w:tcW w:w="1305" w:type="pct"/>
            <w:shd w:val="clear" w:color="000000" w:fill="auto"/>
            <w:vAlign w:val="center"/>
          </w:tcPr>
          <w:p w:rsidR="00270543" w:rsidRPr="00E73A24" w:rsidRDefault="00270543" w:rsidP="009F577E">
            <w:pPr>
              <w:jc w:val="center"/>
              <w:rPr>
                <w:sz w:val="20"/>
                <w:szCs w:val="20"/>
              </w:rPr>
            </w:pPr>
            <w:r w:rsidRPr="00E73A24">
              <w:rPr>
                <w:sz w:val="20"/>
                <w:szCs w:val="20"/>
              </w:rPr>
              <w:t>39.8%</w:t>
            </w:r>
          </w:p>
        </w:tc>
        <w:tc>
          <w:tcPr>
            <w:tcW w:w="1305" w:type="pct"/>
            <w:shd w:val="clear" w:color="000000" w:fill="auto"/>
            <w:vAlign w:val="center"/>
          </w:tcPr>
          <w:p w:rsidR="00270543" w:rsidRPr="00E73A24" w:rsidRDefault="00270543" w:rsidP="009F577E">
            <w:pPr>
              <w:widowControl/>
              <w:jc w:val="center"/>
              <w:rPr>
                <w:color w:val="000000"/>
                <w:kern w:val="0"/>
                <w:sz w:val="20"/>
                <w:szCs w:val="20"/>
              </w:rPr>
            </w:pPr>
            <w:r w:rsidRPr="00E73A24">
              <w:rPr>
                <w:sz w:val="20"/>
                <w:szCs w:val="20"/>
              </w:rPr>
              <w:t>12.88</w:t>
            </w:r>
          </w:p>
        </w:tc>
      </w:tr>
      <w:tr w:rsidR="00270543" w:rsidRPr="00E73A24" w:rsidTr="00270543">
        <w:trPr>
          <w:trHeight w:val="454"/>
        </w:trPr>
        <w:tc>
          <w:tcPr>
            <w:tcW w:w="1085" w:type="pct"/>
            <w:shd w:val="clear" w:color="000000" w:fill="auto"/>
            <w:vAlign w:val="center"/>
            <w:hideMark/>
          </w:tcPr>
          <w:p w:rsidR="00270543" w:rsidRPr="00E73A24" w:rsidRDefault="00270543" w:rsidP="009F577E">
            <w:pPr>
              <w:widowControl/>
              <w:jc w:val="center"/>
              <w:rPr>
                <w:color w:val="000000"/>
                <w:kern w:val="0"/>
                <w:sz w:val="20"/>
                <w:szCs w:val="20"/>
              </w:rPr>
            </w:pPr>
            <w:r w:rsidRPr="00E73A24">
              <w:rPr>
                <w:color w:val="000000"/>
                <w:kern w:val="0"/>
                <w:sz w:val="20"/>
                <w:szCs w:val="20"/>
              </w:rPr>
              <w:t>2030</w:t>
            </w:r>
          </w:p>
        </w:tc>
        <w:tc>
          <w:tcPr>
            <w:tcW w:w="1305" w:type="pct"/>
            <w:shd w:val="clear" w:color="000000" w:fill="auto"/>
            <w:vAlign w:val="center"/>
          </w:tcPr>
          <w:p w:rsidR="00270543" w:rsidRPr="00E73A24" w:rsidRDefault="00270543" w:rsidP="009F577E">
            <w:pPr>
              <w:widowControl/>
              <w:jc w:val="center"/>
              <w:rPr>
                <w:kern w:val="0"/>
                <w:sz w:val="20"/>
                <w:szCs w:val="20"/>
              </w:rPr>
            </w:pPr>
            <w:r w:rsidRPr="00E73A24">
              <w:rPr>
                <w:sz w:val="20"/>
                <w:szCs w:val="20"/>
              </w:rPr>
              <w:t>38.5%</w:t>
            </w:r>
          </w:p>
        </w:tc>
        <w:tc>
          <w:tcPr>
            <w:tcW w:w="1305" w:type="pct"/>
            <w:shd w:val="clear" w:color="000000" w:fill="auto"/>
            <w:vAlign w:val="center"/>
          </w:tcPr>
          <w:p w:rsidR="00270543" w:rsidRPr="00E73A24" w:rsidRDefault="00270543" w:rsidP="009F577E">
            <w:pPr>
              <w:jc w:val="center"/>
              <w:rPr>
                <w:sz w:val="20"/>
                <w:szCs w:val="20"/>
              </w:rPr>
            </w:pPr>
            <w:r w:rsidRPr="00E73A24">
              <w:rPr>
                <w:sz w:val="20"/>
                <w:szCs w:val="20"/>
              </w:rPr>
              <w:t>40.4%</w:t>
            </w:r>
          </w:p>
        </w:tc>
        <w:tc>
          <w:tcPr>
            <w:tcW w:w="1305" w:type="pct"/>
            <w:shd w:val="clear" w:color="000000" w:fill="auto"/>
            <w:vAlign w:val="center"/>
          </w:tcPr>
          <w:p w:rsidR="00270543" w:rsidRPr="00E73A24" w:rsidRDefault="00270543" w:rsidP="009F577E">
            <w:pPr>
              <w:widowControl/>
              <w:jc w:val="center"/>
              <w:rPr>
                <w:color w:val="000000"/>
                <w:kern w:val="0"/>
                <w:sz w:val="20"/>
                <w:szCs w:val="20"/>
              </w:rPr>
            </w:pPr>
            <w:r w:rsidRPr="00E73A24">
              <w:rPr>
                <w:sz w:val="20"/>
                <w:szCs w:val="20"/>
              </w:rPr>
              <w:t>17.21</w:t>
            </w:r>
          </w:p>
        </w:tc>
      </w:tr>
      <w:tr w:rsidR="00270543" w:rsidRPr="00E73A24" w:rsidTr="00270543">
        <w:trPr>
          <w:trHeight w:val="454"/>
        </w:trPr>
        <w:tc>
          <w:tcPr>
            <w:tcW w:w="1085" w:type="pct"/>
            <w:shd w:val="clear" w:color="000000" w:fill="auto"/>
            <w:vAlign w:val="center"/>
            <w:hideMark/>
          </w:tcPr>
          <w:p w:rsidR="00270543" w:rsidRPr="00E73A24" w:rsidRDefault="00270543" w:rsidP="009F577E">
            <w:pPr>
              <w:widowControl/>
              <w:jc w:val="center"/>
              <w:rPr>
                <w:color w:val="000000"/>
                <w:kern w:val="0"/>
                <w:sz w:val="20"/>
                <w:szCs w:val="20"/>
              </w:rPr>
            </w:pPr>
            <w:r w:rsidRPr="00E73A24">
              <w:rPr>
                <w:color w:val="000000"/>
                <w:kern w:val="0"/>
                <w:sz w:val="20"/>
                <w:szCs w:val="20"/>
              </w:rPr>
              <w:t>2035</w:t>
            </w:r>
          </w:p>
        </w:tc>
        <w:tc>
          <w:tcPr>
            <w:tcW w:w="1305" w:type="pct"/>
            <w:shd w:val="clear" w:color="000000" w:fill="auto"/>
            <w:vAlign w:val="center"/>
          </w:tcPr>
          <w:p w:rsidR="00270543" w:rsidRPr="00E73A24" w:rsidRDefault="00270543" w:rsidP="009F577E">
            <w:pPr>
              <w:widowControl/>
              <w:jc w:val="center"/>
              <w:rPr>
                <w:kern w:val="0"/>
                <w:sz w:val="20"/>
                <w:szCs w:val="20"/>
              </w:rPr>
            </w:pPr>
            <w:r w:rsidRPr="00E73A24">
              <w:rPr>
                <w:sz w:val="20"/>
                <w:szCs w:val="20"/>
              </w:rPr>
              <w:t>38.8%</w:t>
            </w:r>
          </w:p>
        </w:tc>
        <w:tc>
          <w:tcPr>
            <w:tcW w:w="1305" w:type="pct"/>
            <w:shd w:val="clear" w:color="000000" w:fill="auto"/>
            <w:vAlign w:val="center"/>
          </w:tcPr>
          <w:p w:rsidR="00270543" w:rsidRPr="00E73A24" w:rsidRDefault="00270543" w:rsidP="009F577E">
            <w:pPr>
              <w:jc w:val="center"/>
              <w:rPr>
                <w:sz w:val="20"/>
                <w:szCs w:val="20"/>
              </w:rPr>
            </w:pPr>
            <w:r w:rsidRPr="00E73A24">
              <w:rPr>
                <w:sz w:val="20"/>
                <w:szCs w:val="20"/>
              </w:rPr>
              <w:t>41.0%</w:t>
            </w:r>
          </w:p>
        </w:tc>
        <w:tc>
          <w:tcPr>
            <w:tcW w:w="1305" w:type="pct"/>
            <w:shd w:val="clear" w:color="000000" w:fill="auto"/>
            <w:vAlign w:val="center"/>
          </w:tcPr>
          <w:p w:rsidR="00270543" w:rsidRPr="00E73A24" w:rsidRDefault="00270543" w:rsidP="009F577E">
            <w:pPr>
              <w:widowControl/>
              <w:jc w:val="center"/>
              <w:rPr>
                <w:color w:val="000000"/>
                <w:kern w:val="0"/>
                <w:sz w:val="20"/>
                <w:szCs w:val="20"/>
              </w:rPr>
            </w:pPr>
            <w:r w:rsidRPr="00E73A24">
              <w:rPr>
                <w:sz w:val="20"/>
                <w:szCs w:val="20"/>
              </w:rPr>
              <w:t>22.53</w:t>
            </w:r>
          </w:p>
        </w:tc>
      </w:tr>
      <w:tr w:rsidR="00270543" w:rsidRPr="00E73A24" w:rsidTr="00270543">
        <w:trPr>
          <w:trHeight w:val="454"/>
        </w:trPr>
        <w:tc>
          <w:tcPr>
            <w:tcW w:w="1085" w:type="pct"/>
            <w:shd w:val="clear" w:color="000000" w:fill="auto"/>
            <w:vAlign w:val="center"/>
            <w:hideMark/>
          </w:tcPr>
          <w:p w:rsidR="00270543" w:rsidRPr="00E73A24" w:rsidRDefault="00270543" w:rsidP="009F577E">
            <w:pPr>
              <w:widowControl/>
              <w:jc w:val="center"/>
              <w:rPr>
                <w:color w:val="000000"/>
                <w:kern w:val="0"/>
                <w:sz w:val="20"/>
                <w:szCs w:val="20"/>
              </w:rPr>
            </w:pPr>
            <w:r w:rsidRPr="00E73A24">
              <w:rPr>
                <w:color w:val="000000"/>
                <w:kern w:val="0"/>
                <w:sz w:val="20"/>
                <w:szCs w:val="20"/>
              </w:rPr>
              <w:t>2040</w:t>
            </w:r>
          </w:p>
        </w:tc>
        <w:tc>
          <w:tcPr>
            <w:tcW w:w="1305" w:type="pct"/>
            <w:shd w:val="clear" w:color="000000" w:fill="auto"/>
            <w:vAlign w:val="center"/>
          </w:tcPr>
          <w:p w:rsidR="00270543" w:rsidRPr="00E73A24" w:rsidRDefault="00270543" w:rsidP="009F577E">
            <w:pPr>
              <w:widowControl/>
              <w:jc w:val="center"/>
              <w:rPr>
                <w:kern w:val="0"/>
                <w:sz w:val="20"/>
                <w:szCs w:val="20"/>
              </w:rPr>
            </w:pPr>
            <w:r w:rsidRPr="00E73A24">
              <w:rPr>
                <w:sz w:val="20"/>
                <w:szCs w:val="20"/>
              </w:rPr>
              <w:t>39.0%</w:t>
            </w:r>
          </w:p>
        </w:tc>
        <w:tc>
          <w:tcPr>
            <w:tcW w:w="1305" w:type="pct"/>
            <w:shd w:val="clear" w:color="000000" w:fill="auto"/>
            <w:vAlign w:val="center"/>
          </w:tcPr>
          <w:p w:rsidR="00270543" w:rsidRPr="00E73A24" w:rsidRDefault="00270543" w:rsidP="009F577E">
            <w:pPr>
              <w:jc w:val="center"/>
              <w:rPr>
                <w:sz w:val="20"/>
                <w:szCs w:val="20"/>
              </w:rPr>
            </w:pPr>
            <w:r w:rsidRPr="00E73A24">
              <w:rPr>
                <w:sz w:val="20"/>
                <w:szCs w:val="20"/>
              </w:rPr>
              <w:t>41.7%</w:t>
            </w:r>
          </w:p>
        </w:tc>
        <w:tc>
          <w:tcPr>
            <w:tcW w:w="1305" w:type="pct"/>
            <w:shd w:val="clear" w:color="000000" w:fill="auto"/>
            <w:vAlign w:val="center"/>
          </w:tcPr>
          <w:p w:rsidR="00270543" w:rsidRPr="00E73A24" w:rsidRDefault="00270543" w:rsidP="009F577E">
            <w:pPr>
              <w:widowControl/>
              <w:jc w:val="center"/>
              <w:rPr>
                <w:color w:val="000000"/>
                <w:kern w:val="0"/>
                <w:sz w:val="20"/>
                <w:szCs w:val="20"/>
              </w:rPr>
            </w:pPr>
            <w:r w:rsidRPr="00E73A24">
              <w:rPr>
                <w:sz w:val="20"/>
                <w:szCs w:val="20"/>
              </w:rPr>
              <w:t>28.93</w:t>
            </w:r>
          </w:p>
        </w:tc>
      </w:tr>
      <w:tr w:rsidR="00270543" w:rsidRPr="00E73A24" w:rsidTr="00270543">
        <w:trPr>
          <w:trHeight w:val="454"/>
        </w:trPr>
        <w:tc>
          <w:tcPr>
            <w:tcW w:w="1085" w:type="pct"/>
            <w:shd w:val="clear" w:color="000000" w:fill="auto"/>
            <w:vAlign w:val="center"/>
            <w:hideMark/>
          </w:tcPr>
          <w:p w:rsidR="00270543" w:rsidRPr="00E73A24" w:rsidRDefault="00270543" w:rsidP="009F577E">
            <w:pPr>
              <w:widowControl/>
              <w:jc w:val="center"/>
              <w:rPr>
                <w:color w:val="000000"/>
                <w:kern w:val="0"/>
                <w:sz w:val="20"/>
                <w:szCs w:val="20"/>
              </w:rPr>
            </w:pPr>
            <w:r w:rsidRPr="00E73A24">
              <w:rPr>
                <w:color w:val="000000"/>
                <w:kern w:val="0"/>
                <w:sz w:val="20"/>
                <w:szCs w:val="20"/>
              </w:rPr>
              <w:t>2045</w:t>
            </w:r>
          </w:p>
        </w:tc>
        <w:tc>
          <w:tcPr>
            <w:tcW w:w="1305" w:type="pct"/>
            <w:shd w:val="clear" w:color="000000" w:fill="auto"/>
            <w:vAlign w:val="center"/>
          </w:tcPr>
          <w:p w:rsidR="00270543" w:rsidRPr="00E73A24" w:rsidRDefault="00270543" w:rsidP="009F577E">
            <w:pPr>
              <w:widowControl/>
              <w:jc w:val="center"/>
              <w:rPr>
                <w:kern w:val="0"/>
                <w:sz w:val="20"/>
                <w:szCs w:val="20"/>
              </w:rPr>
            </w:pPr>
            <w:r w:rsidRPr="00E73A24">
              <w:rPr>
                <w:sz w:val="20"/>
                <w:szCs w:val="20"/>
              </w:rPr>
              <w:t>39.3%</w:t>
            </w:r>
          </w:p>
        </w:tc>
        <w:tc>
          <w:tcPr>
            <w:tcW w:w="1305" w:type="pct"/>
            <w:shd w:val="clear" w:color="000000" w:fill="auto"/>
            <w:vAlign w:val="center"/>
          </w:tcPr>
          <w:p w:rsidR="00270543" w:rsidRPr="00E73A24" w:rsidRDefault="00270543" w:rsidP="009F577E">
            <w:pPr>
              <w:jc w:val="center"/>
              <w:rPr>
                <w:sz w:val="20"/>
                <w:szCs w:val="20"/>
              </w:rPr>
            </w:pPr>
            <w:r w:rsidRPr="00E73A24">
              <w:rPr>
                <w:sz w:val="20"/>
                <w:szCs w:val="20"/>
              </w:rPr>
              <w:t>42.3%</w:t>
            </w:r>
          </w:p>
        </w:tc>
        <w:tc>
          <w:tcPr>
            <w:tcW w:w="1305" w:type="pct"/>
            <w:shd w:val="clear" w:color="000000" w:fill="auto"/>
            <w:vAlign w:val="center"/>
          </w:tcPr>
          <w:p w:rsidR="00270543" w:rsidRPr="00E73A24" w:rsidRDefault="00270543" w:rsidP="009F577E">
            <w:pPr>
              <w:widowControl/>
              <w:jc w:val="center"/>
              <w:rPr>
                <w:color w:val="000000"/>
                <w:kern w:val="0"/>
                <w:sz w:val="20"/>
                <w:szCs w:val="20"/>
              </w:rPr>
            </w:pPr>
            <w:r w:rsidRPr="00E73A24">
              <w:rPr>
                <w:sz w:val="20"/>
                <w:szCs w:val="20"/>
              </w:rPr>
              <w:t>36.48</w:t>
            </w:r>
          </w:p>
        </w:tc>
      </w:tr>
      <w:tr w:rsidR="00270543" w:rsidRPr="00E73A24" w:rsidTr="00270543">
        <w:trPr>
          <w:trHeight w:val="454"/>
        </w:trPr>
        <w:tc>
          <w:tcPr>
            <w:tcW w:w="1085" w:type="pct"/>
            <w:shd w:val="clear" w:color="000000" w:fill="auto"/>
            <w:vAlign w:val="center"/>
            <w:hideMark/>
          </w:tcPr>
          <w:p w:rsidR="00270543" w:rsidRPr="00E73A24" w:rsidRDefault="00270543" w:rsidP="009F577E">
            <w:pPr>
              <w:widowControl/>
              <w:jc w:val="center"/>
              <w:rPr>
                <w:color w:val="000000"/>
                <w:kern w:val="0"/>
                <w:sz w:val="20"/>
                <w:szCs w:val="20"/>
              </w:rPr>
            </w:pPr>
            <w:r w:rsidRPr="00E73A24">
              <w:rPr>
                <w:color w:val="000000"/>
                <w:kern w:val="0"/>
                <w:sz w:val="20"/>
                <w:szCs w:val="20"/>
              </w:rPr>
              <w:t>2050</w:t>
            </w:r>
          </w:p>
        </w:tc>
        <w:tc>
          <w:tcPr>
            <w:tcW w:w="1305" w:type="pct"/>
            <w:shd w:val="clear" w:color="000000" w:fill="auto"/>
            <w:vAlign w:val="center"/>
          </w:tcPr>
          <w:p w:rsidR="00270543" w:rsidRPr="00E73A24" w:rsidRDefault="00270543" w:rsidP="009F577E">
            <w:pPr>
              <w:widowControl/>
              <w:jc w:val="center"/>
              <w:rPr>
                <w:kern w:val="0"/>
                <w:sz w:val="20"/>
                <w:szCs w:val="20"/>
              </w:rPr>
            </w:pPr>
            <w:r w:rsidRPr="00E73A24">
              <w:rPr>
                <w:sz w:val="20"/>
                <w:szCs w:val="20"/>
              </w:rPr>
              <w:t>40.5%</w:t>
            </w:r>
          </w:p>
        </w:tc>
        <w:tc>
          <w:tcPr>
            <w:tcW w:w="1305" w:type="pct"/>
            <w:shd w:val="clear" w:color="000000" w:fill="auto"/>
            <w:vAlign w:val="center"/>
          </w:tcPr>
          <w:p w:rsidR="00270543" w:rsidRPr="00E73A24" w:rsidRDefault="00270543" w:rsidP="009F577E">
            <w:pPr>
              <w:jc w:val="center"/>
              <w:rPr>
                <w:sz w:val="20"/>
                <w:szCs w:val="20"/>
              </w:rPr>
            </w:pPr>
            <w:r w:rsidRPr="00E73A24">
              <w:rPr>
                <w:sz w:val="20"/>
                <w:szCs w:val="20"/>
              </w:rPr>
              <w:t>43.0%</w:t>
            </w:r>
          </w:p>
        </w:tc>
        <w:tc>
          <w:tcPr>
            <w:tcW w:w="1305" w:type="pct"/>
            <w:shd w:val="clear" w:color="000000" w:fill="auto"/>
            <w:vAlign w:val="center"/>
          </w:tcPr>
          <w:p w:rsidR="00270543" w:rsidRPr="00E73A24" w:rsidRDefault="00270543" w:rsidP="009F577E">
            <w:pPr>
              <w:widowControl/>
              <w:jc w:val="center"/>
              <w:rPr>
                <w:color w:val="000000"/>
                <w:kern w:val="0"/>
                <w:sz w:val="20"/>
                <w:szCs w:val="20"/>
              </w:rPr>
            </w:pPr>
            <w:r w:rsidRPr="00E73A24">
              <w:rPr>
                <w:sz w:val="20"/>
                <w:szCs w:val="20"/>
              </w:rPr>
              <w:t>45.23</w:t>
            </w:r>
          </w:p>
        </w:tc>
      </w:tr>
    </w:tbl>
    <w:p w:rsidR="00A63B98" w:rsidRPr="00270543" w:rsidRDefault="00A63B98" w:rsidP="00A63B98">
      <w:pPr>
        <w:rPr>
          <w:color w:val="0000FF"/>
          <w:sz w:val="20"/>
          <w:szCs w:val="20"/>
        </w:rPr>
      </w:pPr>
      <w:r w:rsidRPr="00270543">
        <w:rPr>
          <w:rFonts w:hint="eastAsia"/>
          <w:sz w:val="20"/>
          <w:szCs w:val="20"/>
        </w:rPr>
        <w:t>N</w:t>
      </w:r>
      <w:r w:rsidRPr="00270543">
        <w:rPr>
          <w:sz w:val="20"/>
          <w:szCs w:val="20"/>
        </w:rPr>
        <w:t xml:space="preserve">ote: </w:t>
      </w:r>
      <w:hyperlink r:id="rId8" w:tgtFrame="_blank" w:history="1">
        <w:r w:rsidR="00DE2D2E" w:rsidRPr="00270543">
          <w:rPr>
            <w:color w:val="0000FF"/>
            <w:kern w:val="0"/>
            <w:sz w:val="20"/>
            <w:szCs w:val="20"/>
          </w:rPr>
          <w:t>GDP per-worker</w:t>
        </w:r>
      </w:hyperlink>
      <w:r w:rsidR="00DE2D2E" w:rsidRPr="00270543">
        <w:rPr>
          <w:color w:val="0000FF"/>
          <w:kern w:val="0"/>
          <w:sz w:val="20"/>
          <w:szCs w:val="20"/>
        </w:rPr>
        <w:t xml:space="preserve"> which is estimated according to the EIA prediction</w:t>
      </w:r>
      <w:r w:rsidR="00DE2D2E" w:rsidRPr="00270543">
        <w:rPr>
          <w:color w:val="0000FF"/>
          <w:kern w:val="0"/>
          <w:sz w:val="20"/>
          <w:szCs w:val="20"/>
        </w:rPr>
        <w:fldChar w:fldCharType="begin" w:fldLock="1"/>
      </w:r>
      <w:r w:rsidR="00DE2D2E" w:rsidRPr="00270543">
        <w:rPr>
          <w:color w:val="0000FF"/>
          <w:kern w:val="0"/>
          <w:sz w:val="20"/>
          <w:szCs w:val="20"/>
        </w:rPr>
        <w:instrText>ADDIN CSL_CITATION {"citationItems":[{"id":"ITEM-1","itemData":{"author":[{"dropping-particle":"","family":"Energy Information Administration","given":"","non-dropping-particle":"","parse-names":false,"suffix":""}],"id":"ITEM-1","issued":{"date-parts":[["2019"]]},"publisher-place":"Washington, DC","title":"World Energy Projection System Plus","type":"report"},"uris":["http://www.mendeley.com/documents/?uuid=9471b7e9-eb0c-4797-b9a7-72c56e0f9838"]}],"mendeley":{"formattedCitation":"(Energy Information Administration, 2019)","plainTextFormattedCitation":"(Energy Information Administration, 2019)","previouslyFormattedCitation":"(Energy Information Administration, 2019)"},"properties":{"noteIndex":0},"schema":"https://github.com/citation-style-language/schema/raw/master/csl-citation.json"}</w:instrText>
      </w:r>
      <w:r w:rsidR="00DE2D2E" w:rsidRPr="00270543">
        <w:rPr>
          <w:color w:val="0000FF"/>
          <w:kern w:val="0"/>
          <w:sz w:val="20"/>
          <w:szCs w:val="20"/>
        </w:rPr>
        <w:fldChar w:fldCharType="separate"/>
      </w:r>
      <w:r w:rsidR="00DE2D2E" w:rsidRPr="00270543">
        <w:rPr>
          <w:color w:val="0000FF"/>
          <w:kern w:val="0"/>
          <w:sz w:val="20"/>
          <w:szCs w:val="20"/>
        </w:rPr>
        <w:t>(Energy Information Administration, 2019)</w:t>
      </w:r>
      <w:r w:rsidR="00DE2D2E" w:rsidRPr="00270543">
        <w:rPr>
          <w:color w:val="0000FF"/>
          <w:kern w:val="0"/>
          <w:sz w:val="20"/>
          <w:szCs w:val="20"/>
        </w:rPr>
        <w:fldChar w:fldCharType="end"/>
      </w:r>
      <w:r w:rsidR="00DE2D2E" w:rsidRPr="00270543">
        <w:rPr>
          <w:color w:val="0000FF"/>
          <w:kern w:val="0"/>
          <w:sz w:val="20"/>
          <w:szCs w:val="20"/>
        </w:rPr>
        <w:t>.</w:t>
      </w:r>
      <w:r w:rsidR="00DE2D2E" w:rsidRPr="00270543">
        <w:rPr>
          <w:rFonts w:eastAsiaTheme="minorEastAsia"/>
          <w:color w:val="0000FF"/>
          <w:kern w:val="0"/>
          <w:sz w:val="20"/>
          <w:szCs w:val="20"/>
        </w:rPr>
        <w:t xml:space="preserve"> The propensity to consume</w:t>
      </w:r>
      <w:r w:rsidR="00DE2D2E" w:rsidRPr="00270543">
        <w:rPr>
          <w:rFonts w:eastAsiaTheme="minorEastAsia"/>
          <w:color w:val="0000FF"/>
          <w:kern w:val="0"/>
          <w:sz w:val="20"/>
          <w:szCs w:val="20"/>
          <w:lang w:val="nl-NL"/>
        </w:rPr>
        <w:t xml:space="preserve"> is estimated according to the experience of </w:t>
      </w:r>
      <w:r w:rsidR="00DE2D2E" w:rsidRPr="00270543">
        <w:rPr>
          <w:color w:val="0000FF"/>
          <w:sz w:val="20"/>
          <w:szCs w:val="20"/>
        </w:rPr>
        <w:t>European Union Nations</w:t>
      </w:r>
      <w:r w:rsidR="00DE2D2E" w:rsidRPr="00270543">
        <w:rPr>
          <w:color w:val="0000FF"/>
          <w:sz w:val="20"/>
          <w:szCs w:val="20"/>
        </w:rPr>
        <w:fldChar w:fldCharType="begin" w:fldLock="1"/>
      </w:r>
      <w:r w:rsidR="00DE2D2E" w:rsidRPr="00270543">
        <w:rPr>
          <w:color w:val="0000FF"/>
          <w:sz w:val="20"/>
          <w:szCs w:val="20"/>
        </w:rPr>
        <w:instrText>ADDIN CSL_CITATION {"citationItems":[{"id":"ITEM-1","itemData":{"DOI":"10.1016/j.ssresearch.2006.06.007","ISSN":"0049089X","abstract":"We analyze data for fourteen foundational European Union Nations covering the period 1960-2000 to estimate the effects of demographic and economic factors on energy consumption. We find that population size and age structure have clear effects on energy consumption. Economic development and urbanization also contribute substantially to changes in energy consumption. We use the resultant model to project energy consumption for the year 2025 based on demographic and economic projections to assess the implications of various demographic scenarios. The projections suggest that the expected decline of population growth in Europe will help curtail expansion in energy consumption. © 2006 Elsevier Inc. All rights reserved.","author":[{"dropping-particle":"","family":"York","given":"Richard","non-dropping-particle":"","parse-names":false,"suffix":""}],"container-title":"Social Science Research","id":"ITEM-1","issue":"3","issued":{"date-parts":[["2007","9"]]},"page":"855-872","title":"Demographic trends and energy consumption in European Union Nations, 1960–2025","type":"article-journal","volume":"36"},"uris":["http://www.mendeley.com/documents/?uuid=d940c972-bf69-4731-9be7-aa6d887c0da4","http://www.mendeley.com/documents/?uuid=f2b0ee79-761b-4b7a-a8e3-e07aa8523969"]}],"mendeley":{"formattedCitation":"(York, 2007)","plainTextFormattedCitation":"(York, 2007)","previouslyFormattedCitation":"(York, 2007)"},"properties":{"noteIndex":0},"schema":"https://github.com/citation-style-language/schema/raw/master/csl-citation.json"}</w:instrText>
      </w:r>
      <w:r w:rsidR="00DE2D2E" w:rsidRPr="00270543">
        <w:rPr>
          <w:color w:val="0000FF"/>
          <w:sz w:val="20"/>
          <w:szCs w:val="20"/>
        </w:rPr>
        <w:fldChar w:fldCharType="separate"/>
      </w:r>
      <w:r w:rsidR="00DE2D2E" w:rsidRPr="00270543">
        <w:rPr>
          <w:noProof/>
          <w:color w:val="0000FF"/>
          <w:sz w:val="20"/>
          <w:szCs w:val="20"/>
        </w:rPr>
        <w:t>(York, 2007)</w:t>
      </w:r>
      <w:r w:rsidR="00DE2D2E" w:rsidRPr="00270543">
        <w:rPr>
          <w:color w:val="0000FF"/>
          <w:sz w:val="20"/>
          <w:szCs w:val="20"/>
        </w:rPr>
        <w:fldChar w:fldCharType="end"/>
      </w:r>
      <w:r w:rsidR="008C067F" w:rsidRPr="00270543">
        <w:rPr>
          <w:color w:val="0000FF"/>
          <w:sz w:val="20"/>
          <w:szCs w:val="20"/>
        </w:rPr>
        <w:t>.</w:t>
      </w:r>
    </w:p>
    <w:p w:rsidR="00A63B98" w:rsidRPr="00A63B98" w:rsidRDefault="00A63B98" w:rsidP="00B0275B">
      <w:pPr>
        <w:pStyle w:val="ad"/>
        <w:spacing w:line="400" w:lineRule="atLeast"/>
        <w:ind w:firstLineChars="0" w:firstLine="0"/>
        <w:jc w:val="center"/>
        <w:rPr>
          <w:rFonts w:eastAsiaTheme="minorEastAsia"/>
          <w:b/>
          <w:color w:val="000000" w:themeColor="text1"/>
          <w:sz w:val="29"/>
        </w:rPr>
      </w:pPr>
    </w:p>
    <w:p w:rsidR="00382B9E" w:rsidRDefault="00382B9E" w:rsidP="00382B9E">
      <w:pPr>
        <w:rPr>
          <w:rFonts w:eastAsiaTheme="minorEastAsia"/>
          <w:bCs/>
          <w:sz w:val="20"/>
          <w:szCs w:val="20"/>
        </w:rPr>
      </w:pPr>
      <w:r>
        <w:rPr>
          <w:noProof/>
        </w:rPr>
        <w:lastRenderedPageBreak/>
        <w:drawing>
          <wp:inline distT="0" distB="0" distL="0" distR="0" wp14:anchorId="4FAA04F7" wp14:editId="488D6414">
            <wp:extent cx="5274310" cy="2900149"/>
            <wp:effectExtent l="0" t="0" r="254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275B" w:rsidRDefault="00382B9E" w:rsidP="00B0275B">
      <w:pPr>
        <w:rPr>
          <w:rFonts w:eastAsiaTheme="minorEastAsia"/>
          <w:b/>
          <w:bCs/>
          <w:kern w:val="0"/>
          <w:sz w:val="24"/>
        </w:rPr>
      </w:pPr>
      <w:r>
        <w:rPr>
          <w:noProof/>
        </w:rPr>
        <w:drawing>
          <wp:inline distT="0" distB="0" distL="0" distR="0" wp14:anchorId="73451FC4" wp14:editId="3DE08D80">
            <wp:extent cx="5274310" cy="3200400"/>
            <wp:effectExtent l="0" t="0" r="254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275B" w:rsidRPr="00172238" w:rsidRDefault="00B0275B" w:rsidP="00B0275B">
      <w:pPr>
        <w:rPr>
          <w:rFonts w:eastAsiaTheme="minorEastAsia"/>
          <w:bCs/>
          <w:sz w:val="20"/>
          <w:szCs w:val="20"/>
        </w:rPr>
      </w:pPr>
      <w:r w:rsidRPr="00F21E58">
        <w:rPr>
          <w:rFonts w:eastAsiaTheme="minorEastAsia"/>
          <w:b/>
          <w:bCs/>
          <w:kern w:val="0"/>
          <w:sz w:val="20"/>
          <w:szCs w:val="20"/>
        </w:rPr>
        <w:t>S</w:t>
      </w:r>
      <w:r w:rsidRPr="002F61FB">
        <w:rPr>
          <w:rFonts w:eastAsiaTheme="minorEastAsia"/>
          <w:b/>
          <w:bCs/>
          <w:kern w:val="0"/>
          <w:sz w:val="20"/>
          <w:szCs w:val="20"/>
        </w:rPr>
        <w:t>upplementary Fig</w:t>
      </w:r>
      <w:r>
        <w:rPr>
          <w:rFonts w:eastAsiaTheme="minorEastAsia"/>
          <w:b/>
          <w:bCs/>
          <w:kern w:val="0"/>
          <w:sz w:val="20"/>
          <w:szCs w:val="20"/>
        </w:rPr>
        <w:t xml:space="preserve">ure </w:t>
      </w:r>
      <w:r w:rsidRPr="002F61FB">
        <w:rPr>
          <w:rFonts w:eastAsiaTheme="minorEastAsia"/>
          <w:b/>
          <w:bCs/>
          <w:kern w:val="0"/>
          <w:sz w:val="20"/>
          <w:szCs w:val="20"/>
        </w:rPr>
        <w:t>1</w:t>
      </w:r>
      <w:r>
        <w:rPr>
          <w:rFonts w:eastAsiaTheme="minorEastAsia"/>
          <w:b/>
          <w:bCs/>
          <w:kern w:val="0"/>
          <w:sz w:val="20"/>
          <w:szCs w:val="20"/>
        </w:rPr>
        <w:t xml:space="preserve"> |</w:t>
      </w:r>
      <w:r>
        <w:rPr>
          <w:rFonts w:eastAsiaTheme="minorEastAsia" w:hint="eastAsia"/>
          <w:b/>
          <w:bCs/>
          <w:kern w:val="0"/>
          <w:sz w:val="20"/>
          <w:szCs w:val="20"/>
        </w:rPr>
        <w:t xml:space="preserve"> </w:t>
      </w:r>
      <w:proofErr w:type="gramStart"/>
      <w:r w:rsidRPr="001C5641">
        <w:rPr>
          <w:rFonts w:eastAsiaTheme="minorEastAsia" w:hint="eastAsia"/>
          <w:bCs/>
          <w:kern w:val="0"/>
          <w:sz w:val="20"/>
          <w:szCs w:val="20"/>
        </w:rPr>
        <w:t>The</w:t>
      </w:r>
      <w:proofErr w:type="gramEnd"/>
      <w:r w:rsidRPr="001C5641">
        <w:rPr>
          <w:rFonts w:eastAsiaTheme="minorEastAsia" w:hint="eastAsia"/>
          <w:bCs/>
          <w:kern w:val="0"/>
          <w:sz w:val="20"/>
          <w:szCs w:val="20"/>
        </w:rPr>
        <w:t xml:space="preserve"> trend of e</w:t>
      </w:r>
      <w:r w:rsidRPr="001C5641">
        <w:rPr>
          <w:rFonts w:eastAsiaTheme="minorEastAsia"/>
          <w:bCs/>
          <w:kern w:val="0"/>
          <w:sz w:val="20"/>
          <w:szCs w:val="20"/>
        </w:rPr>
        <w:t>nergy consumption</w:t>
      </w:r>
      <w:r w:rsidRPr="001C5641">
        <w:rPr>
          <w:rFonts w:eastAsiaTheme="minorEastAsia" w:hint="eastAsia"/>
          <w:bCs/>
          <w:kern w:val="0"/>
          <w:sz w:val="20"/>
          <w:szCs w:val="20"/>
        </w:rPr>
        <w:t xml:space="preserve"> for</w:t>
      </w:r>
      <w:r w:rsidRPr="001C5641">
        <w:rPr>
          <w:rFonts w:eastAsiaTheme="minorEastAsia"/>
          <w:bCs/>
          <w:kern w:val="0"/>
          <w:sz w:val="20"/>
          <w:szCs w:val="20"/>
        </w:rPr>
        <w:t xml:space="preserve"> standardized household. </w:t>
      </w:r>
    </w:p>
    <w:p w:rsidR="00382B9E" w:rsidRPr="00B0275B" w:rsidRDefault="00382B9E" w:rsidP="00382B9E">
      <w:pPr>
        <w:rPr>
          <w:rFonts w:eastAsiaTheme="minorEastAsia"/>
          <w:b/>
          <w:bCs/>
          <w:kern w:val="0"/>
          <w:sz w:val="24"/>
        </w:rPr>
      </w:pPr>
    </w:p>
    <w:p w:rsidR="00B0275B" w:rsidRDefault="00B0275B">
      <w:pPr>
        <w:widowControl/>
        <w:jc w:val="left"/>
        <w:rPr>
          <w:rFonts w:eastAsiaTheme="minorEastAsia"/>
        </w:rPr>
      </w:pPr>
    </w:p>
    <w:p w:rsidR="00EB2956" w:rsidRDefault="00EB2956">
      <w:pPr>
        <w:widowControl/>
        <w:jc w:val="left"/>
        <w:rPr>
          <w:rFonts w:eastAsiaTheme="minorEastAsia"/>
          <w:b/>
          <w:bCs/>
          <w:kern w:val="0"/>
          <w:sz w:val="20"/>
          <w:szCs w:val="20"/>
        </w:rPr>
      </w:pPr>
    </w:p>
    <w:p w:rsidR="002C676C" w:rsidRDefault="002C676C" w:rsidP="002C676C">
      <w:pPr>
        <w:widowControl/>
        <w:ind w:leftChars="-539" w:left="2" w:rightChars="-634" w:right="-1331" w:hangingChars="540" w:hanging="1134"/>
        <w:jc w:val="left"/>
        <w:rPr>
          <w:rFonts w:eastAsiaTheme="minorEastAsia"/>
          <w:b/>
          <w:bCs/>
          <w:kern w:val="0"/>
          <w:sz w:val="24"/>
        </w:rPr>
      </w:pPr>
      <w:r>
        <w:rPr>
          <w:noProof/>
        </w:rPr>
        <w:lastRenderedPageBreak/>
        <w:drawing>
          <wp:inline distT="0" distB="0" distL="0" distR="0" wp14:anchorId="279295D0" wp14:editId="3D8A1684">
            <wp:extent cx="3391468" cy="6168390"/>
            <wp:effectExtent l="0" t="0" r="0" b="3810"/>
            <wp:docPr id="3" name="图表 3" descr="6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14:anchorId="758EAA81" wp14:editId="7D300DEC">
            <wp:extent cx="3295935" cy="6171565"/>
            <wp:effectExtent l="0" t="0" r="0" b="635"/>
            <wp:docPr id="4" name="图表 4" descr="6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676C" w:rsidRDefault="00B0275B" w:rsidP="002C676C">
      <w:pPr>
        <w:widowControl/>
        <w:jc w:val="left"/>
        <w:rPr>
          <w:rFonts w:eastAsiaTheme="minorEastAsia"/>
          <w:b/>
          <w:bCs/>
          <w:kern w:val="0"/>
          <w:sz w:val="24"/>
        </w:rPr>
      </w:pPr>
      <w:r w:rsidRPr="00F21E58">
        <w:rPr>
          <w:rFonts w:eastAsiaTheme="minorEastAsia"/>
          <w:b/>
          <w:bCs/>
          <w:kern w:val="0"/>
          <w:sz w:val="20"/>
          <w:szCs w:val="20"/>
        </w:rPr>
        <w:t>S</w:t>
      </w:r>
      <w:r w:rsidRPr="002F61FB">
        <w:rPr>
          <w:rFonts w:eastAsiaTheme="minorEastAsia"/>
          <w:b/>
          <w:bCs/>
          <w:kern w:val="0"/>
          <w:sz w:val="20"/>
          <w:szCs w:val="20"/>
        </w:rPr>
        <w:t>upplementary Fig</w:t>
      </w:r>
      <w:r>
        <w:rPr>
          <w:rFonts w:eastAsiaTheme="minorEastAsia"/>
          <w:b/>
          <w:bCs/>
          <w:kern w:val="0"/>
          <w:sz w:val="20"/>
          <w:szCs w:val="20"/>
        </w:rPr>
        <w:t xml:space="preserve">ure </w:t>
      </w:r>
      <w:r w:rsidR="00631F7B">
        <w:rPr>
          <w:rFonts w:eastAsiaTheme="minorEastAsia"/>
          <w:b/>
          <w:bCs/>
          <w:kern w:val="0"/>
          <w:sz w:val="20"/>
          <w:szCs w:val="20"/>
        </w:rPr>
        <w:t>2</w:t>
      </w:r>
      <w:r>
        <w:rPr>
          <w:rFonts w:eastAsiaTheme="minorEastAsia"/>
          <w:b/>
          <w:bCs/>
          <w:kern w:val="0"/>
          <w:sz w:val="20"/>
          <w:szCs w:val="20"/>
        </w:rPr>
        <w:t xml:space="preserve"> |</w:t>
      </w:r>
      <w:r w:rsidRPr="00C548B2">
        <w:rPr>
          <w:rFonts w:eastAsiaTheme="minorEastAsia" w:hint="eastAsia"/>
          <w:bCs/>
          <w:kern w:val="0"/>
          <w:sz w:val="20"/>
          <w:szCs w:val="20"/>
        </w:rPr>
        <w:t xml:space="preserve"> </w:t>
      </w:r>
      <w:r w:rsidR="00C548B2" w:rsidRPr="00C548B2">
        <w:rPr>
          <w:rFonts w:eastAsiaTheme="minorEastAsia"/>
          <w:bCs/>
          <w:kern w:val="0"/>
          <w:sz w:val="20"/>
          <w:szCs w:val="20"/>
        </w:rPr>
        <w:t xml:space="preserve">the </w:t>
      </w:r>
      <w:r w:rsidR="00C548B2">
        <w:rPr>
          <w:rFonts w:eastAsiaTheme="minorEastAsia"/>
          <w:bCs/>
          <w:kern w:val="0"/>
          <w:sz w:val="20"/>
          <w:szCs w:val="20"/>
        </w:rPr>
        <w:t xml:space="preserve">trend of </w:t>
      </w:r>
      <w:r w:rsidR="00C548B2" w:rsidRPr="00C548B2">
        <w:rPr>
          <w:rFonts w:eastAsiaTheme="minorEastAsia"/>
          <w:bCs/>
          <w:i/>
          <w:kern w:val="0"/>
          <w:sz w:val="20"/>
          <w:szCs w:val="20"/>
        </w:rPr>
        <w:t>PCI</w:t>
      </w:r>
      <w:r w:rsidR="00C548B2" w:rsidRPr="00C548B2">
        <w:rPr>
          <w:rFonts w:eastAsiaTheme="minorEastAsia"/>
          <w:bCs/>
          <w:kern w:val="0"/>
          <w:sz w:val="20"/>
          <w:szCs w:val="20"/>
        </w:rPr>
        <w:t xml:space="preserve"> </w:t>
      </w:r>
      <w:r w:rsidR="00C548B2">
        <w:rPr>
          <w:rFonts w:eastAsiaTheme="minorEastAsia"/>
          <w:bCs/>
          <w:kern w:val="0"/>
          <w:sz w:val="20"/>
          <w:szCs w:val="20"/>
        </w:rPr>
        <w:t>for different goods and services</w:t>
      </w:r>
    </w:p>
    <w:p w:rsidR="00B0275B" w:rsidRDefault="00B0275B">
      <w:pPr>
        <w:widowControl/>
        <w:jc w:val="left"/>
        <w:rPr>
          <w:rFonts w:eastAsiaTheme="minorEastAsia"/>
          <w:bCs/>
          <w:kern w:val="0"/>
          <w:sz w:val="20"/>
          <w:szCs w:val="20"/>
        </w:rPr>
      </w:pPr>
      <w:r>
        <w:rPr>
          <w:rFonts w:eastAsiaTheme="minorEastAsia"/>
          <w:bCs/>
          <w:kern w:val="0"/>
          <w:sz w:val="20"/>
          <w:szCs w:val="20"/>
        </w:rPr>
        <w:br w:type="page"/>
      </w:r>
    </w:p>
    <w:p w:rsidR="00B0275B" w:rsidRDefault="00413685" w:rsidP="00413685">
      <w:pPr>
        <w:widowControl/>
        <w:ind w:rightChars="-297" w:right="-624"/>
        <w:jc w:val="left"/>
        <w:rPr>
          <w:rFonts w:eastAsiaTheme="minorEastAsia"/>
          <w:b/>
          <w:bCs/>
          <w:kern w:val="0"/>
          <w:sz w:val="24"/>
        </w:rPr>
      </w:pPr>
      <w:r>
        <w:rPr>
          <w:noProof/>
        </w:rPr>
        <w:lastRenderedPageBreak/>
        <w:drawing>
          <wp:inline distT="0" distB="0" distL="0" distR="0" wp14:anchorId="79FDA5EE" wp14:editId="12D383C4">
            <wp:extent cx="4927600" cy="7778750"/>
            <wp:effectExtent l="0" t="0" r="6350" b="0"/>
            <wp:docPr id="5" name="图表 5" descr="10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2375C" w:rsidRDefault="00B0275B" w:rsidP="00413685">
      <w:pPr>
        <w:widowControl/>
        <w:ind w:rightChars="-297" w:right="-624"/>
        <w:jc w:val="left"/>
        <w:rPr>
          <w:rFonts w:eastAsiaTheme="minorEastAsia"/>
          <w:bCs/>
          <w:kern w:val="0"/>
          <w:sz w:val="20"/>
          <w:szCs w:val="20"/>
        </w:rPr>
      </w:pPr>
      <w:r w:rsidRPr="00F21E58">
        <w:rPr>
          <w:rFonts w:eastAsiaTheme="minorEastAsia"/>
          <w:b/>
          <w:bCs/>
          <w:kern w:val="0"/>
          <w:sz w:val="20"/>
          <w:szCs w:val="20"/>
        </w:rPr>
        <w:t>S</w:t>
      </w:r>
      <w:r w:rsidRPr="002F61FB">
        <w:rPr>
          <w:rFonts w:eastAsiaTheme="minorEastAsia"/>
          <w:b/>
          <w:bCs/>
          <w:kern w:val="0"/>
          <w:sz w:val="20"/>
          <w:szCs w:val="20"/>
        </w:rPr>
        <w:t>upplementary Fig</w:t>
      </w:r>
      <w:r>
        <w:rPr>
          <w:rFonts w:eastAsiaTheme="minorEastAsia"/>
          <w:b/>
          <w:bCs/>
          <w:kern w:val="0"/>
          <w:sz w:val="20"/>
          <w:szCs w:val="20"/>
        </w:rPr>
        <w:t xml:space="preserve">ure </w:t>
      </w:r>
      <w:r w:rsidR="00220504">
        <w:rPr>
          <w:rFonts w:eastAsiaTheme="minorEastAsia"/>
          <w:b/>
          <w:bCs/>
          <w:kern w:val="0"/>
          <w:sz w:val="20"/>
          <w:szCs w:val="20"/>
        </w:rPr>
        <w:t>3</w:t>
      </w:r>
      <w:r>
        <w:rPr>
          <w:rFonts w:eastAsiaTheme="minorEastAsia"/>
          <w:b/>
          <w:bCs/>
          <w:kern w:val="0"/>
          <w:sz w:val="20"/>
          <w:szCs w:val="20"/>
        </w:rPr>
        <w:t xml:space="preserve"> |</w:t>
      </w:r>
      <w:r w:rsidRPr="001C5641">
        <w:rPr>
          <w:rFonts w:eastAsiaTheme="minorEastAsia" w:hint="eastAsia"/>
          <w:bCs/>
          <w:kern w:val="0"/>
          <w:sz w:val="20"/>
          <w:szCs w:val="20"/>
        </w:rPr>
        <w:t xml:space="preserve"> </w:t>
      </w:r>
      <w:r w:rsidRPr="001C5641">
        <w:rPr>
          <w:rFonts w:eastAsiaTheme="minorEastAsia"/>
          <w:bCs/>
          <w:kern w:val="0"/>
          <w:sz w:val="20"/>
          <w:szCs w:val="20"/>
        </w:rPr>
        <w:t xml:space="preserve">Household consumption expenditure in 2050 (Unit: 1 million CNY). </w:t>
      </w:r>
    </w:p>
    <w:p w:rsidR="00413685" w:rsidRDefault="00C2375C" w:rsidP="00413685">
      <w:pPr>
        <w:widowControl/>
        <w:ind w:rightChars="-297" w:right="-624"/>
        <w:jc w:val="left"/>
        <w:rPr>
          <w:rFonts w:eastAsiaTheme="minorEastAsia"/>
          <w:b/>
          <w:bCs/>
          <w:kern w:val="0"/>
          <w:sz w:val="24"/>
        </w:rPr>
      </w:pPr>
      <w:r>
        <w:rPr>
          <w:rFonts w:eastAsiaTheme="minorEastAsia"/>
          <w:bCs/>
          <w:kern w:val="0"/>
          <w:sz w:val="20"/>
          <w:szCs w:val="20"/>
        </w:rPr>
        <w:t>Note: w</w:t>
      </w:r>
      <w:r w:rsidR="00B0275B">
        <w:rPr>
          <w:rFonts w:eastAsiaTheme="minorEastAsia"/>
          <w:bCs/>
          <w:kern w:val="0"/>
          <w:sz w:val="20"/>
          <w:szCs w:val="20"/>
        </w:rPr>
        <w:t>e estimate</w:t>
      </w:r>
      <w:r>
        <w:rPr>
          <w:rFonts w:eastAsiaTheme="minorEastAsia"/>
          <w:bCs/>
          <w:kern w:val="0"/>
          <w:sz w:val="20"/>
          <w:szCs w:val="20"/>
        </w:rPr>
        <w:t>d</w:t>
      </w:r>
      <w:r w:rsidR="00B0275B">
        <w:rPr>
          <w:rFonts w:eastAsiaTheme="minorEastAsia"/>
          <w:bCs/>
          <w:kern w:val="0"/>
          <w:sz w:val="20"/>
          <w:szCs w:val="20"/>
        </w:rPr>
        <w:t xml:space="preserve"> the impact of two-child policy on the final consumption expenditure and </w:t>
      </w:r>
      <w:r w:rsidR="00B0275B" w:rsidRPr="007D5DD0">
        <w:rPr>
          <w:rFonts w:eastAsiaTheme="minorEastAsia"/>
          <w:bCs/>
          <w:kern w:val="0"/>
          <w:sz w:val="20"/>
          <w:szCs w:val="20"/>
        </w:rPr>
        <w:t>intermediate </w:t>
      </w:r>
      <w:r w:rsidR="00B0275B">
        <w:rPr>
          <w:rFonts w:eastAsiaTheme="minorEastAsia"/>
          <w:bCs/>
          <w:kern w:val="0"/>
          <w:sz w:val="20"/>
          <w:szCs w:val="20"/>
        </w:rPr>
        <w:t xml:space="preserve">input for 149 industries </w:t>
      </w:r>
      <w:r w:rsidR="00B0275B">
        <w:rPr>
          <w:rFonts w:eastAsiaTheme="minorEastAsia" w:hint="eastAsia"/>
          <w:bCs/>
          <w:kern w:val="0"/>
          <w:sz w:val="20"/>
          <w:szCs w:val="20"/>
        </w:rPr>
        <w:t>e</w:t>
      </w:r>
      <w:r w:rsidR="00B0275B" w:rsidRPr="007D5DD0">
        <w:rPr>
          <w:rFonts w:eastAsiaTheme="minorEastAsia"/>
          <w:bCs/>
          <w:kern w:val="0"/>
          <w:sz w:val="20"/>
          <w:szCs w:val="20"/>
        </w:rPr>
        <w:t xml:space="preserve">very 5 years </w:t>
      </w:r>
      <w:r w:rsidR="00B0275B">
        <w:rPr>
          <w:rFonts w:eastAsiaTheme="minorEastAsia"/>
          <w:bCs/>
          <w:kern w:val="0"/>
          <w:sz w:val="20"/>
          <w:szCs w:val="20"/>
        </w:rPr>
        <w:t>in</w:t>
      </w:r>
      <w:r w:rsidR="00B0275B" w:rsidRPr="007D5DD0">
        <w:rPr>
          <w:rFonts w:eastAsiaTheme="minorEastAsia"/>
          <w:bCs/>
          <w:kern w:val="0"/>
          <w:sz w:val="20"/>
          <w:szCs w:val="20"/>
        </w:rPr>
        <w:t xml:space="preserve"> 2020</w:t>
      </w:r>
      <w:r w:rsidR="00B0275B">
        <w:rPr>
          <w:rFonts w:eastAsiaTheme="minorEastAsia"/>
          <w:bCs/>
          <w:kern w:val="0"/>
          <w:sz w:val="20"/>
          <w:szCs w:val="20"/>
        </w:rPr>
        <w:t>-</w:t>
      </w:r>
      <w:r w:rsidR="00B0275B" w:rsidRPr="007D5DD0">
        <w:rPr>
          <w:rFonts w:eastAsiaTheme="minorEastAsia"/>
          <w:bCs/>
          <w:kern w:val="0"/>
          <w:sz w:val="20"/>
          <w:szCs w:val="20"/>
        </w:rPr>
        <w:t xml:space="preserve">2050. </w:t>
      </w:r>
      <w:r w:rsidR="00B0275B">
        <w:rPr>
          <w:rFonts w:eastAsiaTheme="minorEastAsia"/>
          <w:bCs/>
          <w:kern w:val="0"/>
          <w:sz w:val="20"/>
          <w:szCs w:val="20"/>
        </w:rPr>
        <w:t xml:space="preserve">This figure </w:t>
      </w:r>
      <w:r w:rsidR="00B0275B" w:rsidRPr="00656241">
        <w:rPr>
          <w:rFonts w:eastAsiaTheme="minorEastAsia"/>
          <w:bCs/>
          <w:kern w:val="0"/>
          <w:sz w:val="20"/>
          <w:szCs w:val="20"/>
        </w:rPr>
        <w:t xml:space="preserve">shows only the results </w:t>
      </w:r>
      <w:r w:rsidR="00B0275B">
        <w:rPr>
          <w:rFonts w:eastAsiaTheme="minorEastAsia"/>
          <w:bCs/>
          <w:kern w:val="0"/>
          <w:sz w:val="20"/>
          <w:szCs w:val="20"/>
        </w:rPr>
        <w:t>in 2050</w:t>
      </w:r>
      <w:r w:rsidR="00B0275B" w:rsidRPr="00656241">
        <w:rPr>
          <w:rFonts w:eastAsiaTheme="minorEastAsia"/>
          <w:bCs/>
          <w:kern w:val="0"/>
          <w:sz w:val="20"/>
          <w:szCs w:val="20"/>
        </w:rPr>
        <w:t>.</w:t>
      </w:r>
      <w:r w:rsidR="00413685">
        <w:rPr>
          <w:rFonts w:eastAsiaTheme="minorEastAsia"/>
          <w:b/>
          <w:bCs/>
          <w:kern w:val="0"/>
          <w:sz w:val="24"/>
        </w:rPr>
        <w:br w:type="page"/>
      </w:r>
    </w:p>
    <w:p w:rsidR="004F4A7D" w:rsidRDefault="004F4A7D" w:rsidP="00220504">
      <w:pPr>
        <w:rPr>
          <w:rFonts w:eastAsiaTheme="minorEastAsia"/>
          <w:b/>
          <w:bCs/>
          <w:kern w:val="0"/>
          <w:sz w:val="20"/>
          <w:szCs w:val="20"/>
        </w:rPr>
      </w:pPr>
    </w:p>
    <w:p w:rsidR="004F4A7D" w:rsidRDefault="004F4A7D" w:rsidP="00220504">
      <w:pPr>
        <w:rPr>
          <w:rFonts w:eastAsiaTheme="minorEastAsia"/>
          <w:b/>
          <w:bCs/>
          <w:kern w:val="0"/>
          <w:sz w:val="20"/>
          <w:szCs w:val="20"/>
        </w:rPr>
      </w:pPr>
      <w:r w:rsidRPr="00857DE9">
        <w:rPr>
          <w:noProof/>
          <w:sz w:val="18"/>
          <w:szCs w:val="18"/>
        </w:rPr>
        <w:drawing>
          <wp:inline distT="0" distB="0" distL="0" distR="0" wp14:anchorId="3C47283C" wp14:editId="10DF4916">
            <wp:extent cx="5274310" cy="3230880"/>
            <wp:effectExtent l="0" t="0" r="2540"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0504" w:rsidRDefault="00220504" w:rsidP="00220504">
      <w:pPr>
        <w:rPr>
          <w:rFonts w:eastAsiaTheme="minorEastAsia"/>
          <w:bCs/>
          <w:kern w:val="0"/>
          <w:sz w:val="20"/>
          <w:szCs w:val="20"/>
        </w:rPr>
      </w:pPr>
      <w:r w:rsidRPr="00F21E58">
        <w:rPr>
          <w:rFonts w:eastAsiaTheme="minorEastAsia"/>
          <w:b/>
          <w:bCs/>
          <w:kern w:val="0"/>
          <w:sz w:val="20"/>
          <w:szCs w:val="20"/>
        </w:rPr>
        <w:t>S</w:t>
      </w:r>
      <w:r w:rsidRPr="002F61FB">
        <w:rPr>
          <w:rFonts w:eastAsiaTheme="minorEastAsia"/>
          <w:b/>
          <w:bCs/>
          <w:kern w:val="0"/>
          <w:sz w:val="20"/>
          <w:szCs w:val="20"/>
        </w:rPr>
        <w:t>upplementary Fig</w:t>
      </w:r>
      <w:r>
        <w:rPr>
          <w:rFonts w:eastAsiaTheme="minorEastAsia"/>
          <w:b/>
          <w:bCs/>
          <w:kern w:val="0"/>
          <w:sz w:val="20"/>
          <w:szCs w:val="20"/>
        </w:rPr>
        <w:t>ure 4 |</w:t>
      </w:r>
      <w:r w:rsidRPr="001C5641">
        <w:rPr>
          <w:rFonts w:eastAsiaTheme="minorEastAsia" w:hint="eastAsia"/>
          <w:bCs/>
          <w:kern w:val="0"/>
          <w:sz w:val="20"/>
          <w:szCs w:val="20"/>
        </w:rPr>
        <w:t xml:space="preserve"> </w:t>
      </w:r>
      <w:proofErr w:type="gramStart"/>
      <w:r w:rsidRPr="001C5641">
        <w:rPr>
          <w:rFonts w:eastAsiaTheme="minorEastAsia"/>
          <w:bCs/>
          <w:kern w:val="0"/>
          <w:sz w:val="20"/>
          <w:szCs w:val="20"/>
        </w:rPr>
        <w:t>The</w:t>
      </w:r>
      <w:proofErr w:type="gramEnd"/>
      <w:r w:rsidRPr="001C5641">
        <w:rPr>
          <w:rFonts w:eastAsiaTheme="minorEastAsia"/>
          <w:bCs/>
          <w:kern w:val="0"/>
          <w:sz w:val="20"/>
          <w:szCs w:val="20"/>
        </w:rPr>
        <w:t xml:space="preserve"> </w:t>
      </w:r>
      <w:r w:rsidRPr="001C5641">
        <w:rPr>
          <w:rFonts w:eastAsiaTheme="minorEastAsia" w:hint="eastAsia"/>
          <w:bCs/>
          <w:kern w:val="0"/>
          <w:sz w:val="20"/>
          <w:szCs w:val="20"/>
        </w:rPr>
        <w:t>t</w:t>
      </w:r>
      <w:r w:rsidRPr="001C5641">
        <w:rPr>
          <w:rFonts w:eastAsiaTheme="minorEastAsia"/>
          <w:bCs/>
          <w:kern w:val="0"/>
          <w:sz w:val="20"/>
          <w:szCs w:val="20"/>
        </w:rPr>
        <w:t xml:space="preserve">ravel </w:t>
      </w:r>
      <w:r w:rsidRPr="001C5641">
        <w:rPr>
          <w:rFonts w:eastAsiaTheme="minorEastAsia" w:hint="eastAsia"/>
          <w:bCs/>
          <w:kern w:val="0"/>
          <w:sz w:val="20"/>
          <w:szCs w:val="20"/>
        </w:rPr>
        <w:t>index for</w:t>
      </w:r>
      <w:r w:rsidRPr="001C5641">
        <w:rPr>
          <w:rFonts w:eastAsiaTheme="minorEastAsia"/>
          <w:bCs/>
          <w:kern w:val="0"/>
          <w:sz w:val="20"/>
          <w:szCs w:val="20"/>
        </w:rPr>
        <w:t xml:space="preserve"> different </w:t>
      </w:r>
      <w:r w:rsidRPr="001C5641">
        <w:rPr>
          <w:rFonts w:eastAsiaTheme="minorEastAsia" w:hint="eastAsia"/>
          <w:bCs/>
          <w:kern w:val="0"/>
          <w:sz w:val="20"/>
          <w:szCs w:val="20"/>
        </w:rPr>
        <w:t>lifecycle phase</w:t>
      </w:r>
      <w:r w:rsidRPr="001C5641">
        <w:rPr>
          <w:rFonts w:eastAsiaTheme="minorEastAsia"/>
          <w:bCs/>
          <w:kern w:val="0"/>
          <w:sz w:val="20"/>
          <w:szCs w:val="20"/>
        </w:rPr>
        <w:t xml:space="preserve">. </w:t>
      </w:r>
    </w:p>
    <w:p w:rsidR="00220504" w:rsidRPr="00631F7B" w:rsidRDefault="00220504" w:rsidP="00220504">
      <w:pPr>
        <w:rPr>
          <w:rFonts w:eastAsiaTheme="minorEastAsia"/>
          <w:color w:val="000000" w:themeColor="text1"/>
          <w:kern w:val="0"/>
          <w:sz w:val="20"/>
          <w:szCs w:val="20"/>
        </w:rPr>
      </w:pPr>
      <w:r w:rsidRPr="00631F7B">
        <w:rPr>
          <w:rFonts w:eastAsiaTheme="minorEastAsia"/>
          <w:bCs/>
          <w:kern w:val="0"/>
          <w:sz w:val="20"/>
          <w:szCs w:val="20"/>
        </w:rPr>
        <w:t xml:space="preserve">Note: </w:t>
      </w:r>
      <w:r w:rsidR="00C2375C">
        <w:rPr>
          <w:rFonts w:eastAsiaTheme="minorEastAsia"/>
          <w:bCs/>
          <w:kern w:val="0"/>
          <w:sz w:val="20"/>
          <w:szCs w:val="20"/>
        </w:rPr>
        <w:t>t</w:t>
      </w:r>
      <w:r w:rsidRPr="00631F7B">
        <w:rPr>
          <w:rFonts w:eastAsiaTheme="minorEastAsia"/>
          <w:bCs/>
          <w:kern w:val="0"/>
          <w:sz w:val="20"/>
          <w:szCs w:val="20"/>
        </w:rPr>
        <w:t>he original data is</w:t>
      </w:r>
      <w:r>
        <w:rPr>
          <w:rFonts w:eastAsiaTheme="minorEastAsia"/>
          <w:bCs/>
          <w:kern w:val="0"/>
          <w:sz w:val="20"/>
          <w:szCs w:val="20"/>
        </w:rPr>
        <w:t xml:space="preserve"> derived</w:t>
      </w:r>
      <w:r w:rsidRPr="00631F7B">
        <w:rPr>
          <w:rFonts w:eastAsiaTheme="minorEastAsia"/>
          <w:bCs/>
          <w:kern w:val="0"/>
          <w:sz w:val="20"/>
          <w:szCs w:val="20"/>
        </w:rPr>
        <w:t xml:space="preserve"> from </w:t>
      </w:r>
      <w:bookmarkStart w:id="1" w:name="OLE_LINK207"/>
      <w:r w:rsidRPr="00631F7B">
        <w:rPr>
          <w:rFonts w:eastAsiaTheme="minorEastAsia"/>
          <w:color w:val="000000" w:themeColor="text1"/>
          <w:kern w:val="0"/>
          <w:sz w:val="20"/>
          <w:szCs w:val="20"/>
        </w:rPr>
        <w:t>Chinese Urban Household Survey</w:t>
      </w:r>
      <w:bookmarkEnd w:id="1"/>
      <w:r w:rsidRPr="00631F7B">
        <w:rPr>
          <w:rFonts w:eastAsiaTheme="minorEastAsia"/>
          <w:color w:val="000000" w:themeColor="text1"/>
          <w:kern w:val="0"/>
          <w:sz w:val="20"/>
          <w:szCs w:val="20"/>
        </w:rPr>
        <w:t xml:space="preserve"> (</w:t>
      </w:r>
      <w:bookmarkStart w:id="2" w:name="OLE_LINK205"/>
      <w:bookmarkStart w:id="3" w:name="OLE_LINK206"/>
      <w:r w:rsidRPr="00631F7B">
        <w:rPr>
          <w:rFonts w:eastAsiaTheme="minorEastAsia"/>
          <w:color w:val="000000" w:themeColor="text1"/>
          <w:kern w:val="0"/>
          <w:sz w:val="20"/>
          <w:szCs w:val="20"/>
        </w:rPr>
        <w:t>CUHS</w:t>
      </w:r>
      <w:bookmarkEnd w:id="2"/>
      <w:bookmarkEnd w:id="3"/>
      <w:r w:rsidRPr="00631F7B">
        <w:rPr>
          <w:rFonts w:eastAsiaTheme="minorEastAsia"/>
          <w:color w:val="000000" w:themeColor="text1"/>
          <w:kern w:val="0"/>
          <w:sz w:val="20"/>
          <w:szCs w:val="20"/>
        </w:rPr>
        <w:t>) database</w:t>
      </w:r>
      <w:r>
        <w:rPr>
          <w:rFonts w:eastAsiaTheme="minorEastAsia"/>
          <w:color w:val="000000" w:themeColor="text1"/>
          <w:kern w:val="0"/>
          <w:sz w:val="20"/>
          <w:szCs w:val="20"/>
        </w:rPr>
        <w:t xml:space="preserve"> in 2015</w:t>
      </w:r>
      <w:r w:rsidRPr="00631F7B">
        <w:rPr>
          <w:rFonts w:eastAsiaTheme="minorEastAsia"/>
          <w:color w:val="000000" w:themeColor="text1"/>
          <w:kern w:val="0"/>
          <w:sz w:val="20"/>
          <w:szCs w:val="20"/>
        </w:rPr>
        <w:t>.</w:t>
      </w:r>
    </w:p>
    <w:p w:rsidR="00220504" w:rsidRPr="00631F7B" w:rsidRDefault="00220504" w:rsidP="00220504">
      <w:pPr>
        <w:jc w:val="left"/>
        <w:rPr>
          <w:rFonts w:eastAsiaTheme="minorEastAsia"/>
          <w:bCs/>
          <w:kern w:val="0"/>
          <w:sz w:val="20"/>
          <w:szCs w:val="20"/>
        </w:rPr>
      </w:pPr>
    </w:p>
    <w:p w:rsidR="00220504" w:rsidRDefault="00220504">
      <w:pPr>
        <w:widowControl/>
        <w:jc w:val="left"/>
        <w:rPr>
          <w:rFonts w:eastAsiaTheme="minorEastAsia"/>
          <w:kern w:val="0"/>
          <w:sz w:val="23"/>
          <w:szCs w:val="21"/>
        </w:rPr>
      </w:pPr>
      <w:r>
        <w:rPr>
          <w:rFonts w:eastAsiaTheme="minorEastAsia"/>
          <w:kern w:val="0"/>
          <w:sz w:val="23"/>
          <w:szCs w:val="21"/>
        </w:rPr>
        <w:br w:type="page"/>
      </w:r>
    </w:p>
    <w:p w:rsidR="00413685" w:rsidRPr="00220504" w:rsidRDefault="00413685" w:rsidP="00CD0484">
      <w:pPr>
        <w:rPr>
          <w:rFonts w:eastAsiaTheme="minorEastAsia"/>
          <w:kern w:val="0"/>
          <w:sz w:val="23"/>
          <w:szCs w:val="21"/>
        </w:rPr>
      </w:pPr>
    </w:p>
    <w:p w:rsidR="00F96A75" w:rsidRPr="001C5641" w:rsidRDefault="00F96A75" w:rsidP="00FB175B">
      <w:pPr>
        <w:jc w:val="left"/>
        <w:rPr>
          <w:rFonts w:eastAsiaTheme="minorEastAsia"/>
          <w:bCs/>
          <w:kern w:val="0"/>
          <w:sz w:val="20"/>
          <w:szCs w:val="20"/>
        </w:rPr>
      </w:pPr>
    </w:p>
    <w:p w:rsidR="00710C25" w:rsidRDefault="00710C25" w:rsidP="00FB175B">
      <w:pPr>
        <w:jc w:val="left"/>
        <w:rPr>
          <w:rFonts w:eastAsiaTheme="minorEastAsia"/>
          <w:noProof/>
        </w:rPr>
      </w:pPr>
      <w:r w:rsidRPr="00DC18E4">
        <w:rPr>
          <w:rFonts w:eastAsiaTheme="minorEastAsia"/>
          <w:noProof/>
        </w:rPr>
        <w:drawing>
          <wp:inline distT="0" distB="0" distL="0" distR="0" wp14:anchorId="18D3E126" wp14:editId="137123DB">
            <wp:extent cx="4978400" cy="2438400"/>
            <wp:effectExtent l="0" t="0" r="0" b="0"/>
            <wp:docPr id="98" name="图表 98" descr="13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DC18E4">
        <w:rPr>
          <w:rFonts w:eastAsiaTheme="minorEastAsia"/>
          <w:noProof/>
        </w:rPr>
        <w:t xml:space="preserve"> </w:t>
      </w:r>
    </w:p>
    <w:p w:rsidR="0036443D" w:rsidRDefault="00B0275B">
      <w:pPr>
        <w:widowControl/>
        <w:jc w:val="left"/>
        <w:rPr>
          <w:rFonts w:eastAsiaTheme="minorEastAsia"/>
          <w:b/>
        </w:rPr>
      </w:pPr>
      <w:r w:rsidRPr="00F21E58">
        <w:rPr>
          <w:rFonts w:eastAsiaTheme="minorEastAsia"/>
          <w:b/>
          <w:bCs/>
          <w:kern w:val="0"/>
          <w:sz w:val="20"/>
          <w:szCs w:val="20"/>
        </w:rPr>
        <w:t>S</w:t>
      </w:r>
      <w:r w:rsidRPr="002F61FB">
        <w:rPr>
          <w:rFonts w:eastAsiaTheme="minorEastAsia"/>
          <w:b/>
          <w:bCs/>
          <w:kern w:val="0"/>
          <w:sz w:val="20"/>
          <w:szCs w:val="20"/>
        </w:rPr>
        <w:t>upplementary Fig</w:t>
      </w:r>
      <w:r>
        <w:rPr>
          <w:rFonts w:eastAsiaTheme="minorEastAsia"/>
          <w:b/>
          <w:bCs/>
          <w:kern w:val="0"/>
          <w:sz w:val="20"/>
          <w:szCs w:val="20"/>
        </w:rPr>
        <w:t xml:space="preserve">ure </w:t>
      </w:r>
      <w:r w:rsidR="00220504">
        <w:rPr>
          <w:rFonts w:eastAsiaTheme="minorEastAsia"/>
          <w:b/>
          <w:bCs/>
          <w:kern w:val="0"/>
          <w:sz w:val="20"/>
          <w:szCs w:val="20"/>
        </w:rPr>
        <w:t>5</w:t>
      </w:r>
      <w:r>
        <w:rPr>
          <w:rFonts w:eastAsiaTheme="minorEastAsia"/>
          <w:b/>
          <w:bCs/>
          <w:kern w:val="0"/>
          <w:sz w:val="20"/>
          <w:szCs w:val="20"/>
        </w:rPr>
        <w:t xml:space="preserve"> |</w:t>
      </w:r>
      <w:r>
        <w:rPr>
          <w:rFonts w:eastAsiaTheme="minorEastAsia" w:hint="eastAsia"/>
          <w:b/>
          <w:bCs/>
          <w:kern w:val="0"/>
          <w:sz w:val="20"/>
          <w:szCs w:val="20"/>
        </w:rPr>
        <w:t xml:space="preserve"> </w:t>
      </w:r>
      <w:proofErr w:type="gramStart"/>
      <w:r w:rsidRPr="001C5641">
        <w:rPr>
          <w:rFonts w:eastAsiaTheme="minorEastAsia"/>
          <w:bCs/>
          <w:kern w:val="0"/>
          <w:sz w:val="20"/>
          <w:szCs w:val="20"/>
        </w:rPr>
        <w:t>The</w:t>
      </w:r>
      <w:proofErr w:type="gramEnd"/>
      <w:r w:rsidRPr="001C5641">
        <w:rPr>
          <w:rFonts w:eastAsiaTheme="minorEastAsia"/>
          <w:bCs/>
          <w:kern w:val="0"/>
          <w:sz w:val="20"/>
          <w:szCs w:val="20"/>
        </w:rPr>
        <w:t xml:space="preserve"> </w:t>
      </w:r>
      <w:r w:rsidR="00270543">
        <w:rPr>
          <w:rFonts w:eastAsiaTheme="minorEastAsia"/>
          <w:bCs/>
          <w:kern w:val="0"/>
          <w:sz w:val="20"/>
          <w:szCs w:val="20"/>
        </w:rPr>
        <w:t xml:space="preserve">trend of </w:t>
      </w:r>
      <w:r w:rsidRPr="001C5641">
        <w:rPr>
          <w:rFonts w:eastAsiaTheme="minorEastAsia"/>
          <w:bCs/>
          <w:kern w:val="0"/>
          <w:sz w:val="20"/>
          <w:szCs w:val="20"/>
        </w:rPr>
        <w:t>total energy consumption</w:t>
      </w:r>
    </w:p>
    <w:p w:rsidR="0036443D" w:rsidRPr="001C5641" w:rsidRDefault="0036443D" w:rsidP="0036443D">
      <w:pPr>
        <w:spacing w:line="400" w:lineRule="atLeast"/>
        <w:ind w:leftChars="-2" w:left="-4" w:rightChars="40" w:right="84" w:firstLineChars="200" w:firstLine="420"/>
        <w:jc w:val="left"/>
        <w:rPr>
          <w:rFonts w:eastAsiaTheme="minorEastAsia"/>
        </w:rPr>
      </w:pPr>
    </w:p>
    <w:p w:rsidR="00710C25" w:rsidRPr="00DC18E4" w:rsidRDefault="00710C25" w:rsidP="003F2A62">
      <w:pPr>
        <w:spacing w:line="360" w:lineRule="auto"/>
        <w:ind w:leftChars="-5" w:left="-10" w:rightChars="-230" w:right="-483" w:firstLineChars="4" w:firstLine="8"/>
        <w:jc w:val="center"/>
        <w:rPr>
          <w:rFonts w:eastAsiaTheme="minorEastAsia"/>
          <w:b/>
        </w:rPr>
      </w:pPr>
      <w:r w:rsidRPr="00DC18E4">
        <w:rPr>
          <w:rFonts w:eastAsiaTheme="minorEastAsia"/>
          <w:noProof/>
        </w:rPr>
        <w:lastRenderedPageBreak/>
        <w:drawing>
          <wp:inline distT="0" distB="0" distL="0" distR="0" wp14:anchorId="3C3D291E" wp14:editId="115F307A">
            <wp:extent cx="4572000" cy="5626100"/>
            <wp:effectExtent l="0" t="0" r="0" b="0"/>
            <wp:docPr id="100" name="图表 100" descr="16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41472" w:rsidRDefault="00B0275B" w:rsidP="00A63B98">
      <w:pPr>
        <w:rPr>
          <w:rFonts w:eastAsiaTheme="minorEastAsia"/>
          <w:b/>
          <w:bCs/>
          <w:kern w:val="0"/>
          <w:sz w:val="24"/>
        </w:rPr>
      </w:pPr>
      <w:r w:rsidRPr="00F21E58">
        <w:rPr>
          <w:rFonts w:eastAsiaTheme="minorEastAsia"/>
          <w:b/>
          <w:bCs/>
          <w:kern w:val="0"/>
          <w:sz w:val="20"/>
          <w:szCs w:val="20"/>
        </w:rPr>
        <w:t>S</w:t>
      </w:r>
      <w:r w:rsidRPr="002F61FB">
        <w:rPr>
          <w:rFonts w:eastAsiaTheme="minorEastAsia"/>
          <w:b/>
          <w:bCs/>
          <w:kern w:val="0"/>
          <w:sz w:val="20"/>
          <w:szCs w:val="20"/>
        </w:rPr>
        <w:t>upplementary Fig</w:t>
      </w:r>
      <w:r>
        <w:rPr>
          <w:rFonts w:eastAsiaTheme="minorEastAsia"/>
          <w:b/>
          <w:bCs/>
          <w:kern w:val="0"/>
          <w:sz w:val="20"/>
          <w:szCs w:val="20"/>
        </w:rPr>
        <w:t xml:space="preserve">ure </w:t>
      </w:r>
      <w:r w:rsidR="00220504">
        <w:rPr>
          <w:rFonts w:eastAsiaTheme="minorEastAsia"/>
          <w:b/>
          <w:bCs/>
          <w:kern w:val="0"/>
          <w:sz w:val="20"/>
          <w:szCs w:val="20"/>
        </w:rPr>
        <w:t>6</w:t>
      </w:r>
      <w:r>
        <w:rPr>
          <w:rFonts w:eastAsiaTheme="minorEastAsia"/>
          <w:b/>
          <w:bCs/>
          <w:kern w:val="0"/>
          <w:sz w:val="20"/>
          <w:szCs w:val="20"/>
        </w:rPr>
        <w:t xml:space="preserve"> |</w:t>
      </w:r>
      <w:r>
        <w:rPr>
          <w:rFonts w:eastAsiaTheme="minorEastAsia" w:hint="eastAsia"/>
          <w:b/>
          <w:bCs/>
          <w:kern w:val="0"/>
          <w:sz w:val="20"/>
          <w:szCs w:val="20"/>
        </w:rPr>
        <w:t xml:space="preserve"> </w:t>
      </w:r>
      <w:proofErr w:type="gramStart"/>
      <w:r w:rsidRPr="001C5641">
        <w:rPr>
          <w:rFonts w:eastAsiaTheme="minorEastAsia"/>
          <w:bCs/>
          <w:kern w:val="0"/>
          <w:szCs w:val="20"/>
        </w:rPr>
        <w:t>The</w:t>
      </w:r>
      <w:proofErr w:type="gramEnd"/>
      <w:r w:rsidR="00270543">
        <w:rPr>
          <w:rFonts w:eastAsiaTheme="minorEastAsia"/>
          <w:bCs/>
          <w:kern w:val="0"/>
          <w:sz w:val="20"/>
          <w:szCs w:val="20"/>
        </w:rPr>
        <w:t xml:space="preserve"> change </w:t>
      </w:r>
      <w:r w:rsidRPr="001C5641">
        <w:rPr>
          <w:rFonts w:eastAsiaTheme="minorEastAsia"/>
          <w:bCs/>
          <w:kern w:val="0"/>
          <w:sz w:val="20"/>
          <w:szCs w:val="20"/>
        </w:rPr>
        <w:t xml:space="preserve">of </w:t>
      </w:r>
      <w:r w:rsidRPr="001C5641">
        <w:rPr>
          <w:rFonts w:eastAsiaTheme="minorEastAsia"/>
          <w:bCs/>
          <w:kern w:val="0"/>
          <w:szCs w:val="20"/>
        </w:rPr>
        <w:t xml:space="preserve">energy </w:t>
      </w:r>
      <w:r w:rsidR="00270543">
        <w:rPr>
          <w:rFonts w:eastAsiaTheme="minorEastAsia"/>
          <w:bCs/>
          <w:kern w:val="0"/>
          <w:szCs w:val="20"/>
        </w:rPr>
        <w:t>structure</w:t>
      </w:r>
      <w:r w:rsidRPr="001C5641">
        <w:rPr>
          <w:rFonts w:eastAsiaTheme="minorEastAsia"/>
          <w:bCs/>
          <w:kern w:val="0"/>
          <w:szCs w:val="20"/>
        </w:rPr>
        <w:t xml:space="preserve"> in different policies (Unit: </w:t>
      </w:r>
      <w:proofErr w:type="spellStart"/>
      <w:r w:rsidRPr="001C5641">
        <w:rPr>
          <w:rFonts w:eastAsiaTheme="minorEastAsia"/>
          <w:bCs/>
          <w:kern w:val="0"/>
          <w:szCs w:val="20"/>
        </w:rPr>
        <w:t>Mtce</w:t>
      </w:r>
      <w:proofErr w:type="spellEnd"/>
      <w:r w:rsidRPr="001C5641">
        <w:rPr>
          <w:rFonts w:eastAsiaTheme="minorEastAsia"/>
          <w:bCs/>
          <w:kern w:val="0"/>
          <w:szCs w:val="20"/>
        </w:rPr>
        <w:t>).</w:t>
      </w:r>
    </w:p>
    <w:sectPr w:rsidR="00941472">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005" w:rsidRDefault="00686005" w:rsidP="00391A62">
      <w:r>
        <w:separator/>
      </w:r>
    </w:p>
  </w:endnote>
  <w:endnote w:type="continuationSeparator" w:id="0">
    <w:p w:rsidR="00686005" w:rsidRDefault="00686005" w:rsidP="0039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289002"/>
      <w:docPartObj>
        <w:docPartGallery w:val="Page Numbers (Bottom of Page)"/>
        <w:docPartUnique/>
      </w:docPartObj>
    </w:sdtPr>
    <w:sdtEndPr/>
    <w:sdtContent>
      <w:p w:rsidR="00F308B1" w:rsidRDefault="00F308B1">
        <w:pPr>
          <w:pStyle w:val="a6"/>
          <w:jc w:val="center"/>
        </w:pPr>
        <w:r>
          <w:fldChar w:fldCharType="begin"/>
        </w:r>
        <w:r>
          <w:instrText>PAGE   \* MERGEFORMAT</w:instrText>
        </w:r>
        <w:r>
          <w:fldChar w:fldCharType="separate"/>
        </w:r>
        <w:r w:rsidR="0077673F" w:rsidRPr="0077673F">
          <w:rPr>
            <w:noProof/>
            <w:lang w:val="zh-CN"/>
          </w:rPr>
          <w:t>1</w:t>
        </w:r>
        <w:r>
          <w:fldChar w:fldCharType="end"/>
        </w:r>
      </w:p>
    </w:sdtContent>
  </w:sdt>
  <w:p w:rsidR="00F308B1" w:rsidRDefault="00F308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005" w:rsidRDefault="00686005" w:rsidP="00391A62">
      <w:r>
        <w:separator/>
      </w:r>
    </w:p>
  </w:footnote>
  <w:footnote w:type="continuationSeparator" w:id="0">
    <w:p w:rsidR="00686005" w:rsidRDefault="00686005" w:rsidP="00391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bordersDoNotSurroundHeader/>
  <w:bordersDoNotSurroundFooter/>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22"/>
    <w:rsid w:val="00006D22"/>
    <w:rsid w:val="00017B46"/>
    <w:rsid w:val="0004694F"/>
    <w:rsid w:val="000513FE"/>
    <w:rsid w:val="00065712"/>
    <w:rsid w:val="00073487"/>
    <w:rsid w:val="00074854"/>
    <w:rsid w:val="000A51E8"/>
    <w:rsid w:val="000C0400"/>
    <w:rsid w:val="000C5C00"/>
    <w:rsid w:val="000E11D1"/>
    <w:rsid w:val="000F4847"/>
    <w:rsid w:val="000F61B2"/>
    <w:rsid w:val="00115F2F"/>
    <w:rsid w:val="00117F09"/>
    <w:rsid w:val="00121AFE"/>
    <w:rsid w:val="001304CD"/>
    <w:rsid w:val="00132B8F"/>
    <w:rsid w:val="00172238"/>
    <w:rsid w:val="001A4EAF"/>
    <w:rsid w:val="001A5173"/>
    <w:rsid w:val="001C243D"/>
    <w:rsid w:val="001C5641"/>
    <w:rsid w:val="001E2357"/>
    <w:rsid w:val="001F0F7A"/>
    <w:rsid w:val="00211575"/>
    <w:rsid w:val="00220504"/>
    <w:rsid w:val="00266726"/>
    <w:rsid w:val="00270543"/>
    <w:rsid w:val="002802E4"/>
    <w:rsid w:val="002A1643"/>
    <w:rsid w:val="002B49A9"/>
    <w:rsid w:val="002B5DBF"/>
    <w:rsid w:val="002C676C"/>
    <w:rsid w:val="002D5E69"/>
    <w:rsid w:val="002E0B0F"/>
    <w:rsid w:val="002F61FB"/>
    <w:rsid w:val="00320CBE"/>
    <w:rsid w:val="00326EFD"/>
    <w:rsid w:val="00347522"/>
    <w:rsid w:val="0035205B"/>
    <w:rsid w:val="00355CC0"/>
    <w:rsid w:val="0036443D"/>
    <w:rsid w:val="00365648"/>
    <w:rsid w:val="00382B9E"/>
    <w:rsid w:val="00390DA6"/>
    <w:rsid w:val="00391A62"/>
    <w:rsid w:val="003A631E"/>
    <w:rsid w:val="003B0445"/>
    <w:rsid w:val="003B0BAE"/>
    <w:rsid w:val="003B16F8"/>
    <w:rsid w:val="003B21F6"/>
    <w:rsid w:val="003C40DE"/>
    <w:rsid w:val="003D4713"/>
    <w:rsid w:val="003F168C"/>
    <w:rsid w:val="003F2A62"/>
    <w:rsid w:val="003F6D1B"/>
    <w:rsid w:val="00405594"/>
    <w:rsid w:val="004079C2"/>
    <w:rsid w:val="00412D9D"/>
    <w:rsid w:val="00413685"/>
    <w:rsid w:val="00414887"/>
    <w:rsid w:val="004256FF"/>
    <w:rsid w:val="00435D71"/>
    <w:rsid w:val="00463627"/>
    <w:rsid w:val="00466326"/>
    <w:rsid w:val="0046729F"/>
    <w:rsid w:val="00485461"/>
    <w:rsid w:val="004860F6"/>
    <w:rsid w:val="00493048"/>
    <w:rsid w:val="004A4CB1"/>
    <w:rsid w:val="004B6799"/>
    <w:rsid w:val="004D7E0B"/>
    <w:rsid w:val="004F4A7D"/>
    <w:rsid w:val="00503488"/>
    <w:rsid w:val="00507B8B"/>
    <w:rsid w:val="00515E0B"/>
    <w:rsid w:val="005271A3"/>
    <w:rsid w:val="005301D7"/>
    <w:rsid w:val="00533011"/>
    <w:rsid w:val="00537745"/>
    <w:rsid w:val="00553861"/>
    <w:rsid w:val="005678FB"/>
    <w:rsid w:val="0057014C"/>
    <w:rsid w:val="00590F0E"/>
    <w:rsid w:val="00596F0B"/>
    <w:rsid w:val="005C2D83"/>
    <w:rsid w:val="005E4478"/>
    <w:rsid w:val="005E4BF0"/>
    <w:rsid w:val="005E5381"/>
    <w:rsid w:val="005F040C"/>
    <w:rsid w:val="005F2831"/>
    <w:rsid w:val="00603E47"/>
    <w:rsid w:val="00610ACC"/>
    <w:rsid w:val="0063183A"/>
    <w:rsid w:val="00631F7B"/>
    <w:rsid w:val="00642501"/>
    <w:rsid w:val="00652062"/>
    <w:rsid w:val="00656241"/>
    <w:rsid w:val="00686005"/>
    <w:rsid w:val="006C20D6"/>
    <w:rsid w:val="006D00D4"/>
    <w:rsid w:val="006D6038"/>
    <w:rsid w:val="006D74AD"/>
    <w:rsid w:val="006E2847"/>
    <w:rsid w:val="0070586A"/>
    <w:rsid w:val="00710C25"/>
    <w:rsid w:val="00712625"/>
    <w:rsid w:val="007162C4"/>
    <w:rsid w:val="00717ED7"/>
    <w:rsid w:val="007273C1"/>
    <w:rsid w:val="0073079F"/>
    <w:rsid w:val="00736999"/>
    <w:rsid w:val="00773228"/>
    <w:rsid w:val="0077673F"/>
    <w:rsid w:val="0077726C"/>
    <w:rsid w:val="00791DC2"/>
    <w:rsid w:val="007A7A3E"/>
    <w:rsid w:val="007C0989"/>
    <w:rsid w:val="007D3D45"/>
    <w:rsid w:val="007D5DD0"/>
    <w:rsid w:val="00803038"/>
    <w:rsid w:val="00846626"/>
    <w:rsid w:val="008470D0"/>
    <w:rsid w:val="00847BFC"/>
    <w:rsid w:val="00857DE9"/>
    <w:rsid w:val="008C067F"/>
    <w:rsid w:val="008C620F"/>
    <w:rsid w:val="008E486F"/>
    <w:rsid w:val="008F2D60"/>
    <w:rsid w:val="008F2E9C"/>
    <w:rsid w:val="008F54C9"/>
    <w:rsid w:val="00912C82"/>
    <w:rsid w:val="00930494"/>
    <w:rsid w:val="00930BB3"/>
    <w:rsid w:val="009376D9"/>
    <w:rsid w:val="00941472"/>
    <w:rsid w:val="009534BE"/>
    <w:rsid w:val="009662FE"/>
    <w:rsid w:val="009871B1"/>
    <w:rsid w:val="009B0238"/>
    <w:rsid w:val="009E316F"/>
    <w:rsid w:val="009F09DF"/>
    <w:rsid w:val="00A02601"/>
    <w:rsid w:val="00A304FA"/>
    <w:rsid w:val="00A4356D"/>
    <w:rsid w:val="00A6271D"/>
    <w:rsid w:val="00A63B98"/>
    <w:rsid w:val="00A7701F"/>
    <w:rsid w:val="00A779D9"/>
    <w:rsid w:val="00A934C5"/>
    <w:rsid w:val="00AB043F"/>
    <w:rsid w:val="00AB4F70"/>
    <w:rsid w:val="00AB793F"/>
    <w:rsid w:val="00AF168A"/>
    <w:rsid w:val="00B0275B"/>
    <w:rsid w:val="00B062E9"/>
    <w:rsid w:val="00B06AD0"/>
    <w:rsid w:val="00B072DC"/>
    <w:rsid w:val="00B10841"/>
    <w:rsid w:val="00B2277F"/>
    <w:rsid w:val="00B32337"/>
    <w:rsid w:val="00B3577B"/>
    <w:rsid w:val="00B5490F"/>
    <w:rsid w:val="00B56C35"/>
    <w:rsid w:val="00B6474E"/>
    <w:rsid w:val="00B72070"/>
    <w:rsid w:val="00B75523"/>
    <w:rsid w:val="00B761C0"/>
    <w:rsid w:val="00B77B00"/>
    <w:rsid w:val="00B81433"/>
    <w:rsid w:val="00B83636"/>
    <w:rsid w:val="00B92207"/>
    <w:rsid w:val="00BA48A2"/>
    <w:rsid w:val="00BF41F1"/>
    <w:rsid w:val="00C13AD5"/>
    <w:rsid w:val="00C2375C"/>
    <w:rsid w:val="00C25873"/>
    <w:rsid w:val="00C27D0C"/>
    <w:rsid w:val="00C43342"/>
    <w:rsid w:val="00C548B2"/>
    <w:rsid w:val="00C54AE7"/>
    <w:rsid w:val="00C67323"/>
    <w:rsid w:val="00C74671"/>
    <w:rsid w:val="00C77029"/>
    <w:rsid w:val="00C810BE"/>
    <w:rsid w:val="00CD0484"/>
    <w:rsid w:val="00D03987"/>
    <w:rsid w:val="00D137E9"/>
    <w:rsid w:val="00D17421"/>
    <w:rsid w:val="00D26493"/>
    <w:rsid w:val="00D53762"/>
    <w:rsid w:val="00D66733"/>
    <w:rsid w:val="00D77E18"/>
    <w:rsid w:val="00D82297"/>
    <w:rsid w:val="00D96D85"/>
    <w:rsid w:val="00DA6DC2"/>
    <w:rsid w:val="00DA747A"/>
    <w:rsid w:val="00DB23A5"/>
    <w:rsid w:val="00DC0046"/>
    <w:rsid w:val="00DE2D2E"/>
    <w:rsid w:val="00DE4EAE"/>
    <w:rsid w:val="00DE5549"/>
    <w:rsid w:val="00DF08EE"/>
    <w:rsid w:val="00E01107"/>
    <w:rsid w:val="00E062AB"/>
    <w:rsid w:val="00E14E31"/>
    <w:rsid w:val="00E700A5"/>
    <w:rsid w:val="00E73A24"/>
    <w:rsid w:val="00E85BBB"/>
    <w:rsid w:val="00E86526"/>
    <w:rsid w:val="00E87FBF"/>
    <w:rsid w:val="00EA0A63"/>
    <w:rsid w:val="00EB2956"/>
    <w:rsid w:val="00EB7980"/>
    <w:rsid w:val="00EF0784"/>
    <w:rsid w:val="00F004AC"/>
    <w:rsid w:val="00F11A8B"/>
    <w:rsid w:val="00F21E58"/>
    <w:rsid w:val="00F308B1"/>
    <w:rsid w:val="00F308BC"/>
    <w:rsid w:val="00F55B4F"/>
    <w:rsid w:val="00F57ED6"/>
    <w:rsid w:val="00F64B9C"/>
    <w:rsid w:val="00F965E9"/>
    <w:rsid w:val="00F96A75"/>
    <w:rsid w:val="00F96E9B"/>
    <w:rsid w:val="00FA7C20"/>
    <w:rsid w:val="00FB175B"/>
    <w:rsid w:val="00FC75CA"/>
    <w:rsid w:val="00FD6136"/>
    <w:rsid w:val="00FE1737"/>
    <w:rsid w:val="00FE614C"/>
    <w:rsid w:val="00FE6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0042B5-9A75-43DA-BEE4-59F25AF2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73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qFormat/>
    <w:rsid w:val="00C67323"/>
    <w:rPr>
      <w:color w:val="0000FF"/>
      <w:u w:val="none"/>
    </w:rPr>
  </w:style>
  <w:style w:type="character" w:styleId="a4">
    <w:name w:val="Hyperlink"/>
    <w:basedOn w:val="a0"/>
    <w:uiPriority w:val="99"/>
    <w:rsid w:val="00C67323"/>
    <w:rPr>
      <w:color w:val="0000FF"/>
      <w:u w:val="none"/>
    </w:rPr>
  </w:style>
  <w:style w:type="paragraph" w:styleId="a5">
    <w:name w:val="header"/>
    <w:basedOn w:val="a"/>
    <w:link w:val="Char"/>
    <w:rsid w:val="00391A62"/>
    <w:pPr>
      <w:pBdr>
        <w:bottom w:val="single" w:sz="6" w:space="1" w:color="auto"/>
      </w:pBdr>
      <w:tabs>
        <w:tab w:val="center" w:pos="4153"/>
        <w:tab w:val="right" w:pos="8306"/>
      </w:tabs>
      <w:snapToGrid w:val="0"/>
      <w:jc w:val="center"/>
    </w:pPr>
    <w:rPr>
      <w:rFonts w:asciiTheme="minorHAnsi" w:eastAsiaTheme="minorEastAsia" w:hAnsiTheme="minorHAnsi" w:cstheme="minorBidi"/>
      <w:kern w:val="0"/>
      <w:sz w:val="18"/>
      <w:szCs w:val="18"/>
    </w:rPr>
  </w:style>
  <w:style w:type="character" w:customStyle="1" w:styleId="Char">
    <w:name w:val="页眉 Char"/>
    <w:basedOn w:val="a0"/>
    <w:link w:val="a5"/>
    <w:rsid w:val="00391A62"/>
    <w:rPr>
      <w:sz w:val="18"/>
      <w:szCs w:val="18"/>
    </w:rPr>
  </w:style>
  <w:style w:type="paragraph" w:styleId="a6">
    <w:name w:val="footer"/>
    <w:basedOn w:val="a"/>
    <w:link w:val="Char0"/>
    <w:uiPriority w:val="99"/>
    <w:rsid w:val="00391A62"/>
    <w:pPr>
      <w:tabs>
        <w:tab w:val="center" w:pos="4153"/>
        <w:tab w:val="right" w:pos="8306"/>
      </w:tabs>
      <w:snapToGrid w:val="0"/>
      <w:jc w:val="left"/>
    </w:pPr>
    <w:rPr>
      <w:rFonts w:asciiTheme="minorHAnsi" w:eastAsiaTheme="minorEastAsia" w:hAnsiTheme="minorHAnsi" w:cstheme="minorBidi"/>
      <w:kern w:val="0"/>
      <w:sz w:val="18"/>
      <w:szCs w:val="18"/>
    </w:rPr>
  </w:style>
  <w:style w:type="character" w:customStyle="1" w:styleId="Char0">
    <w:name w:val="页脚 Char"/>
    <w:basedOn w:val="a0"/>
    <w:link w:val="a6"/>
    <w:uiPriority w:val="99"/>
    <w:rsid w:val="00391A62"/>
    <w:rPr>
      <w:sz w:val="18"/>
      <w:szCs w:val="18"/>
    </w:rPr>
  </w:style>
  <w:style w:type="table" w:styleId="a7">
    <w:name w:val="Table Grid"/>
    <w:basedOn w:val="a1"/>
    <w:rsid w:val="00D66733"/>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A779D9"/>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B06AD0"/>
  </w:style>
  <w:style w:type="character" w:styleId="a9">
    <w:name w:val="annotation reference"/>
    <w:basedOn w:val="a0"/>
    <w:rsid w:val="00656241"/>
    <w:rPr>
      <w:sz w:val="21"/>
      <w:szCs w:val="21"/>
    </w:rPr>
  </w:style>
  <w:style w:type="paragraph" w:styleId="aa">
    <w:name w:val="annotation text"/>
    <w:basedOn w:val="a"/>
    <w:link w:val="Char1"/>
    <w:rsid w:val="00656241"/>
    <w:pPr>
      <w:jc w:val="left"/>
    </w:pPr>
  </w:style>
  <w:style w:type="character" w:customStyle="1" w:styleId="Char1">
    <w:name w:val="批注文字 Char"/>
    <w:basedOn w:val="a0"/>
    <w:link w:val="aa"/>
    <w:rsid w:val="00656241"/>
    <w:rPr>
      <w:rFonts w:ascii="Times New Roman" w:eastAsia="宋体" w:hAnsi="Times New Roman" w:cs="Times New Roman"/>
      <w:kern w:val="2"/>
      <w:sz w:val="21"/>
    </w:rPr>
  </w:style>
  <w:style w:type="paragraph" w:styleId="ab">
    <w:name w:val="Balloon Text"/>
    <w:basedOn w:val="a"/>
    <w:link w:val="Char2"/>
    <w:rsid w:val="00656241"/>
    <w:rPr>
      <w:sz w:val="18"/>
      <w:szCs w:val="18"/>
    </w:rPr>
  </w:style>
  <w:style w:type="character" w:customStyle="1" w:styleId="Char2">
    <w:name w:val="批注框文本 Char"/>
    <w:basedOn w:val="a0"/>
    <w:link w:val="ab"/>
    <w:rsid w:val="00656241"/>
    <w:rPr>
      <w:rFonts w:ascii="Times New Roman" w:eastAsia="宋体" w:hAnsi="Times New Roman" w:cs="Times New Roman"/>
      <w:kern w:val="2"/>
      <w:sz w:val="18"/>
      <w:szCs w:val="18"/>
    </w:rPr>
  </w:style>
  <w:style w:type="character" w:styleId="ac">
    <w:name w:val="Emphasis"/>
    <w:basedOn w:val="a0"/>
    <w:uiPriority w:val="20"/>
    <w:qFormat/>
    <w:rsid w:val="00F96E9B"/>
    <w:rPr>
      <w:i/>
      <w:iCs/>
    </w:rPr>
  </w:style>
  <w:style w:type="paragraph" w:styleId="ad">
    <w:name w:val="List Paragraph"/>
    <w:basedOn w:val="a"/>
    <w:uiPriority w:val="34"/>
    <w:qFormat/>
    <w:rsid w:val="00B027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92110">
      <w:bodyDiv w:val="1"/>
      <w:marLeft w:val="0"/>
      <w:marRight w:val="0"/>
      <w:marTop w:val="0"/>
      <w:marBottom w:val="0"/>
      <w:divBdr>
        <w:top w:val="none" w:sz="0" w:space="0" w:color="auto"/>
        <w:left w:val="none" w:sz="0" w:space="0" w:color="auto"/>
        <w:bottom w:val="none" w:sz="0" w:space="0" w:color="auto"/>
        <w:right w:val="none" w:sz="0" w:space="0" w:color="auto"/>
      </w:divBdr>
    </w:div>
    <w:div w:id="369569414">
      <w:bodyDiv w:val="1"/>
      <w:marLeft w:val="0"/>
      <w:marRight w:val="0"/>
      <w:marTop w:val="0"/>
      <w:marBottom w:val="0"/>
      <w:divBdr>
        <w:top w:val="none" w:sz="0" w:space="0" w:color="auto"/>
        <w:left w:val="none" w:sz="0" w:space="0" w:color="auto"/>
        <w:bottom w:val="none" w:sz="0" w:space="0" w:color="auto"/>
        <w:right w:val="none" w:sz="0" w:space="0" w:color="auto"/>
      </w:divBdr>
    </w:div>
    <w:div w:id="371921305">
      <w:bodyDiv w:val="1"/>
      <w:marLeft w:val="0"/>
      <w:marRight w:val="0"/>
      <w:marTop w:val="0"/>
      <w:marBottom w:val="0"/>
      <w:divBdr>
        <w:top w:val="none" w:sz="0" w:space="0" w:color="auto"/>
        <w:left w:val="none" w:sz="0" w:space="0" w:color="auto"/>
        <w:bottom w:val="none" w:sz="0" w:space="0" w:color="auto"/>
        <w:right w:val="none" w:sz="0" w:space="0" w:color="auto"/>
      </w:divBdr>
    </w:div>
    <w:div w:id="383407276">
      <w:bodyDiv w:val="1"/>
      <w:marLeft w:val="0"/>
      <w:marRight w:val="0"/>
      <w:marTop w:val="0"/>
      <w:marBottom w:val="0"/>
      <w:divBdr>
        <w:top w:val="none" w:sz="0" w:space="0" w:color="auto"/>
        <w:left w:val="none" w:sz="0" w:space="0" w:color="auto"/>
        <w:bottom w:val="none" w:sz="0" w:space="0" w:color="auto"/>
        <w:right w:val="none" w:sz="0" w:space="0" w:color="auto"/>
      </w:divBdr>
    </w:div>
    <w:div w:id="773330620">
      <w:bodyDiv w:val="1"/>
      <w:marLeft w:val="0"/>
      <w:marRight w:val="0"/>
      <w:marTop w:val="0"/>
      <w:marBottom w:val="0"/>
      <w:divBdr>
        <w:top w:val="none" w:sz="0" w:space="0" w:color="auto"/>
        <w:left w:val="none" w:sz="0" w:space="0" w:color="auto"/>
        <w:bottom w:val="none" w:sz="0" w:space="0" w:color="auto"/>
        <w:right w:val="none" w:sz="0" w:space="0" w:color="auto"/>
      </w:divBdr>
    </w:div>
    <w:div w:id="778067285">
      <w:bodyDiv w:val="1"/>
      <w:marLeft w:val="0"/>
      <w:marRight w:val="0"/>
      <w:marTop w:val="0"/>
      <w:marBottom w:val="0"/>
      <w:divBdr>
        <w:top w:val="none" w:sz="0" w:space="0" w:color="auto"/>
        <w:left w:val="none" w:sz="0" w:space="0" w:color="auto"/>
        <w:bottom w:val="none" w:sz="0" w:space="0" w:color="auto"/>
        <w:right w:val="none" w:sz="0" w:space="0" w:color="auto"/>
      </w:divBdr>
    </w:div>
    <w:div w:id="957490425">
      <w:bodyDiv w:val="1"/>
      <w:marLeft w:val="0"/>
      <w:marRight w:val="0"/>
      <w:marTop w:val="0"/>
      <w:marBottom w:val="0"/>
      <w:divBdr>
        <w:top w:val="none" w:sz="0" w:space="0" w:color="auto"/>
        <w:left w:val="none" w:sz="0" w:space="0" w:color="auto"/>
        <w:bottom w:val="none" w:sz="0" w:space="0" w:color="auto"/>
        <w:right w:val="none" w:sz="0" w:space="0" w:color="auto"/>
      </w:divBdr>
    </w:div>
    <w:div w:id="1163399753">
      <w:bodyDiv w:val="1"/>
      <w:marLeft w:val="0"/>
      <w:marRight w:val="0"/>
      <w:marTop w:val="0"/>
      <w:marBottom w:val="0"/>
      <w:divBdr>
        <w:top w:val="none" w:sz="0" w:space="0" w:color="auto"/>
        <w:left w:val="none" w:sz="0" w:space="0" w:color="auto"/>
        <w:bottom w:val="none" w:sz="0" w:space="0" w:color="auto"/>
        <w:right w:val="none" w:sz="0" w:space="0" w:color="auto"/>
      </w:divBdr>
    </w:div>
    <w:div w:id="1197429430">
      <w:bodyDiv w:val="1"/>
      <w:marLeft w:val="0"/>
      <w:marRight w:val="0"/>
      <w:marTop w:val="0"/>
      <w:marBottom w:val="0"/>
      <w:divBdr>
        <w:top w:val="none" w:sz="0" w:space="0" w:color="auto"/>
        <w:left w:val="none" w:sz="0" w:space="0" w:color="auto"/>
        <w:bottom w:val="none" w:sz="0" w:space="0" w:color="auto"/>
        <w:right w:val="none" w:sz="0" w:space="0" w:color="auto"/>
      </w:divBdr>
    </w:div>
    <w:div w:id="1247229433">
      <w:bodyDiv w:val="1"/>
      <w:marLeft w:val="0"/>
      <w:marRight w:val="0"/>
      <w:marTop w:val="0"/>
      <w:marBottom w:val="0"/>
      <w:divBdr>
        <w:top w:val="none" w:sz="0" w:space="0" w:color="auto"/>
        <w:left w:val="none" w:sz="0" w:space="0" w:color="auto"/>
        <w:bottom w:val="none" w:sz="0" w:space="0" w:color="auto"/>
        <w:right w:val="none" w:sz="0" w:space="0" w:color="auto"/>
      </w:divBdr>
    </w:div>
    <w:div w:id="1318414182">
      <w:bodyDiv w:val="1"/>
      <w:marLeft w:val="0"/>
      <w:marRight w:val="0"/>
      <w:marTop w:val="0"/>
      <w:marBottom w:val="0"/>
      <w:divBdr>
        <w:top w:val="none" w:sz="0" w:space="0" w:color="auto"/>
        <w:left w:val="none" w:sz="0" w:space="0" w:color="auto"/>
        <w:bottom w:val="none" w:sz="0" w:space="0" w:color="auto"/>
        <w:right w:val="none" w:sz="0" w:space="0" w:color="auto"/>
      </w:divBdr>
    </w:div>
    <w:div w:id="1346055098">
      <w:bodyDiv w:val="1"/>
      <w:marLeft w:val="0"/>
      <w:marRight w:val="0"/>
      <w:marTop w:val="0"/>
      <w:marBottom w:val="0"/>
      <w:divBdr>
        <w:top w:val="none" w:sz="0" w:space="0" w:color="auto"/>
        <w:left w:val="none" w:sz="0" w:space="0" w:color="auto"/>
        <w:bottom w:val="none" w:sz="0" w:space="0" w:color="auto"/>
        <w:right w:val="none" w:sz="0" w:space="0" w:color="auto"/>
      </w:divBdr>
    </w:div>
    <w:div w:id="1388066556">
      <w:bodyDiv w:val="1"/>
      <w:marLeft w:val="0"/>
      <w:marRight w:val="0"/>
      <w:marTop w:val="0"/>
      <w:marBottom w:val="0"/>
      <w:divBdr>
        <w:top w:val="none" w:sz="0" w:space="0" w:color="auto"/>
        <w:left w:val="none" w:sz="0" w:space="0" w:color="auto"/>
        <w:bottom w:val="none" w:sz="0" w:space="0" w:color="auto"/>
        <w:right w:val="none" w:sz="0" w:space="0" w:color="auto"/>
      </w:divBdr>
    </w:div>
    <w:div w:id="1403796954">
      <w:bodyDiv w:val="1"/>
      <w:marLeft w:val="0"/>
      <w:marRight w:val="0"/>
      <w:marTop w:val="0"/>
      <w:marBottom w:val="0"/>
      <w:divBdr>
        <w:top w:val="none" w:sz="0" w:space="0" w:color="auto"/>
        <w:left w:val="none" w:sz="0" w:space="0" w:color="auto"/>
        <w:bottom w:val="none" w:sz="0" w:space="0" w:color="auto"/>
        <w:right w:val="none" w:sz="0" w:space="0" w:color="auto"/>
      </w:divBdr>
    </w:div>
    <w:div w:id="1467551526">
      <w:bodyDiv w:val="1"/>
      <w:marLeft w:val="0"/>
      <w:marRight w:val="0"/>
      <w:marTop w:val="0"/>
      <w:marBottom w:val="0"/>
      <w:divBdr>
        <w:top w:val="none" w:sz="0" w:space="0" w:color="auto"/>
        <w:left w:val="none" w:sz="0" w:space="0" w:color="auto"/>
        <w:bottom w:val="none" w:sz="0" w:space="0" w:color="auto"/>
        <w:right w:val="none" w:sz="0" w:space="0" w:color="auto"/>
      </w:divBdr>
    </w:div>
    <w:div w:id="1591156015">
      <w:bodyDiv w:val="1"/>
      <w:marLeft w:val="0"/>
      <w:marRight w:val="0"/>
      <w:marTop w:val="0"/>
      <w:marBottom w:val="0"/>
      <w:divBdr>
        <w:top w:val="none" w:sz="0" w:space="0" w:color="auto"/>
        <w:left w:val="none" w:sz="0" w:space="0" w:color="auto"/>
        <w:bottom w:val="none" w:sz="0" w:space="0" w:color="auto"/>
        <w:right w:val="none" w:sz="0" w:space="0" w:color="auto"/>
      </w:divBdr>
    </w:div>
    <w:div w:id="1630816937">
      <w:bodyDiv w:val="1"/>
      <w:marLeft w:val="0"/>
      <w:marRight w:val="0"/>
      <w:marTop w:val="0"/>
      <w:marBottom w:val="0"/>
      <w:divBdr>
        <w:top w:val="none" w:sz="0" w:space="0" w:color="auto"/>
        <w:left w:val="none" w:sz="0" w:space="0" w:color="auto"/>
        <w:bottom w:val="none" w:sz="0" w:space="0" w:color="auto"/>
        <w:right w:val="none" w:sz="0" w:space="0" w:color="auto"/>
      </w:divBdr>
    </w:div>
    <w:div w:id="1739209862">
      <w:bodyDiv w:val="1"/>
      <w:marLeft w:val="0"/>
      <w:marRight w:val="0"/>
      <w:marTop w:val="0"/>
      <w:marBottom w:val="0"/>
      <w:divBdr>
        <w:top w:val="none" w:sz="0" w:space="0" w:color="auto"/>
        <w:left w:val="none" w:sz="0" w:space="0" w:color="auto"/>
        <w:bottom w:val="none" w:sz="0" w:space="0" w:color="auto"/>
        <w:right w:val="none" w:sz="0" w:space="0" w:color="auto"/>
      </w:divBdr>
    </w:div>
    <w:div w:id="1789549196">
      <w:bodyDiv w:val="1"/>
      <w:marLeft w:val="0"/>
      <w:marRight w:val="0"/>
      <w:marTop w:val="0"/>
      <w:marBottom w:val="0"/>
      <w:divBdr>
        <w:top w:val="none" w:sz="0" w:space="0" w:color="auto"/>
        <w:left w:val="none" w:sz="0" w:space="0" w:color="auto"/>
        <w:bottom w:val="none" w:sz="0" w:space="0" w:color="auto"/>
        <w:right w:val="none" w:sz="0" w:space="0" w:color="auto"/>
      </w:divBdr>
    </w:div>
    <w:div w:id="1853374396">
      <w:bodyDiv w:val="1"/>
      <w:marLeft w:val="0"/>
      <w:marRight w:val="0"/>
      <w:marTop w:val="0"/>
      <w:marBottom w:val="0"/>
      <w:divBdr>
        <w:top w:val="none" w:sz="0" w:space="0" w:color="auto"/>
        <w:left w:val="none" w:sz="0" w:space="0" w:color="auto"/>
        <w:bottom w:val="none" w:sz="0" w:space="0" w:color="auto"/>
        <w:right w:val="none" w:sz="0" w:space="0" w:color="auto"/>
      </w:divBdr>
    </w:div>
    <w:div w:id="1869491240">
      <w:bodyDiv w:val="1"/>
      <w:marLeft w:val="0"/>
      <w:marRight w:val="0"/>
      <w:marTop w:val="0"/>
      <w:marBottom w:val="0"/>
      <w:divBdr>
        <w:top w:val="none" w:sz="0" w:space="0" w:color="auto"/>
        <w:left w:val="none" w:sz="0" w:space="0" w:color="auto"/>
        <w:bottom w:val="none" w:sz="0" w:space="0" w:color="auto"/>
        <w:right w:val="none" w:sz="0" w:space="0" w:color="auto"/>
      </w:divBdr>
    </w:div>
    <w:div w:id="2126805580">
      <w:bodyDiv w:val="1"/>
      <w:marLeft w:val="0"/>
      <w:marRight w:val="0"/>
      <w:marTop w:val="0"/>
      <w:marBottom w:val="0"/>
      <w:divBdr>
        <w:top w:val="none" w:sz="0" w:space="0" w:color="auto"/>
        <w:left w:val="none" w:sz="0" w:space="0" w:color="auto"/>
        <w:bottom w:val="none" w:sz="0" w:space="0" w:color="auto"/>
        <w:right w:val="none" w:sz="0" w:space="0" w:color="auto"/>
      </w:divBdr>
    </w:div>
    <w:div w:id="21358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fwRjrHfE62inP9nS08lkexvnkLCtc8oxqQWgrK2bTpfq0Kpl2iUvMcoMMmMgCUmAg3maB2NoyW1NSkZ2W8oX_RZGomX3L_SfeYO-e42YAEa&amp;wd=&amp;eqid=ec6de8cd00005552000000035eb94752" TargetMode="Externa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fwRjrHfE62inP9nS08lkexvnkLCtc8oxqQWgrK2bTpfq0Kpl2iUvMcoMMmMgCUmAg3maB2NoyW1NSkZ2W8oX_RZGomX3L_SfeYO-e42YAEa&amp;wd=&amp;eqid=ec6de8cd00005552000000035eb94752" TargetMode="Externa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K:\2020&#24180;&#35770;&#25991;2&#65306;&#20013;&#22269;&#35745;&#21010;&#29983;&#32946;&#25919;&#31574;&#21464;&#21270;&#23545;&#33021;&#28304;&#28040;&#36153;&#24433;&#21709;&#21450;&#26410;&#26469;&#24773;&#26223;&#20998;&#26512;\&#23621;&#27665;&#33021;&#28304;&#28040;&#36153;&#39044;&#27979;\&#22478;&#20065;&#23621;&#27665;&#33021;&#28304;&#28040;&#36153;&#39044;&#2797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K:\2020&#24180;&#35770;&#25991;2&#65306;&#20013;&#22269;&#35745;&#21010;&#29983;&#32946;&#25919;&#31574;&#21464;&#21270;&#23545;&#33021;&#28304;&#28040;&#36153;&#24433;&#21709;&#21450;&#26410;&#26469;&#24773;&#26223;&#20998;&#26512;\&#23621;&#27665;&#33021;&#28304;&#28040;&#36153;&#39044;&#27979;\&#22478;&#20065;&#23621;&#27665;&#33021;&#28304;&#28040;&#36153;&#39044;&#2797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K:\2020&#24180;&#35770;&#25991;2&#65306;&#20013;&#22269;&#35745;&#21010;&#29983;&#32946;&#25919;&#31574;&#21464;&#21270;&#23545;&#33021;&#28304;&#28040;&#36153;&#24433;&#21709;&#21450;&#26410;&#26469;&#24773;&#26223;&#20998;&#26512;\Supplement%20data\&#22478;&#20065;&#23621;&#27665;&#25143;&#22343;&#33021;&#3279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K:\2020&#24180;&#35770;&#25991;2&#65306;&#20013;&#22269;&#35745;&#21010;&#29983;&#32946;&#25919;&#31574;&#21464;&#21270;&#23545;&#33021;&#28304;&#28040;&#36153;&#24433;&#21709;&#21450;&#26410;&#26469;&#24773;&#26223;&#20998;&#26512;\Supplement%20data\&#22478;&#20065;&#23621;&#27665;&#25143;&#22343;&#33021;&#32791;.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K:\2020&#24180;&#35770;&#25991;2&#65306;&#20013;&#22269;&#35745;&#21010;&#29983;&#32946;&#25919;&#31574;&#21464;&#21270;&#23545;&#33021;&#28304;&#28040;&#36153;&#24433;&#21709;&#21450;&#26410;&#26469;&#24773;&#26223;&#20998;&#26512;\Supplement%20data\input-output%20table%20for%202020-2050.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H:\2020&#24180;&#35770;&#25991;2&#65306;&#20013;&#22269;&#35745;&#21010;&#29983;&#32946;&#25919;&#31574;&#21464;&#21270;&#23545;&#33021;&#28304;&#28040;&#36153;&#24433;&#21709;&#21450;&#26410;&#26469;&#24773;&#26223;&#20998;&#26512;\&#23458;&#36816;&#33021;&#32791;&#35745;&#31639;&#19982;&#39044;&#27979;&#25968;&#25454;\&#23458;&#36816;&#33021;&#32791;&#25237;&#20837;&#20135;&#20986;20201110.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K:\2020&#24180;&#35770;&#25991;2&#65306;&#20013;&#22269;&#35745;&#21010;&#29983;&#32946;&#25919;&#31574;&#21464;&#21270;&#23545;&#33021;&#28304;&#28040;&#36153;&#24433;&#21709;&#21450;&#26410;&#26469;&#24773;&#26223;&#20998;&#26512;\&#32508;&#21512;&#24433;&#21709;&#25928;&#24212;&#39044;&#27979;\&#33021;&#28304;&#24635;&#38656;&#27714;&#39044;&#27979;.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K:\2020&#24180;&#35770;&#25991;2&#65306;&#20013;&#22269;&#35745;&#21010;&#29983;&#32946;&#25919;&#31574;&#21464;&#21270;&#23545;&#33021;&#28304;&#28040;&#36153;&#24433;&#21709;&#21450;&#26410;&#26469;&#24773;&#26223;&#20998;&#26512;\&#32508;&#21512;&#24433;&#21709;&#25928;&#24212;&#39044;&#27979;\&#33021;&#28304;&#24635;&#38656;&#27714;&#39044;&#27979;.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900" b="1"/>
              <a:t>A</a:t>
            </a:r>
            <a:r>
              <a:rPr lang="en-US" sz="900"/>
              <a:t>    Energy consumption per standardized household in urban</a:t>
            </a:r>
            <a:endParaRPr lang="zh-CN" sz="900"/>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8.2845718207689725E-2"/>
          <c:y val="4.4440689713435476E-2"/>
          <c:w val="0.87916201360936308"/>
          <c:h val="0.78637124596342467"/>
        </c:manualLayout>
      </c:layout>
      <c:lineChart>
        <c:grouping val="standard"/>
        <c:varyColors val="0"/>
        <c:ser>
          <c:idx val="1"/>
          <c:order val="1"/>
          <c:tx>
            <c:v>Model coal</c:v>
          </c:tx>
          <c:spPr>
            <a:ln w="19050" cap="rnd">
              <a:solidFill>
                <a:srgbClr val="7030A0"/>
              </a:solidFill>
              <a:round/>
            </a:ln>
            <a:effectLst/>
          </c:spPr>
          <c:marker>
            <c:symbol val="none"/>
          </c:marker>
          <c:cat>
            <c:numRef>
              <c:f>模拟作图!$A$8:$A$55</c:f>
              <c:numCache>
                <c:formatCode>General</c:formatCode>
                <c:ptCount val="48"/>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pt idx="22">
                  <c:v>2025</c:v>
                </c:pt>
                <c:pt idx="23">
                  <c:v>2026</c:v>
                </c:pt>
                <c:pt idx="24">
                  <c:v>2027</c:v>
                </c:pt>
                <c:pt idx="25">
                  <c:v>2028</c:v>
                </c:pt>
                <c:pt idx="26">
                  <c:v>2029</c:v>
                </c:pt>
                <c:pt idx="27">
                  <c:v>2030</c:v>
                </c:pt>
                <c:pt idx="28">
                  <c:v>2031</c:v>
                </c:pt>
                <c:pt idx="29">
                  <c:v>2032</c:v>
                </c:pt>
                <c:pt idx="30">
                  <c:v>2033</c:v>
                </c:pt>
                <c:pt idx="31">
                  <c:v>2034</c:v>
                </c:pt>
                <c:pt idx="32">
                  <c:v>2035</c:v>
                </c:pt>
                <c:pt idx="33">
                  <c:v>2036</c:v>
                </c:pt>
                <c:pt idx="34">
                  <c:v>2037</c:v>
                </c:pt>
                <c:pt idx="35">
                  <c:v>2038</c:v>
                </c:pt>
                <c:pt idx="36">
                  <c:v>2039</c:v>
                </c:pt>
                <c:pt idx="37">
                  <c:v>2040</c:v>
                </c:pt>
                <c:pt idx="38">
                  <c:v>2041</c:v>
                </c:pt>
                <c:pt idx="39">
                  <c:v>2042</c:v>
                </c:pt>
                <c:pt idx="40">
                  <c:v>2043</c:v>
                </c:pt>
                <c:pt idx="41">
                  <c:v>2044</c:v>
                </c:pt>
                <c:pt idx="42">
                  <c:v>2045</c:v>
                </c:pt>
                <c:pt idx="43">
                  <c:v>2046</c:v>
                </c:pt>
                <c:pt idx="44">
                  <c:v>2047</c:v>
                </c:pt>
                <c:pt idx="45">
                  <c:v>2048</c:v>
                </c:pt>
                <c:pt idx="46">
                  <c:v>2049</c:v>
                </c:pt>
                <c:pt idx="47">
                  <c:v>2050</c:v>
                </c:pt>
              </c:numCache>
            </c:numRef>
          </c:cat>
          <c:val>
            <c:numRef>
              <c:f>模拟作图!$D$8:$D$55</c:f>
              <c:numCache>
                <c:formatCode>0.000_ </c:formatCode>
                <c:ptCount val="48"/>
                <c:pt idx="0">
                  <c:v>1054.4952605710514</c:v>
                </c:pt>
                <c:pt idx="1">
                  <c:v>931.06575372565965</c:v>
                </c:pt>
                <c:pt idx="2">
                  <c:v>822.80215146306568</c:v>
                </c:pt>
                <c:pt idx="3">
                  <c:v>727.84176719981076</c:v>
                </c:pt>
                <c:pt idx="4">
                  <c:v>644.55042285730497</c:v>
                </c:pt>
                <c:pt idx="5">
                  <c:v>571.49323180565568</c:v>
                </c:pt>
                <c:pt idx="6">
                  <c:v>507.41356590464989</c:v>
                </c:pt>
                <c:pt idx="7">
                  <c:v>451.20754419013889</c:v>
                </c:pt>
                <c:pt idx="8">
                  <c:v>401.90809889029157</c:v>
                </c:pt>
                <c:pt idx="9">
                  <c:v>358.6664208606129</c:v>
                </c:pt>
                <c:pt idx="10">
                  <c:v>320.73815963009906</c:v>
                </c:pt>
                <c:pt idx="11">
                  <c:v>287.47048396805855</c:v>
                </c:pt>
                <c:pt idx="12">
                  <c:v>258.29067878015508</c:v>
                </c:pt>
                <c:pt idx="13">
                  <c:v>232.696404491506</c:v>
                </c:pt>
                <c:pt idx="14">
                  <c:v>216.36809661610056</c:v>
                </c:pt>
                <c:pt idx="15" formatCode="0.00_ ">
                  <c:v>201.18554618656822</c:v>
                </c:pt>
                <c:pt idx="16" formatCode="0.00_ ">
                  <c:v>184.19381315084883</c:v>
                </c:pt>
                <c:pt idx="17" formatCode="0.00_ ">
                  <c:v>169.11176918137559</c:v>
                </c:pt>
                <c:pt idx="18" formatCode="0.00_ ">
                  <c:v>155.72479380090741</c:v>
                </c:pt>
                <c:pt idx="19" formatCode="0.00_ ">
                  <c:v>143.84238097114897</c:v>
                </c:pt>
                <c:pt idx="20" formatCode="0.00_ ">
                  <c:v>133.29544188238756</c:v>
                </c:pt>
                <c:pt idx="21" formatCode="0.00_ ">
                  <c:v>123.93385897814055</c:v>
                </c:pt>
                <c:pt idx="22" formatCode="0.00_ ">
                  <c:v>115.62443380160073</c:v>
                </c:pt>
                <c:pt idx="23" formatCode="0.00_ ">
                  <c:v>108.24891361390299</c:v>
                </c:pt>
                <c:pt idx="24" formatCode="0.00_ ">
                  <c:v>101.70231366661453</c:v>
                </c:pt>
                <c:pt idx="25" formatCode="0.00_ ">
                  <c:v>95.891490723361287</c:v>
                </c:pt>
                <c:pt idx="26" formatCode="0.00_ ">
                  <c:v>90.733743824888222</c:v>
                </c:pt>
                <c:pt idx="27" formatCode="0.00_ ">
                  <c:v>86.155678486306755</c:v>
                </c:pt>
                <c:pt idx="28" formatCode="0.00_ ">
                  <c:v>82.092147943513709</c:v>
                </c:pt>
                <c:pt idx="29" formatCode="0.00_ ">
                  <c:v>78.485308884427084</c:v>
                </c:pt>
                <c:pt idx="30" formatCode="0.00_ ">
                  <c:v>75.283846450464509</c:v>
                </c:pt>
                <c:pt idx="31" formatCode="0.00_ ">
                  <c:v>72.442192941087839</c:v>
                </c:pt>
                <c:pt idx="32" formatCode="0.00_ ">
                  <c:v>69.919914429211929</c:v>
                </c:pt>
                <c:pt idx="33" formatCode="0.00_ ">
                  <c:v>67.681116359405678</c:v>
                </c:pt>
                <c:pt idx="34" formatCode="0.00_ ">
                  <c:v>65.693936548197513</c:v>
                </c:pt>
                <c:pt idx="35" formatCode="0.00_ ">
                  <c:v>63.930096275528484</c:v>
                </c:pt>
                <c:pt idx="36" formatCode="0.00_ ">
                  <c:v>62.364489759314232</c:v>
                </c:pt>
                <c:pt idx="37" formatCode="0.00_ ">
                  <c:v>60.974847570502931</c:v>
                </c:pt>
                <c:pt idx="38" formatCode="0.00_ ">
                  <c:v>59.741381947205824</c:v>
                </c:pt>
                <c:pt idx="39" formatCode="0.00_ ">
                  <c:v>58.646547929301818</c:v>
                </c:pt>
                <c:pt idx="40" formatCode="0.00_ ">
                  <c:v>57.674763472911266</c:v>
                </c:pt>
                <c:pt idx="41" formatCode="0.00_ ">
                  <c:v>56.812197169684509</c:v>
                </c:pt>
                <c:pt idx="42" formatCode="0.00_ ">
                  <c:v>56.046573357342197</c:v>
                </c:pt>
                <c:pt idx="43" formatCode="0.00_ ">
                  <c:v>55.367000160564302</c:v>
                </c:pt>
                <c:pt idx="44" formatCode="0.00_ ">
                  <c:v>54.763801806077325</c:v>
                </c:pt>
                <c:pt idx="45" formatCode="0.00_ ">
                  <c:v>54.228399825124249</c:v>
                </c:pt>
                <c:pt idx="46" formatCode="0.00_ ">
                  <c:v>53.753169958815398</c:v>
                </c:pt>
                <c:pt idx="47" formatCode="0.00_ ">
                  <c:v>53.331350829251839</c:v>
                </c:pt>
              </c:numCache>
            </c:numRef>
          </c:val>
          <c:smooth val="0"/>
        </c:ser>
        <c:ser>
          <c:idx val="3"/>
          <c:order val="3"/>
          <c:tx>
            <c:v>Model oil</c:v>
          </c:tx>
          <c:spPr>
            <a:ln w="19050" cap="rnd">
              <a:solidFill>
                <a:srgbClr val="3333FF"/>
              </a:solidFill>
              <a:round/>
            </a:ln>
            <a:effectLst/>
          </c:spPr>
          <c:marker>
            <c:symbol val="none"/>
          </c:marker>
          <c:val>
            <c:numRef>
              <c:f>模拟作图!$F$8:$F$55</c:f>
              <c:numCache>
                <c:formatCode>0.000_ </c:formatCode>
                <c:ptCount val="48"/>
                <c:pt idx="0">
                  <c:v>730.23180000000002</c:v>
                </c:pt>
                <c:pt idx="1">
                  <c:v>777.25545999999997</c:v>
                </c:pt>
                <c:pt idx="2">
                  <c:v>825.89410999999996</c:v>
                </c:pt>
                <c:pt idx="3">
                  <c:v>876.02869999999996</c:v>
                </c:pt>
                <c:pt idx="4">
                  <c:v>927.52049999999997</c:v>
                </c:pt>
                <c:pt idx="5">
                  <c:v>980.21208999999999</c:v>
                </c:pt>
                <c:pt idx="6">
                  <c:v>1033.92886</c:v>
                </c:pt>
                <c:pt idx="7">
                  <c:v>1088.4810399999999</c:v>
                </c:pt>
                <c:pt idx="8">
                  <c:v>1143.6661899999999</c:v>
                </c:pt>
                <c:pt idx="9">
                  <c:v>1199.27205</c:v>
                </c:pt>
                <c:pt idx="10">
                  <c:v>1255.0797399999999</c:v>
                </c:pt>
                <c:pt idx="11">
                  <c:v>1310.86718</c:v>
                </c:pt>
                <c:pt idx="12">
                  <c:v>1366.41263</c:v>
                </c:pt>
                <c:pt idx="13">
                  <c:v>1421.4981600000001</c:v>
                </c:pt>
                <c:pt idx="14">
                  <c:v>1475.9130700000001</c:v>
                </c:pt>
                <c:pt idx="15" formatCode="General">
                  <c:v>1528.2911668019885</c:v>
                </c:pt>
                <c:pt idx="16" formatCode="General">
                  <c:v>1573.9799270665358</c:v>
                </c:pt>
                <c:pt idx="17" formatCode="General">
                  <c:v>1618.3889310183154</c:v>
                </c:pt>
                <c:pt idx="18" formatCode="General">
                  <c:v>1661.4153144190186</c:v>
                </c:pt>
                <c:pt idx="19" formatCode="General">
                  <c:v>1702.9723343214771</c:v>
                </c:pt>
                <c:pt idx="20" formatCode="General">
                  <c:v>1742.9894352567821</c:v>
                </c:pt>
                <c:pt idx="21" formatCode="General">
                  <c:v>1781.4120884941381</c:v>
                </c:pt>
                <c:pt idx="22" formatCode="General">
                  <c:v>1818.2011963567911</c:v>
                </c:pt>
                <c:pt idx="23" formatCode="General">
                  <c:v>1853.3324019849299</c:v>
                </c:pt>
                <c:pt idx="24" formatCode="General">
                  <c:v>1886.7950681629932</c:v>
                </c:pt>
                <c:pt idx="25" formatCode="General">
                  <c:v>1918.5912183257628</c:v>
                </c:pt>
                <c:pt idx="26" formatCode="General">
                  <c:v>1948.734269547801</c:v>
                </c:pt>
                <c:pt idx="27" formatCode="General">
                  <c:v>1977.2477844434898</c:v>
                </c:pt>
                <c:pt idx="28" formatCode="General">
                  <c:v>2004.1641285140458</c:v>
                </c:pt>
                <c:pt idx="29" formatCode="General">
                  <c:v>2029.5232315028625</c:v>
                </c:pt>
                <c:pt idx="30" formatCode="General">
                  <c:v>2053.3712825637349</c:v>
                </c:pt>
                <c:pt idx="31" formatCode="General">
                  <c:v>2075.7595578033224</c:v>
                </c:pt>
                <c:pt idx="32" formatCode="General">
                  <c:v>2096.7433234660325</c:v>
                </c:pt>
                <c:pt idx="33" formatCode="General">
                  <c:v>2116.3807580295124</c:v>
                </c:pt>
                <c:pt idx="34" formatCode="General">
                  <c:v>2134.732101227401</c:v>
                </c:pt>
                <c:pt idx="35" formatCode="General">
                  <c:v>2151.8587557955725</c:v>
                </c:pt>
                <c:pt idx="36" formatCode="General">
                  <c:v>2167.8226066903403</c:v>
                </c:pt>
                <c:pt idx="37" formatCode="General">
                  <c:v>2182.6853781278714</c:v>
                </c:pt>
                <c:pt idx="38" formatCode="General">
                  <c:v>2196.5081040872333</c:v>
                </c:pt>
                <c:pt idx="39" formatCode="General">
                  <c:v>2209.3506744558658</c:v>
                </c:pt>
                <c:pt idx="40" formatCode="General">
                  <c:v>2221.2714851833766</c:v>
                </c:pt>
                <c:pt idx="41" formatCode="General">
                  <c:v>2232.3271168012529</c:v>
                </c:pt>
                <c:pt idx="42" formatCode="General">
                  <c:v>2242.5721547721059</c:v>
                </c:pt>
                <c:pt idx="43" formatCode="General">
                  <c:v>2252.0589531071055</c:v>
                </c:pt>
                <c:pt idx="44" formatCode="General">
                  <c:v>2260.837606000071</c:v>
                </c:pt>
                <c:pt idx="45" formatCode="General">
                  <c:v>2268.955787087325</c:v>
                </c:pt>
                <c:pt idx="46" formatCode="General">
                  <c:v>2277.1031188150273</c:v>
                </c:pt>
                <c:pt idx="47" formatCode="General">
                  <c:v>2285.2797058568522</c:v>
                </c:pt>
              </c:numCache>
            </c:numRef>
          </c:val>
          <c:smooth val="0"/>
        </c:ser>
        <c:ser>
          <c:idx val="5"/>
          <c:order val="5"/>
          <c:tx>
            <c:v>Moel gas</c:v>
          </c:tx>
          <c:spPr>
            <a:ln w="19050" cap="rnd">
              <a:solidFill>
                <a:schemeClr val="accent6"/>
              </a:solidFill>
              <a:round/>
            </a:ln>
            <a:effectLst/>
          </c:spPr>
          <c:marker>
            <c:symbol val="none"/>
          </c:marker>
          <c:val>
            <c:numRef>
              <c:f>模拟作图!$I$8:$I$55</c:f>
              <c:numCache>
                <c:formatCode>0.000_ </c:formatCode>
                <c:ptCount val="48"/>
                <c:pt idx="0">
                  <c:v>246.10227</c:v>
                </c:pt>
                <c:pt idx="1">
                  <c:v>285.06164999999999</c:v>
                </c:pt>
                <c:pt idx="2">
                  <c:v>328.69121000000001</c:v>
                </c:pt>
                <c:pt idx="3">
                  <c:v>377.08346</c:v>
                </c:pt>
                <c:pt idx="4">
                  <c:v>430.18950999999998</c:v>
                </c:pt>
                <c:pt idx="5">
                  <c:v>487.79142999999999</c:v>
                </c:pt>
                <c:pt idx="6">
                  <c:v>549.48333000000002</c:v>
                </c:pt>
                <c:pt idx="7">
                  <c:v>614.66555000000005</c:v>
                </c:pt>
                <c:pt idx="8">
                  <c:v>682.55610000000001</c:v>
                </c:pt>
                <c:pt idx="9">
                  <c:v>752.22069999999997</c:v>
                </c:pt>
                <c:pt idx="10">
                  <c:v>822.62018999999998</c:v>
                </c:pt>
                <c:pt idx="11">
                  <c:v>892.67079999999999</c:v>
                </c:pt>
                <c:pt idx="12">
                  <c:v>961.31002999999998</c:v>
                </c:pt>
                <c:pt idx="13">
                  <c:v>1027.5598199999999</c:v>
                </c:pt>
                <c:pt idx="14">
                  <c:v>1090.5792799999999</c:v>
                </c:pt>
                <c:pt idx="15" formatCode="0.0000_ ">
                  <c:v>1149.70126</c:v>
                </c:pt>
                <c:pt idx="16" formatCode="0.0000_ ">
                  <c:v>1204.45036</c:v>
                </c:pt>
                <c:pt idx="17" formatCode="0.0000_ ">
                  <c:v>1254.5429899999999</c:v>
                </c:pt>
                <c:pt idx="18" formatCode="0.0000_ ">
                  <c:v>1299.8726200000001</c:v>
                </c:pt>
                <c:pt idx="19" formatCode="0.0000_ ">
                  <c:v>1340.4846600000001</c:v>
                </c:pt>
                <c:pt idx="20" formatCode="0.0000_ ">
                  <c:v>1376.54593</c:v>
                </c:pt>
                <c:pt idx="21" formatCode="0.0000_ ">
                  <c:v>1408.3128300000001</c:v>
                </c:pt>
                <c:pt idx="22" formatCode="0.0000_ ">
                  <c:v>1436.1013499999999</c:v>
                </c:pt>
                <c:pt idx="23" formatCode="0.0000_ ">
                  <c:v>1460.2611400000001</c:v>
                </c:pt>
                <c:pt idx="24" formatCode="0.0000_ ">
                  <c:v>1481.15434</c:v>
                </c:pt>
                <c:pt idx="25" formatCode="0.0000_ ">
                  <c:v>1499.1394299999999</c:v>
                </c:pt>
                <c:pt idx="26" formatCode="0.0000_ ">
                  <c:v>1514.55981</c:v>
                </c:pt>
                <c:pt idx="27" formatCode="0.0000_ ">
                  <c:v>1527.7362499999999</c:v>
                </c:pt>
                <c:pt idx="28" formatCode="0.0000_ ">
                  <c:v>1538.96253</c:v>
                </c:pt>
                <c:pt idx="29" formatCode="0.0000_ ">
                  <c:v>1548.5035800000001</c:v>
                </c:pt>
                <c:pt idx="30" formatCode="0.0000_ ">
                  <c:v>1556.59528</c:v>
                </c:pt>
                <c:pt idx="31" formatCode="0.0000_ ">
                  <c:v>1563.4455399999999</c:v>
                </c:pt>
                <c:pt idx="32" formatCode="0.0000_ ">
                  <c:v>1569.23604</c:v>
                </c:pt>
                <c:pt idx="33" formatCode="0.0000_ ">
                  <c:v>1574.12446</c:v>
                </c:pt>
                <c:pt idx="34" formatCode="0.0000_ ">
                  <c:v>1578.2468799999999</c:v>
                </c:pt>
                <c:pt idx="35" formatCode="0.0000_ ">
                  <c:v>1581.7201500000001</c:v>
                </c:pt>
                <c:pt idx="36" formatCode="0.0000_ ">
                  <c:v>1584.6442400000001</c:v>
                </c:pt>
                <c:pt idx="37" formatCode="0.0000_ ">
                  <c:v>1587.1044099999999</c:v>
                </c:pt>
                <c:pt idx="38" formatCode="0.0000_ ">
                  <c:v>1589.1731199999999</c:v>
                </c:pt>
                <c:pt idx="39" formatCode="0.0000_ ">
                  <c:v>1590.9118699999999</c:v>
                </c:pt>
                <c:pt idx="40" formatCode="0.0000_ ">
                  <c:v>1592.3727200000001</c:v>
                </c:pt>
                <c:pt idx="41" formatCode="0.0000_ ">
                  <c:v>1593.5997</c:v>
                </c:pt>
                <c:pt idx="42" formatCode="0.0000_ ">
                  <c:v>1594.62996</c:v>
                </c:pt>
                <c:pt idx="43" formatCode="0.0000_ ">
                  <c:v>1595.49485</c:v>
                </c:pt>
                <c:pt idx="44" formatCode="0.0000_ ">
                  <c:v>1596.2207699999999</c:v>
                </c:pt>
                <c:pt idx="45" formatCode="0.0000_ ">
                  <c:v>1596.82996</c:v>
                </c:pt>
                <c:pt idx="46" formatCode="0.0000_ ">
                  <c:v>1597.3411100000001</c:v>
                </c:pt>
                <c:pt idx="47" formatCode="0.0000_ ">
                  <c:v>1597.7699500000001</c:v>
                </c:pt>
              </c:numCache>
            </c:numRef>
          </c:val>
          <c:smooth val="0"/>
        </c:ser>
        <c:ser>
          <c:idx val="7"/>
          <c:order val="7"/>
          <c:tx>
            <c:v>Model electric</c:v>
          </c:tx>
          <c:spPr>
            <a:ln w="19050" cap="rnd">
              <a:solidFill>
                <a:srgbClr val="FF0000"/>
              </a:solidFill>
              <a:round/>
            </a:ln>
            <a:effectLst/>
          </c:spPr>
          <c:marker>
            <c:symbol val="none"/>
          </c:marker>
          <c:val>
            <c:numRef>
              <c:f>模拟作图!$K$8:$K$55</c:f>
              <c:numCache>
                <c:formatCode>0.000_ </c:formatCode>
                <c:ptCount val="48"/>
                <c:pt idx="0">
                  <c:v>614.05097000000001</c:v>
                </c:pt>
                <c:pt idx="1">
                  <c:v>656.36275999999998</c:v>
                </c:pt>
                <c:pt idx="2">
                  <c:v>700.50715000000002</c:v>
                </c:pt>
                <c:pt idx="3">
                  <c:v>746.41849999999999</c:v>
                </c:pt>
                <c:pt idx="4">
                  <c:v>794.01116999999999</c:v>
                </c:pt>
                <c:pt idx="5">
                  <c:v>843.17930000000001</c:v>
                </c:pt>
                <c:pt idx="6">
                  <c:v>893.79693999999995</c:v>
                </c:pt>
                <c:pt idx="7">
                  <c:v>945.71876999999995</c:v>
                </c:pt>
                <c:pt idx="8">
                  <c:v>998.78125</c:v>
                </c:pt>
                <c:pt idx="9">
                  <c:v>1052.8043</c:v>
                </c:pt>
                <c:pt idx="10">
                  <c:v>1107.5935300000001</c:v>
                </c:pt>
                <c:pt idx="11">
                  <c:v>1162.94281</c:v>
                </c:pt>
                <c:pt idx="12">
                  <c:v>1218.63726</c:v>
                </c:pt>
                <c:pt idx="13">
                  <c:v>1274.4566</c:v>
                </c:pt>
                <c:pt idx="14">
                  <c:v>1330.1785299999999</c:v>
                </c:pt>
                <c:pt idx="15" formatCode="0.0000_ ">
                  <c:v>1385.58232</c:v>
                </c:pt>
                <c:pt idx="16" formatCode="0.0000_ ">
                  <c:v>1440.4522400000001</c:v>
                </c:pt>
                <c:pt idx="17" formatCode="0.0000_ ">
                  <c:v>1494.5809300000001</c:v>
                </c:pt>
                <c:pt idx="18" formatCode="0.0000_ ">
                  <c:v>1547.7723699999999</c:v>
                </c:pt>
                <c:pt idx="19" formatCode="0.0000_ ">
                  <c:v>1599.8445899999999</c:v>
                </c:pt>
                <c:pt idx="20" formatCode="0.0000_ ">
                  <c:v>1650.6319100000001</c:v>
                </c:pt>
                <c:pt idx="21" formatCode="0.0000_ ">
                  <c:v>1699.98666</c:v>
                </c:pt>
                <c:pt idx="22" formatCode="0.0000_ ">
                  <c:v>1747.7804699999999</c:v>
                </c:pt>
                <c:pt idx="23" formatCode="0.0000_ ">
                  <c:v>1793.9049600000001</c:v>
                </c:pt>
                <c:pt idx="24" formatCode="0.0000_ ">
                  <c:v>1838.2719999999999</c:v>
                </c:pt>
                <c:pt idx="25" formatCode="0.0000_ ">
                  <c:v>1880.8135</c:v>
                </c:pt>
                <c:pt idx="26" formatCode="0.0000_ ">
                  <c:v>1921.4807699999999</c:v>
                </c:pt>
                <c:pt idx="27" formatCode="0.0000_ ">
                  <c:v>1960.24359</c:v>
                </c:pt>
                <c:pt idx="28" formatCode="0.0000_ ">
                  <c:v>1997.0889400000001</c:v>
                </c:pt>
                <c:pt idx="29" formatCode="0.0000_ ">
                  <c:v>2032.0195900000001</c:v>
                </c:pt>
                <c:pt idx="30" formatCode="0.0000_ ">
                  <c:v>2065.0524599999999</c:v>
                </c:pt>
                <c:pt idx="31" formatCode="0.0000_ ">
                  <c:v>2096.2169899999999</c:v>
                </c:pt>
                <c:pt idx="32" formatCode="0.0000_ ">
                  <c:v>2125.5534400000001</c:v>
                </c:pt>
                <c:pt idx="33" formatCode="0.0000_ ">
                  <c:v>2153.1111999999998</c:v>
                </c:pt>
                <c:pt idx="34" formatCode="0.0000_ ">
                  <c:v>2178.94715</c:v>
                </c:pt>
                <c:pt idx="35" formatCode="0.0000_ ">
                  <c:v>2203.12419</c:v>
                </c:pt>
                <c:pt idx="36" formatCode="0.0000_ ">
                  <c:v>2225.70975</c:v>
                </c:pt>
                <c:pt idx="37" formatCode="0.0000_ ">
                  <c:v>2246.7745500000001</c:v>
                </c:pt>
                <c:pt idx="38" formatCode="0.0000_ ">
                  <c:v>2266.3914199999999</c:v>
                </c:pt>
                <c:pt idx="39" formatCode="0.0000_ ">
                  <c:v>2284.63429</c:v>
                </c:pt>
                <c:pt idx="40" formatCode="0.0000_ ">
                  <c:v>2301.57726</c:v>
                </c:pt>
                <c:pt idx="41" formatCode="0.0000_ ">
                  <c:v>2317.2939200000001</c:v>
                </c:pt>
                <c:pt idx="42" formatCode="0.0000_ ">
                  <c:v>2331.8566300000002</c:v>
                </c:pt>
                <c:pt idx="43" formatCode="0.0000_ ">
                  <c:v>2345.3360899999998</c:v>
                </c:pt>
                <c:pt idx="44" formatCode="0.0000_ ">
                  <c:v>2357.8008399999999</c:v>
                </c:pt>
                <c:pt idx="45" formatCode="0.0000_ ">
                  <c:v>2369.317</c:v>
                </c:pt>
                <c:pt idx="46" formatCode="0.0000_ ">
                  <c:v>2379.9479999999999</c:v>
                </c:pt>
                <c:pt idx="47" formatCode="0.0000_ ">
                  <c:v>2389.75441</c:v>
                </c:pt>
              </c:numCache>
            </c:numRef>
          </c:val>
          <c:smooth val="0"/>
        </c:ser>
        <c:ser>
          <c:idx val="9"/>
          <c:order val="9"/>
          <c:tx>
            <c:v>Model other</c:v>
          </c:tx>
          <c:spPr>
            <a:ln w="19050" cap="rnd">
              <a:solidFill>
                <a:schemeClr val="accent4">
                  <a:lumMod val="60000"/>
                </a:schemeClr>
              </a:solidFill>
              <a:round/>
            </a:ln>
            <a:effectLst/>
          </c:spPr>
          <c:marker>
            <c:symbol val="none"/>
          </c:marker>
          <c:val>
            <c:numRef>
              <c:f>模拟作图!$M$8:$M$55</c:f>
              <c:numCache>
                <c:formatCode>0.000_ </c:formatCode>
                <c:ptCount val="48"/>
                <c:pt idx="0">
                  <c:v>592.25315999999998</c:v>
                </c:pt>
                <c:pt idx="1">
                  <c:v>622.51134000000002</c:v>
                </c:pt>
                <c:pt idx="2">
                  <c:v>652.88933999999995</c:v>
                </c:pt>
                <c:pt idx="3">
                  <c:v>683.25472000000002</c:v>
                </c:pt>
                <c:pt idx="4">
                  <c:v>713.47526000000005</c:v>
                </c:pt>
                <c:pt idx="5">
                  <c:v>743.42127000000005</c:v>
                </c:pt>
                <c:pt idx="6">
                  <c:v>772.96772999999996</c:v>
                </c:pt>
                <c:pt idx="7">
                  <c:v>801.99639999999999</c:v>
                </c:pt>
                <c:pt idx="8">
                  <c:v>830.39756</c:v>
                </c:pt>
                <c:pt idx="9">
                  <c:v>858.07153000000005</c:v>
                </c:pt>
                <c:pt idx="10">
                  <c:v>884.92981999999995</c:v>
                </c:pt>
                <c:pt idx="11">
                  <c:v>910.89598999999998</c:v>
                </c:pt>
                <c:pt idx="12">
                  <c:v>935.90608999999995</c:v>
                </c:pt>
                <c:pt idx="13">
                  <c:v>959.90884000000005</c:v>
                </c:pt>
                <c:pt idx="14">
                  <c:v>982.86541</c:v>
                </c:pt>
                <c:pt idx="15" formatCode="0.0000_ ">
                  <c:v>1004.749</c:v>
                </c:pt>
                <c:pt idx="16" formatCode="0.0000_ ">
                  <c:v>1025.54421</c:v>
                </c:pt>
                <c:pt idx="17" formatCode="0.0000_ ">
                  <c:v>1045.24613</c:v>
                </c:pt>
                <c:pt idx="18" formatCode="0.0000_ ">
                  <c:v>1063.8594000000001</c:v>
                </c:pt>
                <c:pt idx="19" formatCode="0.0000_ ">
                  <c:v>1081.3971300000001</c:v>
                </c:pt>
                <c:pt idx="20" formatCode="0.0000_ ">
                  <c:v>1097.8798200000001</c:v>
                </c:pt>
                <c:pt idx="21" formatCode="0.0000_ ">
                  <c:v>1113.3342500000001</c:v>
                </c:pt>
                <c:pt idx="22" formatCode="0.0000_ ">
                  <c:v>1127.7923499999999</c:v>
                </c:pt>
                <c:pt idx="23" formatCode="0.0000_ ">
                  <c:v>1141.29025</c:v>
                </c:pt>
                <c:pt idx="24" formatCode="0.0000_ ">
                  <c:v>1153.86724</c:v>
                </c:pt>
                <c:pt idx="25" formatCode="0.0000_ ">
                  <c:v>1165.5649699999999</c:v>
                </c:pt>
                <c:pt idx="26" formatCode="0.0000_ ">
                  <c:v>1176.4266</c:v>
                </c:pt>
                <c:pt idx="27" formatCode="0.0000_ ">
                  <c:v>1186.49612</c:v>
                </c:pt>
                <c:pt idx="28" formatCode="0.0000_ ">
                  <c:v>1195.8177800000001</c:v>
                </c:pt>
                <c:pt idx="29" formatCode="0.0000_ ">
                  <c:v>1204.4355499999999</c:v>
                </c:pt>
                <c:pt idx="30" formatCode="0.0000_ ">
                  <c:v>1212.3926899999999</c:v>
                </c:pt>
                <c:pt idx="31" formatCode="0.0000_ ">
                  <c:v>1219.73144</c:v>
                </c:pt>
                <c:pt idx="32" formatCode="0.0000_ ">
                  <c:v>1226.49271</c:v>
                </c:pt>
                <c:pt idx="33" formatCode="0.0000_ ">
                  <c:v>1232.71587</c:v>
                </c:pt>
                <c:pt idx="34" formatCode="0.0000_ ">
                  <c:v>1238.4386199999999</c:v>
                </c:pt>
                <c:pt idx="35" formatCode="0.0000_ ">
                  <c:v>1243.69686</c:v>
                </c:pt>
                <c:pt idx="36" formatCode="0.0000_ ">
                  <c:v>1248.5246299999999</c:v>
                </c:pt>
                <c:pt idx="37" formatCode="0.0000_ ">
                  <c:v>1252.9541099999999</c:v>
                </c:pt>
                <c:pt idx="38" formatCode="0.0000_ ">
                  <c:v>1257.0155500000001</c:v>
                </c:pt>
                <c:pt idx="39" formatCode="0.0000_ ">
                  <c:v>1260.7373500000001</c:v>
                </c:pt>
                <c:pt idx="40" formatCode="0.0000_ ">
                  <c:v>1264.1460999999999</c:v>
                </c:pt>
                <c:pt idx="41" formatCode="0.0000_ ">
                  <c:v>1267.26658</c:v>
                </c:pt>
                <c:pt idx="42" formatCode="0.0000_ ">
                  <c:v>1270.1219000000001</c:v>
                </c:pt>
                <c:pt idx="43" formatCode="0.0000_ ">
                  <c:v>1272.73351</c:v>
                </c:pt>
                <c:pt idx="44" formatCode="0.0000_ ">
                  <c:v>1275.12131</c:v>
                </c:pt>
                <c:pt idx="45" formatCode="0.0000_ ">
                  <c:v>1277.3037300000001</c:v>
                </c:pt>
                <c:pt idx="46" formatCode="0.0000_ ">
                  <c:v>1279.29782</c:v>
                </c:pt>
                <c:pt idx="47" formatCode="0.0000_ ">
                  <c:v>1281.1192900000001</c:v>
                </c:pt>
              </c:numCache>
            </c:numRef>
          </c:val>
          <c:smooth val="0"/>
        </c:ser>
        <c:dLbls>
          <c:showLegendKey val="0"/>
          <c:showVal val="0"/>
          <c:showCatName val="0"/>
          <c:showSerName val="0"/>
          <c:showPercent val="0"/>
          <c:showBubbleSize val="0"/>
        </c:dLbls>
        <c:marker val="1"/>
        <c:smooth val="0"/>
        <c:axId val="-809686608"/>
        <c:axId val="-809677904"/>
      </c:lineChart>
      <c:scatterChart>
        <c:scatterStyle val="lineMarker"/>
        <c:varyColors val="0"/>
        <c:ser>
          <c:idx val="0"/>
          <c:order val="0"/>
          <c:tx>
            <c:v>Data coal</c:v>
          </c:tx>
          <c:spPr>
            <a:ln w="25400" cap="rnd">
              <a:noFill/>
              <a:round/>
            </a:ln>
            <a:effectLst/>
          </c:spPr>
          <c:marker>
            <c:symbol val="circle"/>
            <c:size val="3"/>
            <c:spPr>
              <a:noFill/>
              <a:ln w="19050">
                <a:solidFill>
                  <a:srgbClr val="7030A0"/>
                </a:solidFill>
              </a:ln>
              <a:effectLst/>
            </c:spPr>
          </c:marker>
          <c:yVal>
            <c:numRef>
              <c:f>模拟作图!$C$8:$C$55</c:f>
              <c:numCache>
                <c:formatCode>0.000_ </c:formatCode>
                <c:ptCount val="48"/>
                <c:pt idx="0">
                  <c:v>907.91503197574423</c:v>
                </c:pt>
                <c:pt idx="1">
                  <c:v>922.51365856385758</c:v>
                </c:pt>
                <c:pt idx="2">
                  <c:v>879.51401814340682</c:v>
                </c:pt>
                <c:pt idx="3">
                  <c:v>829.25029893869544</c:v>
                </c:pt>
                <c:pt idx="4">
                  <c:v>727.90659436795761</c:v>
                </c:pt>
                <c:pt idx="5">
                  <c:v>591.666523952793</c:v>
                </c:pt>
                <c:pt idx="6">
                  <c:v>475.88329758056534</c:v>
                </c:pt>
                <c:pt idx="7">
                  <c:v>426.01479645925468</c:v>
                </c:pt>
                <c:pt idx="8">
                  <c:v>399.95188273292445</c:v>
                </c:pt>
                <c:pt idx="9">
                  <c:v>344.75359598036437</c:v>
                </c:pt>
                <c:pt idx="10">
                  <c:v>292.85378524457906</c:v>
                </c:pt>
                <c:pt idx="11">
                  <c:v>284.92005436706472</c:v>
                </c:pt>
                <c:pt idx="12">
                  <c:v>262.81438979396012</c:v>
                </c:pt>
                <c:pt idx="13">
                  <c:v>234.76176508609299</c:v>
                </c:pt>
                <c:pt idx="14">
                  <c:v>220.63216589227429</c:v>
                </c:pt>
              </c:numCache>
            </c:numRef>
          </c:yVal>
          <c:smooth val="0"/>
        </c:ser>
        <c:ser>
          <c:idx val="2"/>
          <c:order val="2"/>
          <c:tx>
            <c:v>Data oil</c:v>
          </c:tx>
          <c:spPr>
            <a:ln w="25400" cap="rnd">
              <a:noFill/>
              <a:round/>
            </a:ln>
            <a:effectLst/>
          </c:spPr>
          <c:marker>
            <c:symbol val="circle"/>
            <c:size val="3"/>
            <c:spPr>
              <a:noFill/>
              <a:ln w="19050">
                <a:solidFill>
                  <a:srgbClr val="3333FF"/>
                </a:solidFill>
              </a:ln>
              <a:effectLst/>
            </c:spPr>
          </c:marker>
          <c:yVal>
            <c:numRef>
              <c:f>模拟作图!$E$8:$E$55</c:f>
              <c:numCache>
                <c:formatCode>0.000_ </c:formatCode>
                <c:ptCount val="48"/>
                <c:pt idx="0">
                  <c:v>756.1801215313277</c:v>
                </c:pt>
                <c:pt idx="1">
                  <c:v>867.40477091432342</c:v>
                </c:pt>
                <c:pt idx="2">
                  <c:v>851.19010793353527</c:v>
                </c:pt>
                <c:pt idx="3">
                  <c:v>913.27308827880802</c:v>
                </c:pt>
                <c:pt idx="4">
                  <c:v>974.36543755732828</c:v>
                </c:pt>
                <c:pt idx="5">
                  <c:v>893.93686543812191</c:v>
                </c:pt>
                <c:pt idx="6">
                  <c:v>935.60501518182616</c:v>
                </c:pt>
                <c:pt idx="7">
                  <c:v>1020.4752537975251</c:v>
                </c:pt>
                <c:pt idx="8">
                  <c:v>1080.1842850794196</c:v>
                </c:pt>
                <c:pt idx="9">
                  <c:v>1116.1167086799496</c:v>
                </c:pt>
                <c:pt idx="10">
                  <c:v>1178.069816799401</c:v>
                </c:pt>
                <c:pt idx="11">
                  <c:v>1298.2599406657835</c:v>
                </c:pt>
                <c:pt idx="12">
                  <c:v>1448.6119521225501</c:v>
                </c:pt>
                <c:pt idx="13">
                  <c:v>1497.2203270987013</c:v>
                </c:pt>
                <c:pt idx="14">
                  <c:v>1560.9368768522743</c:v>
                </c:pt>
              </c:numCache>
            </c:numRef>
          </c:yVal>
          <c:smooth val="0"/>
        </c:ser>
        <c:ser>
          <c:idx val="4"/>
          <c:order val="4"/>
          <c:tx>
            <c:v>Data gas</c:v>
          </c:tx>
          <c:spPr>
            <a:ln w="25400" cap="rnd">
              <a:noFill/>
              <a:round/>
            </a:ln>
            <a:effectLst/>
          </c:spPr>
          <c:marker>
            <c:symbol val="circle"/>
            <c:size val="3"/>
            <c:spPr>
              <a:noFill/>
              <a:ln w="19050">
                <a:solidFill>
                  <a:schemeClr val="accent6"/>
                </a:solidFill>
              </a:ln>
              <a:effectLst/>
            </c:spPr>
          </c:marker>
          <c:yVal>
            <c:numRef>
              <c:f>模拟作图!$G$8:$G$55</c:f>
              <c:numCache>
                <c:formatCode>0.000_ </c:formatCode>
                <c:ptCount val="48"/>
                <c:pt idx="0">
                  <c:v>206.09106876137355</c:v>
                </c:pt>
                <c:pt idx="1">
                  <c:v>254.09578024686459</c:v>
                </c:pt>
                <c:pt idx="2">
                  <c:v>293.62712295508771</c:v>
                </c:pt>
                <c:pt idx="3">
                  <c:v>358.97322858902595</c:v>
                </c:pt>
                <c:pt idx="4">
                  <c:v>477.83950804709207</c:v>
                </c:pt>
                <c:pt idx="5">
                  <c:v>546.24776086389863</c:v>
                </c:pt>
                <c:pt idx="6">
                  <c:v>551.38126070757733</c:v>
                </c:pt>
                <c:pt idx="7">
                  <c:v>696.45628888867566</c:v>
                </c:pt>
                <c:pt idx="8">
                  <c:v>781.10419271688636</c:v>
                </c:pt>
                <c:pt idx="9">
                  <c:v>807.70101608826292</c:v>
                </c:pt>
                <c:pt idx="10">
                  <c:v>886.97282272956352</c:v>
                </c:pt>
                <c:pt idx="11">
                  <c:v>918.580106856871</c:v>
                </c:pt>
                <c:pt idx="12">
                  <c:v>920.24066831376774</c:v>
                </c:pt>
                <c:pt idx="13">
                  <c:v>936.87422767939506</c:v>
                </c:pt>
                <c:pt idx="14">
                  <c:v>999.58945138315516</c:v>
                </c:pt>
              </c:numCache>
            </c:numRef>
          </c:yVal>
          <c:smooth val="0"/>
        </c:ser>
        <c:ser>
          <c:idx val="6"/>
          <c:order val="6"/>
          <c:tx>
            <c:v>Data electric</c:v>
          </c:tx>
          <c:spPr>
            <a:ln w="25400" cap="rnd">
              <a:noFill/>
              <a:round/>
            </a:ln>
            <a:effectLst/>
          </c:spPr>
          <c:marker>
            <c:symbol val="circle"/>
            <c:size val="3"/>
            <c:spPr>
              <a:noFill/>
              <a:ln w="19050">
                <a:solidFill>
                  <a:srgbClr val="FF0000"/>
                </a:solidFill>
              </a:ln>
              <a:effectLst/>
            </c:spPr>
          </c:marker>
          <c:yVal>
            <c:numRef>
              <c:f>模拟作图!$J$8:$J$22</c:f>
              <c:numCache>
                <c:formatCode>0.000_ </c:formatCode>
                <c:ptCount val="15"/>
                <c:pt idx="0">
                  <c:v>541.50653731100738</c:v>
                </c:pt>
                <c:pt idx="1">
                  <c:v>593.15562256440307</c:v>
                </c:pt>
                <c:pt idx="2">
                  <c:v>712.51383460083753</c:v>
                </c:pt>
                <c:pt idx="3">
                  <c:v>761.331820578666</c:v>
                </c:pt>
                <c:pt idx="4">
                  <c:v>856.99796162516827</c:v>
                </c:pt>
                <c:pt idx="5">
                  <c:v>883.30382818630324</c:v>
                </c:pt>
                <c:pt idx="6">
                  <c:v>944.04619367658927</c:v>
                </c:pt>
                <c:pt idx="7">
                  <c:v>981.53610043768947</c:v>
                </c:pt>
                <c:pt idx="8">
                  <c:v>1014.7373969288186</c:v>
                </c:pt>
                <c:pt idx="9">
                  <c:v>1094.9725714192905</c:v>
                </c:pt>
                <c:pt idx="10">
                  <c:v>1166.4768024433736</c:v>
                </c:pt>
                <c:pt idx="11">
                  <c:v>1159.1475547875384</c:v>
                </c:pt>
                <c:pt idx="12">
                  <c:v>1147.0646520335824</c:v>
                </c:pt>
                <c:pt idx="13">
                  <c:v>1223.1876515913707</c:v>
                </c:pt>
                <c:pt idx="14">
                  <c:v>1284.7316687382518</c:v>
                </c:pt>
              </c:numCache>
            </c:numRef>
          </c:yVal>
          <c:smooth val="0"/>
        </c:ser>
        <c:ser>
          <c:idx val="8"/>
          <c:order val="8"/>
          <c:tx>
            <c:v>Data other</c:v>
          </c:tx>
          <c:spPr>
            <a:ln w="25400" cap="rnd">
              <a:noFill/>
              <a:round/>
            </a:ln>
            <a:effectLst/>
          </c:spPr>
          <c:marker>
            <c:symbol val="circle"/>
            <c:size val="3"/>
            <c:spPr>
              <a:noFill/>
              <a:ln w="19050">
                <a:solidFill>
                  <a:schemeClr val="accent4">
                    <a:lumMod val="50000"/>
                  </a:schemeClr>
                </a:solidFill>
              </a:ln>
              <a:effectLst/>
            </c:spPr>
          </c:marker>
          <c:yVal>
            <c:numRef>
              <c:f>模拟作图!$L$8:$L$55</c:f>
              <c:numCache>
                <c:formatCode>0.000_ </c:formatCode>
                <c:ptCount val="48"/>
                <c:pt idx="0">
                  <c:v>507.05050657010122</c:v>
                </c:pt>
                <c:pt idx="1">
                  <c:v>594.95076390496934</c:v>
                </c:pt>
                <c:pt idx="2">
                  <c:v>721.10386652357101</c:v>
                </c:pt>
                <c:pt idx="3">
                  <c:v>750.0841423713764</c:v>
                </c:pt>
                <c:pt idx="4">
                  <c:v>728.35397539643816</c:v>
                </c:pt>
                <c:pt idx="5">
                  <c:v>766.79637267427336</c:v>
                </c:pt>
                <c:pt idx="6">
                  <c:v>792.22602736044428</c:v>
                </c:pt>
                <c:pt idx="7">
                  <c:v>783.23319805490894</c:v>
                </c:pt>
                <c:pt idx="8">
                  <c:v>789.74494954464717</c:v>
                </c:pt>
                <c:pt idx="9">
                  <c:v>847.2830679111795</c:v>
                </c:pt>
                <c:pt idx="10">
                  <c:v>872.5698957430692</c:v>
                </c:pt>
                <c:pt idx="11">
                  <c:v>907.50908958118976</c:v>
                </c:pt>
                <c:pt idx="12">
                  <c:v>946.92747295497429</c:v>
                </c:pt>
                <c:pt idx="13">
                  <c:v>951.44580846675137</c:v>
                </c:pt>
                <c:pt idx="14">
                  <c:v>990.18808000535614</c:v>
                </c:pt>
              </c:numCache>
            </c:numRef>
          </c:yVal>
          <c:smooth val="0"/>
        </c:ser>
        <c:dLbls>
          <c:showLegendKey val="0"/>
          <c:showVal val="0"/>
          <c:showCatName val="0"/>
          <c:showSerName val="0"/>
          <c:showPercent val="0"/>
          <c:showBubbleSize val="0"/>
        </c:dLbls>
        <c:axId val="-809686608"/>
        <c:axId val="-809677904"/>
      </c:scatterChart>
      <c:catAx>
        <c:axId val="-809686608"/>
        <c:scaling>
          <c:orientation val="minMax"/>
        </c:scaling>
        <c:delete val="0"/>
        <c:axPos val="b"/>
        <c:numFmt formatCode="General" sourceLinked="1"/>
        <c:majorTickMark val="none"/>
        <c:minorTickMark val="none"/>
        <c:tickLblPos val="nextTo"/>
        <c:spPr>
          <a:noFill/>
          <a:ln w="9525" cap="flat" cmpd="sng" algn="ctr">
            <a:solidFill>
              <a:srgbClr val="0070C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809677904"/>
        <c:crosses val="autoZero"/>
        <c:auto val="1"/>
        <c:lblAlgn val="ctr"/>
        <c:lblOffset val="100"/>
        <c:tickLblSkip val="3"/>
        <c:tickMarkSkip val="1"/>
        <c:noMultiLvlLbl val="0"/>
      </c:catAx>
      <c:valAx>
        <c:axId val="-809677904"/>
        <c:scaling>
          <c:orientation val="minMax"/>
        </c:scaling>
        <c:delete val="0"/>
        <c:axPos val="l"/>
        <c:majorGridlines>
          <c:spPr>
            <a:ln w="9525" cap="flat" cmpd="sng" algn="ctr">
              <a:noFill/>
              <a:round/>
            </a:ln>
            <a:effectLst/>
          </c:spPr>
        </c:majorGridlines>
        <c:numFmt formatCode="0_ " sourceLinked="0"/>
        <c:majorTickMark val="none"/>
        <c:minorTickMark val="none"/>
        <c:tickLblPos val="nextTo"/>
        <c:spPr>
          <a:noFill/>
          <a:ln>
            <a:solidFill>
              <a:srgbClr val="0070C0"/>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809686608"/>
        <c:crosses val="autoZero"/>
        <c:crossBetween val="between"/>
      </c:valAx>
      <c:spPr>
        <a:noFill/>
        <a:ln>
          <a:noFill/>
        </a:ln>
        <a:effectLst/>
      </c:spPr>
    </c:plotArea>
    <c:legend>
      <c:legendPos val="b"/>
      <c:layout>
        <c:manualLayout>
          <c:xMode val="edge"/>
          <c:yMode val="edge"/>
          <c:x val="1.9767704211546156E-2"/>
          <c:y val="0.91011105000094805"/>
          <c:w val="0.96046459157690767"/>
          <c:h val="8.695813849715068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900" b="1"/>
              <a:t>B</a:t>
            </a:r>
            <a:r>
              <a:rPr lang="en-US" sz="900"/>
              <a:t>    Energy consumption per standardized household in rural</a:t>
            </a:r>
            <a:endParaRPr lang="zh-CN" sz="900"/>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8.2845718207689725E-2"/>
          <c:y val="4.8070241219847529E-2"/>
          <c:w val="0.89019359878353754"/>
          <c:h val="0.7240391826021747"/>
        </c:manualLayout>
      </c:layout>
      <c:lineChart>
        <c:grouping val="standard"/>
        <c:varyColors val="0"/>
        <c:ser>
          <c:idx val="1"/>
          <c:order val="1"/>
          <c:tx>
            <c:v>Model coal</c:v>
          </c:tx>
          <c:spPr>
            <a:ln w="19050" cap="rnd">
              <a:solidFill>
                <a:srgbClr val="7030A0"/>
              </a:solidFill>
              <a:round/>
            </a:ln>
            <a:effectLst/>
          </c:spPr>
          <c:marker>
            <c:symbol val="none"/>
          </c:marker>
          <c:cat>
            <c:numRef>
              <c:f>模拟作图!$A$8:$A$55</c:f>
              <c:numCache>
                <c:formatCode>General</c:formatCode>
                <c:ptCount val="48"/>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pt idx="22">
                  <c:v>2025</c:v>
                </c:pt>
                <c:pt idx="23">
                  <c:v>2026</c:v>
                </c:pt>
                <c:pt idx="24">
                  <c:v>2027</c:v>
                </c:pt>
                <c:pt idx="25">
                  <c:v>2028</c:v>
                </c:pt>
                <c:pt idx="26">
                  <c:v>2029</c:v>
                </c:pt>
                <c:pt idx="27">
                  <c:v>2030</c:v>
                </c:pt>
                <c:pt idx="28">
                  <c:v>2031</c:v>
                </c:pt>
                <c:pt idx="29">
                  <c:v>2032</c:v>
                </c:pt>
                <c:pt idx="30">
                  <c:v>2033</c:v>
                </c:pt>
                <c:pt idx="31">
                  <c:v>2034</c:v>
                </c:pt>
                <c:pt idx="32">
                  <c:v>2035</c:v>
                </c:pt>
                <c:pt idx="33">
                  <c:v>2036</c:v>
                </c:pt>
                <c:pt idx="34">
                  <c:v>2037</c:v>
                </c:pt>
                <c:pt idx="35">
                  <c:v>2038</c:v>
                </c:pt>
                <c:pt idx="36">
                  <c:v>2039</c:v>
                </c:pt>
                <c:pt idx="37">
                  <c:v>2040</c:v>
                </c:pt>
                <c:pt idx="38">
                  <c:v>2041</c:v>
                </c:pt>
                <c:pt idx="39">
                  <c:v>2042</c:v>
                </c:pt>
                <c:pt idx="40">
                  <c:v>2043</c:v>
                </c:pt>
                <c:pt idx="41">
                  <c:v>2044</c:v>
                </c:pt>
                <c:pt idx="42">
                  <c:v>2045</c:v>
                </c:pt>
                <c:pt idx="43">
                  <c:v>2046</c:v>
                </c:pt>
                <c:pt idx="44">
                  <c:v>2047</c:v>
                </c:pt>
                <c:pt idx="45">
                  <c:v>2048</c:v>
                </c:pt>
                <c:pt idx="46">
                  <c:v>2049</c:v>
                </c:pt>
                <c:pt idx="47">
                  <c:v>2050</c:v>
                </c:pt>
              </c:numCache>
            </c:numRef>
          </c:cat>
          <c:val>
            <c:numRef>
              <c:f>模拟作图!$Q$8:$Q$55</c:f>
              <c:numCache>
                <c:formatCode>0.000_ </c:formatCode>
                <c:ptCount val="48"/>
                <c:pt idx="0">
                  <c:v>1558.4974803417861</c:v>
                </c:pt>
                <c:pt idx="1">
                  <c:v>1632.5190113817898</c:v>
                </c:pt>
                <c:pt idx="2">
                  <c:v>1710.1409995986396</c:v>
                </c:pt>
                <c:pt idx="3">
                  <c:v>1791.5430866129191</c:v>
                </c:pt>
                <c:pt idx="4">
                  <c:v>1876.914123096728</c:v>
                </c:pt>
                <c:pt idx="5">
                  <c:v>1966.452654604785</c:v>
                </c:pt>
                <c:pt idx="6">
                  <c:v>2060.3674338237543</c:v>
                </c:pt>
                <c:pt idx="7">
                  <c:v>2158.8779607227498</c:v>
                </c:pt>
                <c:pt idx="8">
                  <c:v>2262.2150521739936</c:v>
                </c:pt>
                <c:pt idx="9">
                  <c:v>2344.7717516875791</c:v>
                </c:pt>
                <c:pt idx="10">
                  <c:v>2423.6601077794439</c:v>
                </c:pt>
                <c:pt idx="11">
                  <c:v>2457.448623718205</c:v>
                </c:pt>
                <c:pt idx="12">
                  <c:v>2491.2371396569661</c:v>
                </c:pt>
                <c:pt idx="13">
                  <c:v>2533.9440620510854</c:v>
                </c:pt>
                <c:pt idx="14">
                  <c:v>2568.3333028932075</c:v>
                </c:pt>
                <c:pt idx="15" formatCode="0.00_ ">
                  <c:v>2496.8268568007634</c:v>
                </c:pt>
                <c:pt idx="16" formatCode="0.00_ ">
                  <c:v>2427.3112628407162</c:v>
                </c:pt>
                <c:pt idx="17" formatCode="0.00_ ">
                  <c:v>2361.8542033712624</c:v>
                </c:pt>
                <c:pt idx="18" formatCode="0.00_ ">
                  <c:v>2300.3395337659863</c:v>
                </c:pt>
                <c:pt idx="19" formatCode="0.00_ ">
                  <c:v>2242.6487314350761</c:v>
                </c:pt>
                <c:pt idx="20" formatCode="0.00_ ">
                  <c:v>2188.6602693217674</c:v>
                </c:pt>
                <c:pt idx="21" formatCode="0.00_ ">
                  <c:v>2138.2488638201239</c:v>
                </c:pt>
                <c:pt idx="22" formatCode="0.00_ ">
                  <c:v>2091.2855505537718</c:v>
                </c:pt>
                <c:pt idx="23" formatCode="0.00_ ">
                  <c:v>2047.6371181408676</c:v>
                </c:pt>
                <c:pt idx="24" formatCode="0.00_ ">
                  <c:v>2007.1661548175102</c:v>
                </c:pt>
                <c:pt idx="25" formatCode="0.00_ ">
                  <c:v>1969.7317309292589</c:v>
                </c:pt>
                <c:pt idx="26" formatCode="0.00_ ">
                  <c:v>1935.1894359253745</c:v>
                </c:pt>
                <c:pt idx="27" formatCode="0.00_ ">
                  <c:v>1903.3923034917534</c:v>
                </c:pt>
                <c:pt idx="28" formatCode="0.00_ ">
                  <c:v>1874.1915556572831</c:v>
                </c:pt>
                <c:pt idx="29" formatCode="0.00_ ">
                  <c:v>1847.4374268047516</c:v>
                </c:pt>
                <c:pt idx="30" formatCode="0.00_ ">
                  <c:v>1822.9805487409074</c:v>
                </c:pt>
                <c:pt idx="31" formatCode="0.00_ ">
                  <c:v>1800.672645056289</c:v>
                </c:pt>
                <c:pt idx="32" formatCode="0.00_ ">
                  <c:v>1780.3678487841837</c:v>
                </c:pt>
                <c:pt idx="33" formatCode="0.00_ ">
                  <c:v>1761.9235604669448</c:v>
                </c:pt>
                <c:pt idx="34" formatCode="0.00_ ">
                  <c:v>1745.2013907571288</c:v>
                </c:pt>
                <c:pt idx="35" formatCode="0.00_ ">
                  <c:v>1730.0680001888304</c:v>
                </c:pt>
                <c:pt idx="36" formatCode="0.00_ ">
                  <c:v>1716.3957013206261</c:v>
                </c:pt>
                <c:pt idx="37" formatCode="0.00_ ">
                  <c:v>1704.0631700146819</c:v>
                </c:pt>
                <c:pt idx="38" formatCode="0.00_ ">
                  <c:v>1692.9555026009607</c:v>
                </c:pt>
                <c:pt idx="39" formatCode="0.00_ ">
                  <c:v>1682.9648435284112</c:v>
                </c:pt>
                <c:pt idx="40" formatCode="0.00_ ">
                  <c:v>1673.9902407252321</c:v>
                </c:pt>
                <c:pt idx="41" formatCode="0.00_ ">
                  <c:v>1665.9377372976217</c:v>
                </c:pt>
                <c:pt idx="42" formatCode="0.00_ ">
                  <c:v>1658.7202993631913</c:v>
                </c:pt>
                <c:pt idx="43" formatCode="0.00_ ">
                  <c:v>1652.2576701251799</c:v>
                </c:pt>
                <c:pt idx="44" formatCode="0.00_ ">
                  <c:v>1646.4760110717521</c:v>
                </c:pt>
                <c:pt idx="45" formatCode="0.00_ ">
                  <c:v>1641.3077920057603</c:v>
                </c:pt>
                <c:pt idx="46" formatCode="0.00_ ">
                  <c:v>1636.6912646942972</c:v>
                </c:pt>
                <c:pt idx="47" formatCode="0.00_ ">
                  <c:v>1632.5702777942015</c:v>
                </c:pt>
              </c:numCache>
            </c:numRef>
          </c:val>
          <c:smooth val="0"/>
        </c:ser>
        <c:ser>
          <c:idx val="3"/>
          <c:order val="3"/>
          <c:tx>
            <c:v>Model oil</c:v>
          </c:tx>
          <c:spPr>
            <a:ln w="19050" cap="rnd">
              <a:solidFill>
                <a:srgbClr val="3333FF"/>
              </a:solidFill>
              <a:round/>
            </a:ln>
            <a:effectLst/>
          </c:spPr>
          <c:marker>
            <c:symbol val="none"/>
          </c:marker>
          <c:val>
            <c:numRef>
              <c:f>模拟作图!$S$8:$S$55</c:f>
              <c:numCache>
                <c:formatCode>0.000_ </c:formatCode>
                <c:ptCount val="48"/>
                <c:pt idx="0">
                  <c:v>126.43079</c:v>
                </c:pt>
                <c:pt idx="1">
                  <c:v>151.18897999999999</c:v>
                </c:pt>
                <c:pt idx="2">
                  <c:v>180.32876999999999</c:v>
                </c:pt>
                <c:pt idx="3">
                  <c:v>214.43349000000001</c:v>
                </c:pt>
                <c:pt idx="4">
                  <c:v>254.08761999999999</c:v>
                </c:pt>
                <c:pt idx="5">
                  <c:v>299.84339</c:v>
                </c:pt>
                <c:pt idx="6">
                  <c:v>352.17673000000002</c:v>
                </c:pt>
                <c:pt idx="7">
                  <c:v>411.43369999999999</c:v>
                </c:pt>
                <c:pt idx="8">
                  <c:v>477.77033999999998</c:v>
                </c:pt>
                <c:pt idx="9">
                  <c:v>551.09217000000001</c:v>
                </c:pt>
                <c:pt idx="10">
                  <c:v>631.00205000000005</c:v>
                </c:pt>
                <c:pt idx="11">
                  <c:v>716.76697000000001</c:v>
                </c:pt>
                <c:pt idx="12">
                  <c:v>807.31464000000005</c:v>
                </c:pt>
                <c:pt idx="13">
                  <c:v>901.26714000000004</c:v>
                </c:pt>
                <c:pt idx="14">
                  <c:v>997.01345000000003</c:v>
                </c:pt>
                <c:pt idx="15" formatCode="0.00_ ">
                  <c:v>1092.8145500000001</c:v>
                </c:pt>
                <c:pt idx="16" formatCode="0.00_ ">
                  <c:v>1186.9274499999999</c:v>
                </c:pt>
                <c:pt idx="17" formatCode="0.00_ ">
                  <c:v>1277.72984</c:v>
                </c:pt>
                <c:pt idx="18" formatCode="0.00_ ">
                  <c:v>1363.8268</c:v>
                </c:pt>
                <c:pt idx="19" formatCode="0.00_ ">
                  <c:v>1444.12564</c:v>
                </c:pt>
                <c:pt idx="20" formatCode="0.00_ ">
                  <c:v>1517.87202</c:v>
                </c:pt>
                <c:pt idx="21" formatCode="0.00_ ">
                  <c:v>1584.64861</c:v>
                </c:pt>
                <c:pt idx="22" formatCode="0.00_ ">
                  <c:v>1644.34349</c:v>
                </c:pt>
                <c:pt idx="23" formatCode="0.00_ ">
                  <c:v>1697.09888</c:v>
                </c:pt>
                <c:pt idx="24" formatCode="0.00_ ">
                  <c:v>1743.2507900000001</c:v>
                </c:pt>
                <c:pt idx="25" formatCode="0.00_ ">
                  <c:v>1783.26874</c:v>
                </c:pt>
                <c:pt idx="26" formatCode="0.00_ ">
                  <c:v>1817.7016000000001</c:v>
                </c:pt>
                <c:pt idx="27" formatCode="0.00_ ">
                  <c:v>1847.13293</c:v>
                </c:pt>
                <c:pt idx="28" formatCode="0.00_ ">
                  <c:v>1872.1469099999999</c:v>
                </c:pt>
                <c:pt idx="29" formatCode="0.00_ ">
                  <c:v>1893.30422</c:v>
                </c:pt>
                <c:pt idx="30" formatCode="0.00_ ">
                  <c:v>1911.1266000000001</c:v>
                </c:pt>
                <c:pt idx="31" formatCode="0.00_ ">
                  <c:v>1926.08816</c:v>
                </c:pt>
                <c:pt idx="32" formatCode="0.00_ ">
                  <c:v>1938.6118899999999</c:v>
                </c:pt>
                <c:pt idx="33" formatCode="0.00_ ">
                  <c:v>1949.0697</c:v>
                </c:pt>
                <c:pt idx="34" formatCode="0.00_ ">
                  <c:v>1957.78475</c:v>
                </c:pt>
                <c:pt idx="35" formatCode="0.00_ ">
                  <c:v>1965.0352600000001</c:v>
                </c:pt>
                <c:pt idx="36" formatCode="0.00_ ">
                  <c:v>1971.0589</c:v>
                </c:pt>
                <c:pt idx="37" formatCode="0.00_ ">
                  <c:v>1976.05744</c:v>
                </c:pt>
                <c:pt idx="38" formatCode="0.00_ ">
                  <c:v>1980.2013400000001</c:v>
                </c:pt>
                <c:pt idx="39" formatCode="0.00_ ">
                  <c:v>1983.6339599999999</c:v>
                </c:pt>
                <c:pt idx="40" formatCode="0.00_ ">
                  <c:v>1986.47552</c:v>
                </c:pt>
                <c:pt idx="41" formatCode="0.00_ ">
                  <c:v>1988.8264799999999</c:v>
                </c:pt>
                <c:pt idx="42" formatCode="0.00_ ">
                  <c:v>1990.7706800000001</c:v>
                </c:pt>
                <c:pt idx="43" formatCode="0.00_ ">
                  <c:v>1992.37788</c:v>
                </c:pt>
                <c:pt idx="44" formatCode="0.00_ ">
                  <c:v>1993.7060899999999</c:v>
                </c:pt>
                <c:pt idx="45" formatCode="0.00_ ">
                  <c:v>1994.8034500000001</c:v>
                </c:pt>
                <c:pt idx="46" formatCode="0.00_ ">
                  <c:v>1995.7098900000001</c:v>
                </c:pt>
                <c:pt idx="47" formatCode="0.00_ ">
                  <c:v>1996.4585099999999</c:v>
                </c:pt>
              </c:numCache>
            </c:numRef>
          </c:val>
          <c:smooth val="0"/>
        </c:ser>
        <c:ser>
          <c:idx val="5"/>
          <c:order val="5"/>
          <c:tx>
            <c:v>Moel gas</c:v>
          </c:tx>
          <c:spPr>
            <a:ln w="19050" cap="rnd">
              <a:solidFill>
                <a:schemeClr val="accent6"/>
              </a:solidFill>
              <a:round/>
            </a:ln>
            <a:effectLst/>
          </c:spPr>
          <c:marker>
            <c:symbol val="none"/>
          </c:marker>
          <c:val>
            <c:numRef>
              <c:f>模拟作图!$U$8:$U$55</c:f>
              <c:numCache>
                <c:formatCode>0.000_ </c:formatCode>
                <c:ptCount val="48"/>
                <c:pt idx="0">
                  <c:v>1.03094</c:v>
                </c:pt>
                <c:pt idx="1">
                  <c:v>1.22329</c:v>
                </c:pt>
                <c:pt idx="2">
                  <c:v>1.45136</c:v>
                </c:pt>
                <c:pt idx="3">
                  <c:v>1.7216899999999999</c:v>
                </c:pt>
                <c:pt idx="4">
                  <c:v>2.0420400000000001</c:v>
                </c:pt>
                <c:pt idx="5">
                  <c:v>2.4215100000000001</c:v>
                </c:pt>
                <c:pt idx="6">
                  <c:v>2.8708100000000001</c:v>
                </c:pt>
                <c:pt idx="7">
                  <c:v>3.4025300000000001</c:v>
                </c:pt>
                <c:pt idx="8">
                  <c:v>4.0313999999999997</c:v>
                </c:pt>
                <c:pt idx="9">
                  <c:v>4.7746199999999996</c:v>
                </c:pt>
                <c:pt idx="10">
                  <c:v>5.6522399999999999</c:v>
                </c:pt>
                <c:pt idx="11">
                  <c:v>6.6875299999999998</c:v>
                </c:pt>
                <c:pt idx="12">
                  <c:v>7.9073500000000001</c:v>
                </c:pt>
                <c:pt idx="13">
                  <c:v>9.3425799999999999</c:v>
                </c:pt>
                <c:pt idx="14" formatCode="0.00_ ">
                  <c:v>11.02848</c:v>
                </c:pt>
                <c:pt idx="15" formatCode="0.00_ ">
                  <c:v>13.004989999999999</c:v>
                </c:pt>
                <c:pt idx="16" formatCode="0.00_ ">
                  <c:v>15.31695</c:v>
                </c:pt>
                <c:pt idx="17" formatCode="0.00_ ">
                  <c:v>18.014119999999998</c:v>
                </c:pt>
                <c:pt idx="18" formatCode="0.00_ ">
                  <c:v>21.150960000000001</c:v>
                </c:pt>
                <c:pt idx="19" formatCode="0.00_ ">
                  <c:v>24.786000000000001</c:v>
                </c:pt>
                <c:pt idx="20" formatCode="0.00_ ">
                  <c:v>28.98085</c:v>
                </c:pt>
                <c:pt idx="21" formatCode="0.00_ ">
                  <c:v>33.798450000000003</c:v>
                </c:pt>
                <c:pt idx="22" formatCode="0.00_ ">
                  <c:v>39.30077</c:v>
                </c:pt>
                <c:pt idx="23" formatCode="0.00_ ">
                  <c:v>45.5456</c:v>
                </c:pt>
                <c:pt idx="24" formatCode="0.00_ ">
                  <c:v>52.582569999999997</c:v>
                </c:pt>
                <c:pt idx="25" formatCode="0.00_ ">
                  <c:v>60.448500000000003</c:v>
                </c:pt>
                <c:pt idx="26" formatCode="0.00_ ">
                  <c:v>69.162189999999995</c:v>
                </c:pt>
                <c:pt idx="27" formatCode="0.00_ ">
                  <c:v>78.719189999999998</c:v>
                </c:pt>
                <c:pt idx="28" formatCode="0.00_ ">
                  <c:v>89.087149999999994</c:v>
                </c:pt>
                <c:pt idx="29" formatCode="0.00_ ">
                  <c:v>100.20229</c:v>
                </c:pt>
                <c:pt idx="30" formatCode="0.00_ ">
                  <c:v>111.96801000000001</c:v>
                </c:pt>
                <c:pt idx="31" formatCode="0.00_ ">
                  <c:v>124.25608</c:v>
                </c:pt>
                <c:pt idx="32" formatCode="0.00_ ">
                  <c:v>136.91078999999999</c:v>
                </c:pt>
                <c:pt idx="33" formatCode="0.00_ ">
                  <c:v>149.75608</c:v>
                </c:pt>
                <c:pt idx="34" formatCode="0.00_ ">
                  <c:v>162.60495</c:v>
                </c:pt>
                <c:pt idx="35" formatCode="0.00_ ">
                  <c:v>175.27019000000001</c:v>
                </c:pt>
                <c:pt idx="36" formatCode="0.00_ ">
                  <c:v>187.57514</c:v>
                </c:pt>
                <c:pt idx="37" formatCode="0.00_ ">
                  <c:v>199.36317</c:v>
                </c:pt>
                <c:pt idx="38" formatCode="0.00_ ">
                  <c:v>210.50492</c:v>
                </c:pt>
                <c:pt idx="39" formatCode="0.00_ ">
                  <c:v>220.90254999999999</c:v>
                </c:pt>
                <c:pt idx="40" formatCode="0.00_ ">
                  <c:v>230.49105</c:v>
                </c:pt>
                <c:pt idx="41" formatCode="0.00_ ">
                  <c:v>239.23692</c:v>
                </c:pt>
                <c:pt idx="42" formatCode="0.00_ ">
                  <c:v>247.13475</c:v>
                </c:pt>
                <c:pt idx="43" formatCode="0.00_ ">
                  <c:v>254.20256000000001</c:v>
                </c:pt>
                <c:pt idx="44" formatCode="0.00_ ">
                  <c:v>260.47654999999997</c:v>
                </c:pt>
                <c:pt idx="45" formatCode="0.00_ ">
                  <c:v>266.00598000000002</c:v>
                </c:pt>
                <c:pt idx="46" formatCode="0.00_ ">
                  <c:v>270.84841</c:v>
                </c:pt>
                <c:pt idx="47" formatCode="General">
                  <c:v>274.69083999999998</c:v>
                </c:pt>
              </c:numCache>
            </c:numRef>
          </c:val>
          <c:smooth val="0"/>
        </c:ser>
        <c:ser>
          <c:idx val="7"/>
          <c:order val="7"/>
          <c:tx>
            <c:v>Model electric</c:v>
          </c:tx>
          <c:spPr>
            <a:ln w="19050" cap="rnd">
              <a:solidFill>
                <a:srgbClr val="FF0000"/>
              </a:solidFill>
              <a:round/>
            </a:ln>
            <a:effectLst/>
          </c:spPr>
          <c:marker>
            <c:symbol val="none"/>
          </c:marker>
          <c:val>
            <c:numRef>
              <c:f>模拟作图!$W$8:$W$55</c:f>
              <c:numCache>
                <c:formatCode>0.000_ </c:formatCode>
                <c:ptCount val="48"/>
                <c:pt idx="0">
                  <c:v>244.89089000000001</c:v>
                </c:pt>
                <c:pt idx="1">
                  <c:v>291.58711</c:v>
                </c:pt>
                <c:pt idx="2">
                  <c:v>345.822</c:v>
                </c:pt>
                <c:pt idx="3">
                  <c:v>408.27958000000001</c:v>
                </c:pt>
                <c:pt idx="4">
                  <c:v>479.50646</c:v>
                </c:pt>
                <c:pt idx="5">
                  <c:v>559.83360000000005</c:v>
                </c:pt>
                <c:pt idx="6">
                  <c:v>649.29290000000003</c:v>
                </c:pt>
                <c:pt idx="7">
                  <c:v>747.53954999999996</c:v>
                </c:pt>
                <c:pt idx="8">
                  <c:v>853.79402000000005</c:v>
                </c:pt>
                <c:pt idx="9">
                  <c:v>966.81922999999995</c:v>
                </c:pt>
                <c:pt idx="10">
                  <c:v>1084.9457</c:v>
                </c:pt>
                <c:pt idx="11">
                  <c:v>1206.1506999999999</c:v>
                </c:pt>
                <c:pt idx="12">
                  <c:v>1328.1869300000001</c:v>
                </c:pt>
                <c:pt idx="13">
                  <c:v>1448.74496</c:v>
                </c:pt>
                <c:pt idx="14">
                  <c:v>1565.6253899999999</c:v>
                </c:pt>
                <c:pt idx="15" formatCode="0.00_ ">
                  <c:v>1676.8939600000001</c:v>
                </c:pt>
                <c:pt idx="16" formatCode="0.00_ ">
                  <c:v>1780.9973600000001</c:v>
                </c:pt>
                <c:pt idx="17" formatCode="0.00_ ">
                  <c:v>1876.82717</c:v>
                </c:pt>
                <c:pt idx="18" formatCode="0.00_ ">
                  <c:v>1963.73047</c:v>
                </c:pt>
                <c:pt idx="19" formatCode="0.00_ ">
                  <c:v>2041.4756</c:v>
                </c:pt>
                <c:pt idx="20" formatCode="0.00_ ">
                  <c:v>2110.1870699999999</c:v>
                </c:pt>
                <c:pt idx="21" formatCode="0.00_ ">
                  <c:v>2170.2649900000001</c:v>
                </c:pt>
                <c:pt idx="22" formatCode="0.00_ ">
                  <c:v>2222.3022099999998</c:v>
                </c:pt>
                <c:pt idx="23" formatCode="0.00_ ">
                  <c:v>2267.0087899999999</c:v>
                </c:pt>
                <c:pt idx="24" formatCode="0.00_ ">
                  <c:v>2305.14912</c:v>
                </c:pt>
                <c:pt idx="25" formatCode="0.00_ ">
                  <c:v>2337.4934899999998</c:v>
                </c:pt>
                <c:pt idx="26" formatCode="0.00_ ">
                  <c:v>2364.78377</c:v>
                </c:pt>
                <c:pt idx="27" formatCode="0.00_ ">
                  <c:v>2387.71126</c:v>
                </c:pt>
                <c:pt idx="28" formatCode="0.00_ ">
                  <c:v>2406.9041699999998</c:v>
                </c:pt>
                <c:pt idx="29" formatCode="0.00_ ">
                  <c:v>2422.9224399999998</c:v>
                </c:pt>
                <c:pt idx="30" formatCode="0.00_ ">
                  <c:v>2436.25756</c:v>
                </c:pt>
                <c:pt idx="31" formatCode="0.00_ ">
                  <c:v>2447.33574</c:v>
                </c:pt>
                <c:pt idx="32" formatCode="0.00_ ">
                  <c:v>2456.5229300000001</c:v>
                </c:pt>
                <c:pt idx="33" formatCode="0.00_ ">
                  <c:v>2464.1309200000001</c:v>
                </c:pt>
                <c:pt idx="34" formatCode="0.00_ ">
                  <c:v>2470.42362</c:v>
                </c:pt>
                <c:pt idx="35" formatCode="0.00_ ">
                  <c:v>2475.62329</c:v>
                </c:pt>
                <c:pt idx="36" formatCode="0.00_ ">
                  <c:v>2479.91626</c:v>
                </c:pt>
                <c:pt idx="37" formatCode="0.00_ ">
                  <c:v>2483.4582500000001</c:v>
                </c:pt>
                <c:pt idx="38" formatCode="0.00_ ">
                  <c:v>2486.3789999999999</c:v>
                </c:pt>
                <c:pt idx="39" formatCode="0.00_ ">
                  <c:v>2488.7863699999998</c:v>
                </c:pt>
                <c:pt idx="40" formatCode="0.00_ ">
                  <c:v>2490.7698399999999</c:v>
                </c:pt>
                <c:pt idx="41" formatCode="0.00_ ">
                  <c:v>2492.4035399999998</c:v>
                </c:pt>
                <c:pt idx="42" formatCode="0.00_ ">
                  <c:v>2493.74881</c:v>
                </c:pt>
                <c:pt idx="43" formatCode="0.00_ ">
                  <c:v>2494.8563399999998</c:v>
                </c:pt>
                <c:pt idx="44" formatCode="0.00_ ">
                  <c:v>2495.7679800000001</c:v>
                </c:pt>
                <c:pt idx="45" formatCode="0.00_ ">
                  <c:v>2496.51827</c:v>
                </c:pt>
                <c:pt idx="46" formatCode="0.00_ ">
                  <c:v>2497.1356900000001</c:v>
                </c:pt>
                <c:pt idx="47" formatCode="0.00_ ">
                  <c:v>2497.6437299999998</c:v>
                </c:pt>
              </c:numCache>
            </c:numRef>
          </c:val>
          <c:smooth val="0"/>
        </c:ser>
        <c:ser>
          <c:idx val="9"/>
          <c:order val="9"/>
          <c:tx>
            <c:v>Model other</c:v>
          </c:tx>
          <c:spPr>
            <a:ln w="19050" cap="rnd">
              <a:solidFill>
                <a:schemeClr val="accent4">
                  <a:lumMod val="60000"/>
                </a:schemeClr>
              </a:solidFill>
              <a:round/>
            </a:ln>
            <a:effectLst/>
          </c:spPr>
          <c:marker>
            <c:symbol val="none"/>
          </c:marker>
          <c:val>
            <c:numRef>
              <c:f>模拟作图!$Y$8:$Y$55</c:f>
              <c:numCache>
                <c:formatCode>0.000_ </c:formatCode>
                <c:ptCount val="48"/>
                <c:pt idx="0">
                  <c:v>287.83368999999999</c:v>
                </c:pt>
                <c:pt idx="1">
                  <c:v>317.27125999999998</c:v>
                </c:pt>
                <c:pt idx="2">
                  <c:v>348.85306000000003</c:v>
                </c:pt>
                <c:pt idx="3">
                  <c:v>382.56171000000001</c:v>
                </c:pt>
                <c:pt idx="4">
                  <c:v>418.34381999999999</c:v>
                </c:pt>
                <c:pt idx="5">
                  <c:v>456.10667000000001</c:v>
                </c:pt>
                <c:pt idx="6">
                  <c:v>495.71606000000003</c:v>
                </c:pt>
                <c:pt idx="7">
                  <c:v>536.99576000000002</c:v>
                </c:pt>
                <c:pt idx="8">
                  <c:v>579.72861999999998</c:v>
                </c:pt>
                <c:pt idx="9">
                  <c:v>623.65979000000004</c:v>
                </c:pt>
                <c:pt idx="10">
                  <c:v>668.50172999999995</c:v>
                </c:pt>
                <c:pt idx="11">
                  <c:v>713.94114999999999</c:v>
                </c:pt>
                <c:pt idx="12">
                  <c:v>759.64747</c:v>
                </c:pt>
                <c:pt idx="13">
                  <c:v>805.28223000000003</c:v>
                </c:pt>
                <c:pt idx="14">
                  <c:v>850.50909000000001</c:v>
                </c:pt>
                <c:pt idx="15" formatCode="0.00_ ">
                  <c:v>895.00365999999997</c:v>
                </c:pt>
                <c:pt idx="16" formatCode="0.00_ ">
                  <c:v>938.46257000000003</c:v>
                </c:pt>
                <c:pt idx="17" formatCode="0.00_ ">
                  <c:v>980.61131999999998</c:v>
                </c:pt>
                <c:pt idx="18" formatCode="0.00_ ">
                  <c:v>1021.21046</c:v>
                </c:pt>
                <c:pt idx="19" formatCode="0.00_ ">
                  <c:v>1060.0598399999999</c:v>
                </c:pt>
                <c:pt idx="20" formatCode="0.00_ ">
                  <c:v>1097.0009299999999</c:v>
                </c:pt>
                <c:pt idx="21" formatCode="0.00_ ">
                  <c:v>1131.9171899999999</c:v>
                </c:pt>
                <c:pt idx="22" formatCode="0.00_ ">
                  <c:v>1164.7328399999999</c:v>
                </c:pt>
                <c:pt idx="23" formatCode="0.00_ ">
                  <c:v>1195.41013</c:v>
                </c:pt>
                <c:pt idx="24" formatCode="0.00_ ">
                  <c:v>1223.94571</c:v>
                </c:pt>
                <c:pt idx="25" formatCode="0.00_ ">
                  <c:v>1250.3661999999999</c:v>
                </c:pt>
                <c:pt idx="26" formatCode="0.00_ ">
                  <c:v>1274.7234599999999</c:v>
                </c:pt>
                <c:pt idx="27" formatCode="0.00_ ">
                  <c:v>1297.0898099999999</c:v>
                </c:pt>
                <c:pt idx="28" formatCode="0.00_ ">
                  <c:v>1317.5533700000001</c:v>
                </c:pt>
                <c:pt idx="29" formatCode="0.00_ ">
                  <c:v>1336.2137600000001</c:v>
                </c:pt>
                <c:pt idx="30" formatCode="0.00_ ">
                  <c:v>1353.1782800000001</c:v>
                </c:pt>
                <c:pt idx="31" formatCode="0.00_ ">
                  <c:v>1368.5585100000001</c:v>
                </c:pt>
                <c:pt idx="32" formatCode="0.00_ ">
                  <c:v>1382.4675299999999</c:v>
                </c:pt>
                <c:pt idx="33" formatCode="0.00_ ">
                  <c:v>1395.0176100000001</c:v>
                </c:pt>
                <c:pt idx="34" formatCode="0.00_ ">
                  <c:v>1406.3184100000001</c:v>
                </c:pt>
                <c:pt idx="35" formatCode="0.00_ ">
                  <c:v>1416.47558</c:v>
                </c:pt>
                <c:pt idx="36" formatCode="0.00_ ">
                  <c:v>1425.5897500000001</c:v>
                </c:pt>
                <c:pt idx="37" formatCode="0.00_ ">
                  <c:v>1433.7558899999999</c:v>
                </c:pt>
                <c:pt idx="38" formatCode="0.00_ ">
                  <c:v>1441.0628899999999</c:v>
                </c:pt>
                <c:pt idx="39" formatCode="0.00_ ">
                  <c:v>1447.5933600000001</c:v>
                </c:pt>
                <c:pt idx="40" formatCode="0.00_ ">
                  <c:v>1453.42362</c:v>
                </c:pt>
                <c:pt idx="41" formatCode="0.00_ ">
                  <c:v>1458.6238000000001</c:v>
                </c:pt>
                <c:pt idx="42" formatCode="0.00_ ">
                  <c:v>1463.2580599999999</c:v>
                </c:pt>
                <c:pt idx="43" formatCode="0.00_ ">
                  <c:v>1467.3848800000001</c:v>
                </c:pt>
                <c:pt idx="44" formatCode="0.00_ ">
                  <c:v>1471.0573400000001</c:v>
                </c:pt>
                <c:pt idx="45" formatCode="0.00_ ">
                  <c:v>1474.3235199999999</c:v>
                </c:pt>
                <c:pt idx="46" formatCode="0.00_ ">
                  <c:v>1477.2268200000001</c:v>
                </c:pt>
                <c:pt idx="47" formatCode="0.00_ ">
                  <c:v>1479.8063299999999</c:v>
                </c:pt>
              </c:numCache>
            </c:numRef>
          </c:val>
          <c:smooth val="0"/>
        </c:ser>
        <c:dLbls>
          <c:showLegendKey val="0"/>
          <c:showVal val="0"/>
          <c:showCatName val="0"/>
          <c:showSerName val="0"/>
          <c:showPercent val="0"/>
          <c:showBubbleSize val="0"/>
        </c:dLbls>
        <c:marker val="1"/>
        <c:smooth val="0"/>
        <c:axId val="-809678448"/>
        <c:axId val="-809681168"/>
      </c:lineChart>
      <c:scatterChart>
        <c:scatterStyle val="lineMarker"/>
        <c:varyColors val="0"/>
        <c:ser>
          <c:idx val="0"/>
          <c:order val="0"/>
          <c:tx>
            <c:v>Data coal</c:v>
          </c:tx>
          <c:spPr>
            <a:ln w="25400" cap="rnd">
              <a:noFill/>
              <a:round/>
            </a:ln>
            <a:effectLst/>
          </c:spPr>
          <c:marker>
            <c:symbol val="circle"/>
            <c:size val="3"/>
            <c:spPr>
              <a:noFill/>
              <a:ln w="19050">
                <a:solidFill>
                  <a:srgbClr val="7030A0"/>
                </a:solidFill>
              </a:ln>
              <a:effectLst/>
            </c:spPr>
          </c:marker>
          <c:yVal>
            <c:numRef>
              <c:f>模拟作图!$P$8:$P$55</c:f>
              <c:numCache>
                <c:formatCode>0.000_ </c:formatCode>
                <c:ptCount val="48"/>
                <c:pt idx="0">
                  <c:v>1671.653219676399</c:v>
                </c:pt>
                <c:pt idx="1">
                  <c:v>1895.0600969033137</c:v>
                </c:pt>
                <c:pt idx="2">
                  <c:v>2032.8122639782951</c:v>
                </c:pt>
                <c:pt idx="3">
                  <c:v>1976.9858283095309</c:v>
                </c:pt>
                <c:pt idx="4">
                  <c:v>1893.1871068098822</c:v>
                </c:pt>
                <c:pt idx="5">
                  <c:v>1858.5530710702549</c:v>
                </c:pt>
                <c:pt idx="6">
                  <c:v>1836.2011352836405</c:v>
                </c:pt>
                <c:pt idx="7">
                  <c:v>2105.8363394188164</c:v>
                </c:pt>
                <c:pt idx="8">
                  <c:v>2341.8390272847791</c:v>
                </c:pt>
                <c:pt idx="9">
                  <c:v>2492.7846829108903</c:v>
                </c:pt>
                <c:pt idx="10">
                  <c:v>2439.6744146088604</c:v>
                </c:pt>
                <c:pt idx="11">
                  <c:v>2401.9285872996402</c:v>
                </c:pt>
                <c:pt idx="12">
                  <c:v>2480.851422738428</c:v>
                </c:pt>
                <c:pt idx="13">
                  <c:v>2562.3150649250019</c:v>
                </c:pt>
                <c:pt idx="14">
                  <c:v>2571.6477657684918</c:v>
                </c:pt>
              </c:numCache>
            </c:numRef>
          </c:yVal>
          <c:smooth val="0"/>
        </c:ser>
        <c:ser>
          <c:idx val="2"/>
          <c:order val="2"/>
          <c:tx>
            <c:v>Data oil</c:v>
          </c:tx>
          <c:spPr>
            <a:ln w="25400" cap="rnd">
              <a:noFill/>
              <a:round/>
            </a:ln>
            <a:effectLst/>
          </c:spPr>
          <c:marker>
            <c:symbol val="circle"/>
            <c:size val="3"/>
            <c:spPr>
              <a:noFill/>
              <a:ln w="19050">
                <a:solidFill>
                  <a:srgbClr val="3333FF"/>
                </a:solidFill>
              </a:ln>
              <a:effectLst/>
            </c:spPr>
          </c:marker>
          <c:yVal>
            <c:numRef>
              <c:f>模拟作图!$R$8:$R$55</c:f>
              <c:numCache>
                <c:formatCode>0.000_ </c:formatCode>
                <c:ptCount val="48"/>
                <c:pt idx="0">
                  <c:v>109.17335449989946</c:v>
                </c:pt>
                <c:pt idx="1">
                  <c:v>163.45467573262826</c:v>
                </c:pt>
                <c:pt idx="2">
                  <c:v>200.53038004142314</c:v>
                </c:pt>
                <c:pt idx="3">
                  <c:v>233.65280954276045</c:v>
                </c:pt>
                <c:pt idx="4">
                  <c:v>283.83580695998842</c:v>
                </c:pt>
                <c:pt idx="5">
                  <c:v>294.13419139165711</c:v>
                </c:pt>
                <c:pt idx="6">
                  <c:v>322.39246390512034</c:v>
                </c:pt>
                <c:pt idx="7">
                  <c:v>371.50697475356617</c:v>
                </c:pt>
                <c:pt idx="8">
                  <c:v>458.39190255831784</c:v>
                </c:pt>
                <c:pt idx="9">
                  <c:v>516.45215099372967</c:v>
                </c:pt>
                <c:pt idx="10">
                  <c:v>631.00675535623554</c:v>
                </c:pt>
                <c:pt idx="11">
                  <c:v>712.26322606011263</c:v>
                </c:pt>
                <c:pt idx="12">
                  <c:v>806.18470706705284</c:v>
                </c:pt>
                <c:pt idx="13">
                  <c:v>938.44210532386785</c:v>
                </c:pt>
                <c:pt idx="14">
                  <c:v>1029.5161778393997</c:v>
                </c:pt>
              </c:numCache>
            </c:numRef>
          </c:yVal>
          <c:smooth val="0"/>
        </c:ser>
        <c:ser>
          <c:idx val="4"/>
          <c:order val="4"/>
          <c:tx>
            <c:v>Data gas</c:v>
          </c:tx>
          <c:spPr>
            <a:ln w="25400" cap="rnd">
              <a:noFill/>
              <a:round/>
            </a:ln>
            <a:effectLst/>
          </c:spPr>
          <c:marker>
            <c:symbol val="circle"/>
            <c:size val="3"/>
            <c:spPr>
              <a:noFill/>
              <a:ln w="19050">
                <a:solidFill>
                  <a:schemeClr val="accent6"/>
                </a:solidFill>
              </a:ln>
              <a:effectLst/>
            </c:spPr>
          </c:marker>
          <c:yVal>
            <c:numRef>
              <c:f>模拟作图!$T$8:$T$55</c:f>
              <c:numCache>
                <c:formatCode>0.000_ </c:formatCode>
                <c:ptCount val="48"/>
                <c:pt idx="1">
                  <c:v>1.1266110688777731</c:v>
                </c:pt>
                <c:pt idx="2">
                  <c:v>1.1711412411979505</c:v>
                </c:pt>
                <c:pt idx="3">
                  <c:v>1.412590268911587</c:v>
                </c:pt>
                <c:pt idx="4">
                  <c:v>1.802552979508111</c:v>
                </c:pt>
                <c:pt idx="5">
                  <c:v>2.4123824158971088</c:v>
                </c:pt>
                <c:pt idx="6">
                  <c:v>2.44279432505349</c:v>
                </c:pt>
                <c:pt idx="7">
                  <c:v>2.7858099087972152</c:v>
                </c:pt>
                <c:pt idx="8">
                  <c:v>3.1709544186455578</c:v>
                </c:pt>
                <c:pt idx="9">
                  <c:v>3.3331545654032251</c:v>
                </c:pt>
                <c:pt idx="10">
                  <c:v>4.0905112002416493</c:v>
                </c:pt>
                <c:pt idx="11">
                  <c:v>5.6150418136704507</c:v>
                </c:pt>
                <c:pt idx="12">
                  <c:v>6.3722544095380833</c:v>
                </c:pt>
                <c:pt idx="13">
                  <c:v>7.6327481412418177</c:v>
                </c:pt>
                <c:pt idx="14">
                  <c:v>12.494586817641128</c:v>
                </c:pt>
              </c:numCache>
            </c:numRef>
          </c:yVal>
          <c:smooth val="0"/>
        </c:ser>
        <c:ser>
          <c:idx val="6"/>
          <c:order val="6"/>
          <c:tx>
            <c:v>Data electric</c:v>
          </c:tx>
          <c:spPr>
            <a:ln w="25400" cap="rnd">
              <a:noFill/>
              <a:round/>
            </a:ln>
            <a:effectLst/>
          </c:spPr>
          <c:marker>
            <c:symbol val="circle"/>
            <c:size val="3"/>
            <c:spPr>
              <a:noFill/>
              <a:ln w="19050">
                <a:solidFill>
                  <a:srgbClr val="FF0000"/>
                </a:solidFill>
              </a:ln>
              <a:effectLst/>
            </c:spPr>
          </c:marker>
          <c:yVal>
            <c:numRef>
              <c:f>模拟作图!$V$8:$V$55</c:f>
              <c:numCache>
                <c:formatCode>0.000_ </c:formatCode>
                <c:ptCount val="48"/>
                <c:pt idx="0">
                  <c:v>229.73841557193896</c:v>
                </c:pt>
                <c:pt idx="1">
                  <c:v>274.1072130791938</c:v>
                </c:pt>
                <c:pt idx="2">
                  <c:v>344.17107629426727</c:v>
                </c:pt>
                <c:pt idx="3">
                  <c:v>420.31466971889313</c:v>
                </c:pt>
                <c:pt idx="4">
                  <c:v>536.51263094642445</c:v>
                </c:pt>
                <c:pt idx="5">
                  <c:v>594.48378208302313</c:v>
                </c:pt>
                <c:pt idx="6">
                  <c:v>666.54765566838978</c:v>
                </c:pt>
                <c:pt idx="7">
                  <c:v>707.34412662175089</c:v>
                </c:pt>
                <c:pt idx="8">
                  <c:v>835.77060311965988</c:v>
                </c:pt>
                <c:pt idx="9">
                  <c:v>942.86253341388101</c:v>
                </c:pt>
                <c:pt idx="10">
                  <c:v>1136.6854812900929</c:v>
                </c:pt>
                <c:pt idx="11">
                  <c:v>1198.5743241381895</c:v>
                </c:pt>
                <c:pt idx="12">
                  <c:v>1270.7250729390094</c:v>
                </c:pt>
                <c:pt idx="13">
                  <c:v>1453.5968425906915</c:v>
                </c:pt>
                <c:pt idx="14">
                  <c:v>1577.0550617540837</c:v>
                </c:pt>
              </c:numCache>
            </c:numRef>
          </c:yVal>
          <c:smooth val="0"/>
        </c:ser>
        <c:ser>
          <c:idx val="8"/>
          <c:order val="8"/>
          <c:tx>
            <c:v>Data other</c:v>
          </c:tx>
          <c:spPr>
            <a:ln w="25400" cap="rnd">
              <a:noFill/>
              <a:round/>
            </a:ln>
            <a:effectLst/>
          </c:spPr>
          <c:marker>
            <c:symbol val="circle"/>
            <c:size val="3"/>
            <c:spPr>
              <a:noFill/>
              <a:ln w="19050">
                <a:solidFill>
                  <a:schemeClr val="accent4">
                    <a:lumMod val="50000"/>
                  </a:schemeClr>
                </a:solidFill>
              </a:ln>
              <a:effectLst/>
            </c:spPr>
          </c:marker>
          <c:yVal>
            <c:numRef>
              <c:f>模拟作图!$X$8:$X$55</c:f>
              <c:numCache>
                <c:formatCode>0.000_ </c:formatCode>
                <c:ptCount val="48"/>
                <c:pt idx="0">
                  <c:v>301.19352195303622</c:v>
                </c:pt>
                <c:pt idx="1">
                  <c:v>343.85539938510806</c:v>
                </c:pt>
                <c:pt idx="2">
                  <c:v>381.28323207522305</c:v>
                </c:pt>
                <c:pt idx="3">
                  <c:v>403.13210672916296</c:v>
                </c:pt>
                <c:pt idx="4">
                  <c:v>417.03966768683779</c:v>
                </c:pt>
                <c:pt idx="5">
                  <c:v>428.85272394041721</c:v>
                </c:pt>
                <c:pt idx="6">
                  <c:v>453.14525034410991</c:v>
                </c:pt>
                <c:pt idx="7">
                  <c:v>492.19564144730788</c:v>
                </c:pt>
                <c:pt idx="8">
                  <c:v>548.89893995725208</c:v>
                </c:pt>
                <c:pt idx="9">
                  <c:v>586.47777233592501</c:v>
                </c:pt>
                <c:pt idx="10">
                  <c:v>635.81627875226241</c:v>
                </c:pt>
                <c:pt idx="11">
                  <c:v>691.50951810020081</c:v>
                </c:pt>
                <c:pt idx="12">
                  <c:v>738.70665131720375</c:v>
                </c:pt>
                <c:pt idx="13">
                  <c:v>869.4449240133506</c:v>
                </c:pt>
                <c:pt idx="14">
                  <c:v>933.27270354078712</c:v>
                </c:pt>
              </c:numCache>
            </c:numRef>
          </c:yVal>
          <c:smooth val="0"/>
        </c:ser>
        <c:dLbls>
          <c:showLegendKey val="0"/>
          <c:showVal val="0"/>
          <c:showCatName val="0"/>
          <c:showSerName val="0"/>
          <c:showPercent val="0"/>
          <c:showBubbleSize val="0"/>
        </c:dLbls>
        <c:axId val="-809678448"/>
        <c:axId val="-809681168"/>
      </c:scatterChart>
      <c:catAx>
        <c:axId val="-809678448"/>
        <c:scaling>
          <c:orientation val="minMax"/>
        </c:scaling>
        <c:delete val="0"/>
        <c:axPos val="b"/>
        <c:numFmt formatCode="General" sourceLinked="1"/>
        <c:majorTickMark val="none"/>
        <c:minorTickMark val="none"/>
        <c:tickLblPos val="nextTo"/>
        <c:spPr>
          <a:noFill/>
          <a:ln w="9525" cap="flat" cmpd="sng" algn="ctr">
            <a:solidFill>
              <a:srgbClr val="0070C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809681168"/>
        <c:crosses val="autoZero"/>
        <c:auto val="1"/>
        <c:lblAlgn val="ctr"/>
        <c:lblOffset val="100"/>
        <c:tickLblSkip val="3"/>
        <c:tickMarkSkip val="1"/>
        <c:noMultiLvlLbl val="0"/>
      </c:catAx>
      <c:valAx>
        <c:axId val="-809681168"/>
        <c:scaling>
          <c:orientation val="minMax"/>
          <c:min val="-500"/>
        </c:scaling>
        <c:delete val="0"/>
        <c:axPos val="l"/>
        <c:majorGridlines>
          <c:spPr>
            <a:ln w="9525" cap="flat" cmpd="sng" algn="ctr">
              <a:noFill/>
              <a:round/>
            </a:ln>
            <a:effectLst/>
          </c:spPr>
        </c:majorGridlines>
        <c:numFmt formatCode="0_ " sourceLinked="0"/>
        <c:majorTickMark val="none"/>
        <c:minorTickMark val="none"/>
        <c:tickLblPos val="nextTo"/>
        <c:spPr>
          <a:noFill/>
          <a:ln>
            <a:solidFill>
              <a:srgbClr val="0070C0"/>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809678448"/>
        <c:crosses val="autoZero"/>
        <c:crossBetween val="between"/>
      </c:valAx>
      <c:spPr>
        <a:noFill/>
        <a:ln>
          <a:noFill/>
        </a:ln>
        <a:effectLst/>
      </c:spPr>
    </c:plotArea>
    <c:legend>
      <c:legendPos val="b"/>
      <c:layout>
        <c:manualLayout>
          <c:xMode val="edge"/>
          <c:yMode val="edge"/>
          <c:x val="1.0136112591030864E-2"/>
          <c:y val="0.87432339479496501"/>
          <c:w val="0.98695146853332472"/>
          <c:h val="0.103560866170755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900" b="1"/>
              <a:t>A</a:t>
            </a:r>
            <a:r>
              <a:rPr lang="en-US" sz="900"/>
              <a:t>   Consumption change for different</a:t>
            </a:r>
            <a:r>
              <a:rPr lang="en-US" sz="900" baseline="0"/>
              <a:t> expenditure items</a:t>
            </a:r>
            <a:r>
              <a:rPr lang="en-US" sz="900"/>
              <a:t> in urban (2017 old policy=100)</a:t>
            </a:r>
            <a:endParaRPr lang="zh-CN" sz="900"/>
          </a:p>
        </c:rich>
      </c:tx>
      <c:overlay val="0"/>
      <c:spPr>
        <a:noFill/>
        <a:ln>
          <a:noFill/>
        </a:ln>
        <a:effectLst/>
      </c:spPr>
    </c:title>
    <c:autoTitleDeleted val="0"/>
    <c:plotArea>
      <c:layout>
        <c:manualLayout>
          <c:layoutTarget val="inner"/>
          <c:xMode val="edge"/>
          <c:yMode val="edge"/>
          <c:x val="0.18642956147335515"/>
          <c:y val="7.3790405600164727E-2"/>
          <c:w val="0.74709103777758112"/>
          <c:h val="0.5858925910975149"/>
        </c:manualLayout>
      </c:layout>
      <c:barChart>
        <c:barDir val="bar"/>
        <c:grouping val="clustered"/>
        <c:varyColors val="0"/>
        <c:ser>
          <c:idx val="0"/>
          <c:order val="0"/>
          <c:tx>
            <c:strRef>
              <c:f>Sheet2!$C$19</c:f>
              <c:strCache>
                <c:ptCount val="1"/>
                <c:pt idx="0">
                  <c:v>expenditure on food, tobacco, and alcohol</c:v>
                </c:pt>
              </c:strCache>
            </c:strRef>
          </c:tx>
          <c:spPr>
            <a:solidFill>
              <a:schemeClr val="accent1"/>
            </a:solidFill>
            <a:ln>
              <a:noFill/>
            </a:ln>
            <a:effectLst/>
          </c:spPr>
          <c:invertIfNegative val="0"/>
          <c:cat>
            <c:multiLvlStrRef>
              <c:f>Sheet2!$A$20:$B$33</c:f>
              <c:multiLvlStrCache>
                <c:ptCount val="14"/>
                <c:lvl>
                  <c:pt idx="0">
                    <c:v>2020</c:v>
                  </c:pt>
                  <c:pt idx="1">
                    <c:v>2025</c:v>
                  </c:pt>
                  <c:pt idx="2">
                    <c:v>2030</c:v>
                  </c:pt>
                  <c:pt idx="3">
                    <c:v>2035</c:v>
                  </c:pt>
                  <c:pt idx="4">
                    <c:v>2040</c:v>
                  </c:pt>
                  <c:pt idx="5">
                    <c:v>2045</c:v>
                  </c:pt>
                  <c:pt idx="6">
                    <c:v>2050</c:v>
                  </c:pt>
                  <c:pt idx="7">
                    <c:v>2020</c:v>
                  </c:pt>
                  <c:pt idx="8">
                    <c:v>2025</c:v>
                  </c:pt>
                  <c:pt idx="9">
                    <c:v>2030</c:v>
                  </c:pt>
                  <c:pt idx="10">
                    <c:v>2035</c:v>
                  </c:pt>
                  <c:pt idx="11">
                    <c:v>2040</c:v>
                  </c:pt>
                  <c:pt idx="12">
                    <c:v>2045</c:v>
                  </c:pt>
                  <c:pt idx="13">
                    <c:v>2050</c:v>
                  </c:pt>
                </c:lvl>
                <c:lvl>
                  <c:pt idx="0">
                    <c:v>Old policy</c:v>
                  </c:pt>
                  <c:pt idx="7">
                    <c:v>New policy</c:v>
                  </c:pt>
                </c:lvl>
              </c:multiLvlStrCache>
            </c:multiLvlStrRef>
          </c:cat>
          <c:val>
            <c:numRef>
              <c:f>Sheet2!$C$20:$C$33</c:f>
              <c:numCache>
                <c:formatCode>General</c:formatCode>
                <c:ptCount val="14"/>
                <c:pt idx="0">
                  <c:v>105.54165878398763</c:v>
                </c:pt>
                <c:pt idx="1">
                  <c:v>109.67105480424497</c:v>
                </c:pt>
                <c:pt idx="2">
                  <c:v>114.0606447990681</c:v>
                </c:pt>
                <c:pt idx="3">
                  <c:v>116.05595150846686</c:v>
                </c:pt>
                <c:pt idx="4">
                  <c:v>117.7969528573835</c:v>
                </c:pt>
                <c:pt idx="5">
                  <c:v>117.71199899026034</c:v>
                </c:pt>
                <c:pt idx="6">
                  <c:v>117.54449671891405</c:v>
                </c:pt>
                <c:pt idx="7">
                  <c:v>107.80936160422172</c:v>
                </c:pt>
                <c:pt idx="8">
                  <c:v>116.3998647587013</c:v>
                </c:pt>
                <c:pt idx="9">
                  <c:v>125.11546600364846</c:v>
                </c:pt>
                <c:pt idx="10">
                  <c:v>128.10689281414577</c:v>
                </c:pt>
                <c:pt idx="11">
                  <c:v>131.02505954667109</c:v>
                </c:pt>
                <c:pt idx="12">
                  <c:v>129.92229249515478</c:v>
                </c:pt>
                <c:pt idx="13">
                  <c:v>129.55076102700664</c:v>
                </c:pt>
              </c:numCache>
            </c:numRef>
          </c:val>
          <c:extLst xmlns:c16r2="http://schemas.microsoft.com/office/drawing/2015/06/chart">
            <c:ext xmlns:c16="http://schemas.microsoft.com/office/drawing/2014/chart" uri="{C3380CC4-5D6E-409C-BE32-E72D297353CC}">
              <c16:uniqueId val="{00000000-41C5-437D-9A40-68F3DA5156F7}"/>
            </c:ext>
          </c:extLst>
        </c:ser>
        <c:ser>
          <c:idx val="1"/>
          <c:order val="1"/>
          <c:tx>
            <c:strRef>
              <c:f>Sheet2!$D$19</c:f>
              <c:strCache>
                <c:ptCount val="1"/>
                <c:pt idx="0">
                  <c:v>clothing expenditure</c:v>
                </c:pt>
              </c:strCache>
            </c:strRef>
          </c:tx>
          <c:spPr>
            <a:solidFill>
              <a:schemeClr val="accent2"/>
            </a:solidFill>
            <a:ln>
              <a:noFill/>
            </a:ln>
            <a:effectLst/>
          </c:spPr>
          <c:invertIfNegative val="0"/>
          <c:cat>
            <c:multiLvlStrRef>
              <c:f>Sheet2!$A$20:$B$33</c:f>
              <c:multiLvlStrCache>
                <c:ptCount val="14"/>
                <c:lvl>
                  <c:pt idx="0">
                    <c:v>2020</c:v>
                  </c:pt>
                  <c:pt idx="1">
                    <c:v>2025</c:v>
                  </c:pt>
                  <c:pt idx="2">
                    <c:v>2030</c:v>
                  </c:pt>
                  <c:pt idx="3">
                    <c:v>2035</c:v>
                  </c:pt>
                  <c:pt idx="4">
                    <c:v>2040</c:v>
                  </c:pt>
                  <c:pt idx="5">
                    <c:v>2045</c:v>
                  </c:pt>
                  <c:pt idx="6">
                    <c:v>2050</c:v>
                  </c:pt>
                  <c:pt idx="7">
                    <c:v>2020</c:v>
                  </c:pt>
                  <c:pt idx="8">
                    <c:v>2025</c:v>
                  </c:pt>
                  <c:pt idx="9">
                    <c:v>2030</c:v>
                  </c:pt>
                  <c:pt idx="10">
                    <c:v>2035</c:v>
                  </c:pt>
                  <c:pt idx="11">
                    <c:v>2040</c:v>
                  </c:pt>
                  <c:pt idx="12">
                    <c:v>2045</c:v>
                  </c:pt>
                  <c:pt idx="13">
                    <c:v>2050</c:v>
                  </c:pt>
                </c:lvl>
                <c:lvl>
                  <c:pt idx="0">
                    <c:v>Old policy</c:v>
                  </c:pt>
                  <c:pt idx="7">
                    <c:v>New policy</c:v>
                  </c:pt>
                </c:lvl>
              </c:multiLvlStrCache>
            </c:multiLvlStrRef>
          </c:cat>
          <c:val>
            <c:numRef>
              <c:f>Sheet2!$D$20:$D$33</c:f>
              <c:numCache>
                <c:formatCode>General</c:formatCode>
                <c:ptCount val="14"/>
                <c:pt idx="0">
                  <c:v>104.78833515155537</c:v>
                </c:pt>
                <c:pt idx="1">
                  <c:v>106.03970178789859</c:v>
                </c:pt>
                <c:pt idx="2">
                  <c:v>106.64303880234185</c:v>
                </c:pt>
                <c:pt idx="3">
                  <c:v>105.66153147272395</c:v>
                </c:pt>
                <c:pt idx="4">
                  <c:v>106.00035847495212</c:v>
                </c:pt>
                <c:pt idx="5">
                  <c:v>104.83049617396385</c:v>
                </c:pt>
                <c:pt idx="6">
                  <c:v>102.23574405162981</c:v>
                </c:pt>
                <c:pt idx="7">
                  <c:v>107.03985181226253</c:v>
                </c:pt>
                <c:pt idx="8">
                  <c:v>112.54571198568118</c:v>
                </c:pt>
                <c:pt idx="9">
                  <c:v>116.97894150348674</c:v>
                </c:pt>
                <c:pt idx="10">
                  <c:v>116.63314385016459</c:v>
                </c:pt>
                <c:pt idx="11">
                  <c:v>117.90375679720768</c:v>
                </c:pt>
                <c:pt idx="12">
                  <c:v>115.70458834407236</c:v>
                </c:pt>
                <c:pt idx="13">
                  <c:v>112.6783372744639</c:v>
                </c:pt>
              </c:numCache>
            </c:numRef>
          </c:val>
          <c:extLst xmlns:c16r2="http://schemas.microsoft.com/office/drawing/2015/06/chart">
            <c:ext xmlns:c16="http://schemas.microsoft.com/office/drawing/2014/chart" uri="{C3380CC4-5D6E-409C-BE32-E72D297353CC}">
              <c16:uniqueId val="{00000001-41C5-437D-9A40-68F3DA5156F7}"/>
            </c:ext>
          </c:extLst>
        </c:ser>
        <c:ser>
          <c:idx val="2"/>
          <c:order val="2"/>
          <c:tx>
            <c:strRef>
              <c:f>Sheet2!$E$19</c:f>
              <c:strCache>
                <c:ptCount val="1"/>
                <c:pt idx="0">
                  <c:v>housing expenditure</c:v>
                </c:pt>
              </c:strCache>
            </c:strRef>
          </c:tx>
          <c:spPr>
            <a:solidFill>
              <a:schemeClr val="accent3"/>
            </a:solidFill>
            <a:ln>
              <a:noFill/>
            </a:ln>
            <a:effectLst/>
          </c:spPr>
          <c:invertIfNegative val="0"/>
          <c:cat>
            <c:multiLvlStrRef>
              <c:f>Sheet2!$A$20:$B$33</c:f>
              <c:multiLvlStrCache>
                <c:ptCount val="14"/>
                <c:lvl>
                  <c:pt idx="0">
                    <c:v>2020</c:v>
                  </c:pt>
                  <c:pt idx="1">
                    <c:v>2025</c:v>
                  </c:pt>
                  <c:pt idx="2">
                    <c:v>2030</c:v>
                  </c:pt>
                  <c:pt idx="3">
                    <c:v>2035</c:v>
                  </c:pt>
                  <c:pt idx="4">
                    <c:v>2040</c:v>
                  </c:pt>
                  <c:pt idx="5">
                    <c:v>2045</c:v>
                  </c:pt>
                  <c:pt idx="6">
                    <c:v>2050</c:v>
                  </c:pt>
                  <c:pt idx="7">
                    <c:v>2020</c:v>
                  </c:pt>
                  <c:pt idx="8">
                    <c:v>2025</c:v>
                  </c:pt>
                  <c:pt idx="9">
                    <c:v>2030</c:v>
                  </c:pt>
                  <c:pt idx="10">
                    <c:v>2035</c:v>
                  </c:pt>
                  <c:pt idx="11">
                    <c:v>2040</c:v>
                  </c:pt>
                  <c:pt idx="12">
                    <c:v>2045</c:v>
                  </c:pt>
                  <c:pt idx="13">
                    <c:v>2050</c:v>
                  </c:pt>
                </c:lvl>
                <c:lvl>
                  <c:pt idx="0">
                    <c:v>Old policy</c:v>
                  </c:pt>
                  <c:pt idx="7">
                    <c:v>New policy</c:v>
                  </c:pt>
                </c:lvl>
              </c:multiLvlStrCache>
            </c:multiLvlStrRef>
          </c:cat>
          <c:val>
            <c:numRef>
              <c:f>Sheet2!$E$20:$E$33</c:f>
              <c:numCache>
                <c:formatCode>General</c:formatCode>
                <c:ptCount val="14"/>
                <c:pt idx="0">
                  <c:v>105.66488402191897</c:v>
                </c:pt>
                <c:pt idx="1">
                  <c:v>110.34466688011753</c:v>
                </c:pt>
                <c:pt idx="2">
                  <c:v>115.53538802332164</c:v>
                </c:pt>
                <c:pt idx="3">
                  <c:v>118.17683422380291</c:v>
                </c:pt>
                <c:pt idx="4">
                  <c:v>120.20516890450219</c:v>
                </c:pt>
                <c:pt idx="5">
                  <c:v>120.27492088995382</c:v>
                </c:pt>
                <c:pt idx="6">
                  <c:v>120.47500041695139</c:v>
                </c:pt>
                <c:pt idx="7">
                  <c:v>107.93523450017548</c:v>
                </c:pt>
                <c:pt idx="8">
                  <c:v>117.11480594962305</c:v>
                </c:pt>
                <c:pt idx="9">
                  <c:v>126.73314216235549</c:v>
                </c:pt>
                <c:pt idx="10">
                  <c:v>130.4480023492747</c:v>
                </c:pt>
                <c:pt idx="11">
                  <c:v>133.70370821559715</c:v>
                </c:pt>
                <c:pt idx="12">
                  <c:v>132.75106688986847</c:v>
                </c:pt>
                <c:pt idx="13">
                  <c:v>132.78059308950679</c:v>
                </c:pt>
              </c:numCache>
            </c:numRef>
          </c:val>
          <c:extLst xmlns:c16r2="http://schemas.microsoft.com/office/drawing/2015/06/chart">
            <c:ext xmlns:c16="http://schemas.microsoft.com/office/drawing/2014/chart" uri="{C3380CC4-5D6E-409C-BE32-E72D297353CC}">
              <c16:uniqueId val="{00000002-41C5-437D-9A40-68F3DA5156F7}"/>
            </c:ext>
          </c:extLst>
        </c:ser>
        <c:ser>
          <c:idx val="3"/>
          <c:order val="3"/>
          <c:tx>
            <c:strRef>
              <c:f>Sheet2!$F$19</c:f>
              <c:strCache>
                <c:ptCount val="1"/>
                <c:pt idx="0">
                  <c:v>expenditure on facility and services</c:v>
                </c:pt>
              </c:strCache>
            </c:strRef>
          </c:tx>
          <c:spPr>
            <a:solidFill>
              <a:schemeClr val="accent4"/>
            </a:solidFill>
            <a:ln>
              <a:noFill/>
            </a:ln>
            <a:effectLst/>
          </c:spPr>
          <c:invertIfNegative val="0"/>
          <c:cat>
            <c:multiLvlStrRef>
              <c:f>Sheet2!$A$20:$B$33</c:f>
              <c:multiLvlStrCache>
                <c:ptCount val="14"/>
                <c:lvl>
                  <c:pt idx="0">
                    <c:v>2020</c:v>
                  </c:pt>
                  <c:pt idx="1">
                    <c:v>2025</c:v>
                  </c:pt>
                  <c:pt idx="2">
                    <c:v>2030</c:v>
                  </c:pt>
                  <c:pt idx="3">
                    <c:v>2035</c:v>
                  </c:pt>
                  <c:pt idx="4">
                    <c:v>2040</c:v>
                  </c:pt>
                  <c:pt idx="5">
                    <c:v>2045</c:v>
                  </c:pt>
                  <c:pt idx="6">
                    <c:v>2050</c:v>
                  </c:pt>
                  <c:pt idx="7">
                    <c:v>2020</c:v>
                  </c:pt>
                  <c:pt idx="8">
                    <c:v>2025</c:v>
                  </c:pt>
                  <c:pt idx="9">
                    <c:v>2030</c:v>
                  </c:pt>
                  <c:pt idx="10">
                    <c:v>2035</c:v>
                  </c:pt>
                  <c:pt idx="11">
                    <c:v>2040</c:v>
                  </c:pt>
                  <c:pt idx="12">
                    <c:v>2045</c:v>
                  </c:pt>
                  <c:pt idx="13">
                    <c:v>2050</c:v>
                  </c:pt>
                </c:lvl>
                <c:lvl>
                  <c:pt idx="0">
                    <c:v>Old policy</c:v>
                  </c:pt>
                  <c:pt idx="7">
                    <c:v>New policy</c:v>
                  </c:pt>
                </c:lvl>
              </c:multiLvlStrCache>
            </c:multiLvlStrRef>
          </c:cat>
          <c:val>
            <c:numRef>
              <c:f>Sheet2!$F$20:$F$33</c:f>
              <c:numCache>
                <c:formatCode>General</c:formatCode>
                <c:ptCount val="14"/>
                <c:pt idx="0">
                  <c:v>105.25328610814006</c:v>
                </c:pt>
                <c:pt idx="1">
                  <c:v>108.28724697191628</c:v>
                </c:pt>
                <c:pt idx="2">
                  <c:v>111.2417885136455</c:v>
                </c:pt>
                <c:pt idx="3">
                  <c:v>112.11011980735761</c:v>
                </c:pt>
                <c:pt idx="4">
                  <c:v>113.31893815273988</c:v>
                </c:pt>
                <c:pt idx="5">
                  <c:v>112.81688667431959</c:v>
                </c:pt>
                <c:pt idx="6">
                  <c:v>111.71790977551879</c:v>
                </c:pt>
                <c:pt idx="7">
                  <c:v>107.51479285814152</c:v>
                </c:pt>
                <c:pt idx="8">
                  <c:v>114.93115412377033</c:v>
                </c:pt>
                <c:pt idx="9">
                  <c:v>122.02340459746182</c:v>
                </c:pt>
                <c:pt idx="10">
                  <c:v>123.7513364447701</c:v>
                </c:pt>
                <c:pt idx="11">
                  <c:v>126.04418246034142</c:v>
                </c:pt>
                <c:pt idx="12">
                  <c:v>124.51940902054051</c:v>
                </c:pt>
                <c:pt idx="13">
                  <c:v>123.12903313861443</c:v>
                </c:pt>
              </c:numCache>
            </c:numRef>
          </c:val>
          <c:extLst xmlns:c16r2="http://schemas.microsoft.com/office/drawing/2015/06/chart">
            <c:ext xmlns:c16="http://schemas.microsoft.com/office/drawing/2014/chart" uri="{C3380CC4-5D6E-409C-BE32-E72D297353CC}">
              <c16:uniqueId val="{00000003-41C5-437D-9A40-68F3DA5156F7}"/>
            </c:ext>
          </c:extLst>
        </c:ser>
        <c:ser>
          <c:idx val="4"/>
          <c:order val="4"/>
          <c:tx>
            <c:strRef>
              <c:f>Sheet2!$G$19</c:f>
              <c:strCache>
                <c:ptCount val="1"/>
                <c:pt idx="0">
                  <c:v>expenditure on communication and transportation</c:v>
                </c:pt>
              </c:strCache>
            </c:strRef>
          </c:tx>
          <c:spPr>
            <a:solidFill>
              <a:schemeClr val="accent5"/>
            </a:solidFill>
            <a:ln>
              <a:noFill/>
            </a:ln>
            <a:effectLst/>
          </c:spPr>
          <c:invertIfNegative val="0"/>
          <c:cat>
            <c:multiLvlStrRef>
              <c:f>Sheet2!$A$20:$B$33</c:f>
              <c:multiLvlStrCache>
                <c:ptCount val="14"/>
                <c:lvl>
                  <c:pt idx="0">
                    <c:v>2020</c:v>
                  </c:pt>
                  <c:pt idx="1">
                    <c:v>2025</c:v>
                  </c:pt>
                  <c:pt idx="2">
                    <c:v>2030</c:v>
                  </c:pt>
                  <c:pt idx="3">
                    <c:v>2035</c:v>
                  </c:pt>
                  <c:pt idx="4">
                    <c:v>2040</c:v>
                  </c:pt>
                  <c:pt idx="5">
                    <c:v>2045</c:v>
                  </c:pt>
                  <c:pt idx="6">
                    <c:v>2050</c:v>
                  </c:pt>
                  <c:pt idx="7">
                    <c:v>2020</c:v>
                  </c:pt>
                  <c:pt idx="8">
                    <c:v>2025</c:v>
                  </c:pt>
                  <c:pt idx="9">
                    <c:v>2030</c:v>
                  </c:pt>
                  <c:pt idx="10">
                    <c:v>2035</c:v>
                  </c:pt>
                  <c:pt idx="11">
                    <c:v>2040</c:v>
                  </c:pt>
                  <c:pt idx="12">
                    <c:v>2045</c:v>
                  </c:pt>
                  <c:pt idx="13">
                    <c:v>2050</c:v>
                  </c:pt>
                </c:lvl>
                <c:lvl>
                  <c:pt idx="0">
                    <c:v>Old policy</c:v>
                  </c:pt>
                  <c:pt idx="7">
                    <c:v>New policy</c:v>
                  </c:pt>
                </c:lvl>
              </c:multiLvlStrCache>
            </c:multiLvlStrRef>
          </c:cat>
          <c:val>
            <c:numRef>
              <c:f>Sheet2!$G$20:$G$33</c:f>
              <c:numCache>
                <c:formatCode>General</c:formatCode>
                <c:ptCount val="14"/>
                <c:pt idx="0">
                  <c:v>104.66527592897934</c:v>
                </c:pt>
                <c:pt idx="1">
                  <c:v>105.56556938694679</c:v>
                </c:pt>
                <c:pt idx="2">
                  <c:v>105.82229238226523</c:v>
                </c:pt>
                <c:pt idx="3">
                  <c:v>104.59261540248693</c:v>
                </c:pt>
                <c:pt idx="4">
                  <c:v>104.78909303893317</c:v>
                </c:pt>
                <c:pt idx="5">
                  <c:v>103.40796787482842</c:v>
                </c:pt>
                <c:pt idx="6">
                  <c:v>100.3726569240617</c:v>
                </c:pt>
                <c:pt idx="7">
                  <c:v>106.91414849872463</c:v>
                </c:pt>
                <c:pt idx="8">
                  <c:v>112.04248944034309</c:v>
                </c:pt>
                <c:pt idx="9">
                  <c:v>116.07864788337254</c:v>
                </c:pt>
                <c:pt idx="10">
                  <c:v>115.45323437841996</c:v>
                </c:pt>
                <c:pt idx="11">
                  <c:v>116.55647130270638</c:v>
                </c:pt>
                <c:pt idx="12">
                  <c:v>114.13450084790979</c:v>
                </c:pt>
                <c:pt idx="13">
                  <c:v>110.62495015747066</c:v>
                </c:pt>
              </c:numCache>
            </c:numRef>
          </c:val>
          <c:extLst xmlns:c16r2="http://schemas.microsoft.com/office/drawing/2015/06/chart">
            <c:ext xmlns:c16="http://schemas.microsoft.com/office/drawing/2014/chart" uri="{C3380CC4-5D6E-409C-BE32-E72D297353CC}">
              <c16:uniqueId val="{00000004-41C5-437D-9A40-68F3DA5156F7}"/>
            </c:ext>
          </c:extLst>
        </c:ser>
        <c:ser>
          <c:idx val="5"/>
          <c:order val="5"/>
          <c:tx>
            <c:strRef>
              <c:f>Sheet2!$H$19</c:f>
              <c:strCache>
                <c:ptCount val="1"/>
                <c:pt idx="0">
                  <c:v>expenditure on education and entertainment, and cultural activities</c:v>
                </c:pt>
              </c:strCache>
            </c:strRef>
          </c:tx>
          <c:spPr>
            <a:solidFill>
              <a:schemeClr val="accent6"/>
            </a:solidFill>
            <a:ln>
              <a:noFill/>
            </a:ln>
            <a:effectLst/>
          </c:spPr>
          <c:invertIfNegative val="0"/>
          <c:cat>
            <c:multiLvlStrRef>
              <c:f>Sheet2!$A$20:$B$33</c:f>
              <c:multiLvlStrCache>
                <c:ptCount val="14"/>
                <c:lvl>
                  <c:pt idx="0">
                    <c:v>2020</c:v>
                  </c:pt>
                  <c:pt idx="1">
                    <c:v>2025</c:v>
                  </c:pt>
                  <c:pt idx="2">
                    <c:v>2030</c:v>
                  </c:pt>
                  <c:pt idx="3">
                    <c:v>2035</c:v>
                  </c:pt>
                  <c:pt idx="4">
                    <c:v>2040</c:v>
                  </c:pt>
                  <c:pt idx="5">
                    <c:v>2045</c:v>
                  </c:pt>
                  <c:pt idx="6">
                    <c:v>2050</c:v>
                  </c:pt>
                  <c:pt idx="7">
                    <c:v>2020</c:v>
                  </c:pt>
                  <c:pt idx="8">
                    <c:v>2025</c:v>
                  </c:pt>
                  <c:pt idx="9">
                    <c:v>2030</c:v>
                  </c:pt>
                  <c:pt idx="10">
                    <c:v>2035</c:v>
                  </c:pt>
                  <c:pt idx="11">
                    <c:v>2040</c:v>
                  </c:pt>
                  <c:pt idx="12">
                    <c:v>2045</c:v>
                  </c:pt>
                  <c:pt idx="13">
                    <c:v>2050</c:v>
                  </c:pt>
                </c:lvl>
                <c:lvl>
                  <c:pt idx="0">
                    <c:v>Old policy</c:v>
                  </c:pt>
                  <c:pt idx="7">
                    <c:v>New policy</c:v>
                  </c:pt>
                </c:lvl>
              </c:multiLvlStrCache>
            </c:multiLvlStrRef>
          </c:cat>
          <c:val>
            <c:numRef>
              <c:f>Sheet2!$H$20:$H$33</c:f>
              <c:numCache>
                <c:formatCode>General</c:formatCode>
                <c:ptCount val="14"/>
                <c:pt idx="0">
                  <c:v>104.88251702859704</c:v>
                </c:pt>
                <c:pt idx="1">
                  <c:v>106.69278702273435</c:v>
                </c:pt>
                <c:pt idx="2">
                  <c:v>108.22410152905601</c:v>
                </c:pt>
                <c:pt idx="3">
                  <c:v>108.01288964610049</c:v>
                </c:pt>
                <c:pt idx="4">
                  <c:v>108.67199072827837</c:v>
                </c:pt>
                <c:pt idx="5">
                  <c:v>107.58085303263994</c:v>
                </c:pt>
                <c:pt idx="6">
                  <c:v>105.21589732800527</c:v>
                </c:pt>
                <c:pt idx="7">
                  <c:v>107.1360573121148</c:v>
                </c:pt>
                <c:pt idx="8">
                  <c:v>113.23886692201764</c:v>
                </c:pt>
                <c:pt idx="9">
                  <c:v>118.71324171003315</c:v>
                </c:pt>
                <c:pt idx="10">
                  <c:v>119.22866080185179</c:v>
                </c:pt>
                <c:pt idx="11">
                  <c:v>120.87540221406906</c:v>
                </c:pt>
                <c:pt idx="12">
                  <c:v>118.7402403704094</c:v>
                </c:pt>
                <c:pt idx="13">
                  <c:v>115.96289023703099</c:v>
                </c:pt>
              </c:numCache>
            </c:numRef>
          </c:val>
          <c:extLst xmlns:c16r2="http://schemas.microsoft.com/office/drawing/2015/06/chart">
            <c:ext xmlns:c16="http://schemas.microsoft.com/office/drawing/2014/chart" uri="{C3380CC4-5D6E-409C-BE32-E72D297353CC}">
              <c16:uniqueId val="{00000005-41C5-437D-9A40-68F3DA5156F7}"/>
            </c:ext>
          </c:extLst>
        </c:ser>
        <c:ser>
          <c:idx val="6"/>
          <c:order val="6"/>
          <c:tx>
            <c:strRef>
              <c:f>Sheet2!$I$19</c:f>
              <c:strCache>
                <c:ptCount val="1"/>
                <c:pt idx="0">
                  <c:v>healthcare expenditure</c:v>
                </c:pt>
              </c:strCache>
            </c:strRef>
          </c:tx>
          <c:spPr>
            <a:solidFill>
              <a:schemeClr val="accent1">
                <a:lumMod val="60000"/>
              </a:schemeClr>
            </a:solidFill>
            <a:ln>
              <a:noFill/>
            </a:ln>
            <a:effectLst/>
          </c:spPr>
          <c:invertIfNegative val="0"/>
          <c:cat>
            <c:multiLvlStrRef>
              <c:f>Sheet2!$A$20:$B$33</c:f>
              <c:multiLvlStrCache>
                <c:ptCount val="14"/>
                <c:lvl>
                  <c:pt idx="0">
                    <c:v>2020</c:v>
                  </c:pt>
                  <c:pt idx="1">
                    <c:v>2025</c:v>
                  </c:pt>
                  <c:pt idx="2">
                    <c:v>2030</c:v>
                  </c:pt>
                  <c:pt idx="3">
                    <c:v>2035</c:v>
                  </c:pt>
                  <c:pt idx="4">
                    <c:v>2040</c:v>
                  </c:pt>
                  <c:pt idx="5">
                    <c:v>2045</c:v>
                  </c:pt>
                  <c:pt idx="6">
                    <c:v>2050</c:v>
                  </c:pt>
                  <c:pt idx="7">
                    <c:v>2020</c:v>
                  </c:pt>
                  <c:pt idx="8">
                    <c:v>2025</c:v>
                  </c:pt>
                  <c:pt idx="9">
                    <c:v>2030</c:v>
                  </c:pt>
                  <c:pt idx="10">
                    <c:v>2035</c:v>
                  </c:pt>
                  <c:pt idx="11">
                    <c:v>2040</c:v>
                  </c:pt>
                  <c:pt idx="12">
                    <c:v>2045</c:v>
                  </c:pt>
                  <c:pt idx="13">
                    <c:v>2050</c:v>
                  </c:pt>
                </c:lvl>
                <c:lvl>
                  <c:pt idx="0">
                    <c:v>Old policy</c:v>
                  </c:pt>
                  <c:pt idx="7">
                    <c:v>New policy</c:v>
                  </c:pt>
                </c:lvl>
              </c:multiLvlStrCache>
            </c:multiLvlStrRef>
          </c:cat>
          <c:val>
            <c:numRef>
              <c:f>Sheet2!$I$20:$I$33</c:f>
              <c:numCache>
                <c:formatCode>General</c:formatCode>
                <c:ptCount val="14"/>
                <c:pt idx="0">
                  <c:v>107.33315806306575</c:v>
                </c:pt>
                <c:pt idx="1">
                  <c:v>117.8797555292881</c:v>
                </c:pt>
                <c:pt idx="2">
                  <c:v>130.29821577714816</c:v>
                </c:pt>
                <c:pt idx="3">
                  <c:v>138.51862514766228</c:v>
                </c:pt>
                <c:pt idx="4">
                  <c:v>143.28315515658269</c:v>
                </c:pt>
                <c:pt idx="5">
                  <c:v>145.90035073413267</c:v>
                </c:pt>
                <c:pt idx="6">
                  <c:v>151.66319175200852</c:v>
                </c:pt>
                <c:pt idx="7">
                  <c:v>109.63935362649171</c:v>
                </c:pt>
                <c:pt idx="8">
                  <c:v>125.1122060044854</c:v>
                </c:pt>
                <c:pt idx="9">
                  <c:v>142.92679140224379</c:v>
                </c:pt>
                <c:pt idx="10">
                  <c:v>152.90203073523386</c:v>
                </c:pt>
                <c:pt idx="11">
                  <c:v>159.37325610752785</c:v>
                </c:pt>
                <c:pt idx="12">
                  <c:v>161.03462863453771</c:v>
                </c:pt>
                <c:pt idx="13">
                  <c:v>167.15441777118926</c:v>
                </c:pt>
              </c:numCache>
            </c:numRef>
          </c:val>
          <c:extLst xmlns:c16r2="http://schemas.microsoft.com/office/drawing/2015/06/chart">
            <c:ext xmlns:c16="http://schemas.microsoft.com/office/drawing/2014/chart" uri="{C3380CC4-5D6E-409C-BE32-E72D297353CC}">
              <c16:uniqueId val="{00000006-41C5-437D-9A40-68F3DA5156F7}"/>
            </c:ext>
          </c:extLst>
        </c:ser>
        <c:ser>
          <c:idx val="7"/>
          <c:order val="7"/>
          <c:tx>
            <c:strRef>
              <c:f>Sheet2!$J$19</c:f>
              <c:strCache>
                <c:ptCount val="1"/>
                <c:pt idx="0">
                  <c:v>expenditure on miscellaneous goods and services</c:v>
                </c:pt>
              </c:strCache>
            </c:strRef>
          </c:tx>
          <c:spPr>
            <a:solidFill>
              <a:schemeClr val="accent2">
                <a:lumMod val="60000"/>
              </a:schemeClr>
            </a:solidFill>
            <a:ln>
              <a:noFill/>
            </a:ln>
            <a:effectLst/>
          </c:spPr>
          <c:invertIfNegative val="0"/>
          <c:cat>
            <c:multiLvlStrRef>
              <c:f>Sheet2!$A$20:$B$33</c:f>
              <c:multiLvlStrCache>
                <c:ptCount val="14"/>
                <c:lvl>
                  <c:pt idx="0">
                    <c:v>2020</c:v>
                  </c:pt>
                  <c:pt idx="1">
                    <c:v>2025</c:v>
                  </c:pt>
                  <c:pt idx="2">
                    <c:v>2030</c:v>
                  </c:pt>
                  <c:pt idx="3">
                    <c:v>2035</c:v>
                  </c:pt>
                  <c:pt idx="4">
                    <c:v>2040</c:v>
                  </c:pt>
                  <c:pt idx="5">
                    <c:v>2045</c:v>
                  </c:pt>
                  <c:pt idx="6">
                    <c:v>2050</c:v>
                  </c:pt>
                  <c:pt idx="7">
                    <c:v>2020</c:v>
                  </c:pt>
                  <c:pt idx="8">
                    <c:v>2025</c:v>
                  </c:pt>
                  <c:pt idx="9">
                    <c:v>2030</c:v>
                  </c:pt>
                  <c:pt idx="10">
                    <c:v>2035</c:v>
                  </c:pt>
                  <c:pt idx="11">
                    <c:v>2040</c:v>
                  </c:pt>
                  <c:pt idx="12">
                    <c:v>2045</c:v>
                  </c:pt>
                  <c:pt idx="13">
                    <c:v>2050</c:v>
                  </c:pt>
                </c:lvl>
                <c:lvl>
                  <c:pt idx="0">
                    <c:v>Old policy</c:v>
                  </c:pt>
                  <c:pt idx="7">
                    <c:v>New policy</c:v>
                  </c:pt>
                </c:lvl>
              </c:multiLvlStrCache>
            </c:multiLvlStrRef>
          </c:cat>
          <c:val>
            <c:numRef>
              <c:f>Sheet2!$J$20:$J$33</c:f>
              <c:numCache>
                <c:formatCode>General</c:formatCode>
                <c:ptCount val="14"/>
                <c:pt idx="0">
                  <c:v>105.07539825559202</c:v>
                </c:pt>
                <c:pt idx="1">
                  <c:v>107.16572539328766</c:v>
                </c:pt>
                <c:pt idx="2">
                  <c:v>108.62329582545733</c:v>
                </c:pt>
                <c:pt idx="3">
                  <c:v>108.26070297034964</c:v>
                </c:pt>
                <c:pt idx="4">
                  <c:v>108.94615817799152</c:v>
                </c:pt>
                <c:pt idx="5">
                  <c:v>108.26339516891399</c:v>
                </c:pt>
                <c:pt idx="6">
                  <c:v>106.68894333015007</c:v>
                </c:pt>
                <c:pt idx="7">
                  <c:v>107.3330828486409</c:v>
                </c:pt>
                <c:pt idx="8">
                  <c:v>113.7408221778494</c:v>
                </c:pt>
                <c:pt idx="9">
                  <c:v>119.15112613991899</c:v>
                </c:pt>
                <c:pt idx="10">
                  <c:v>119.50220640252857</c:v>
                </c:pt>
                <c:pt idx="11">
                  <c:v>121.18035752533176</c:v>
                </c:pt>
                <c:pt idx="12">
                  <c:v>119.49358276396269</c:v>
                </c:pt>
                <c:pt idx="13">
                  <c:v>117.58639653407177</c:v>
                </c:pt>
              </c:numCache>
            </c:numRef>
          </c:val>
          <c:extLst xmlns:c16r2="http://schemas.microsoft.com/office/drawing/2015/06/chart">
            <c:ext xmlns:c16="http://schemas.microsoft.com/office/drawing/2014/chart" uri="{C3380CC4-5D6E-409C-BE32-E72D297353CC}">
              <c16:uniqueId val="{00000007-41C5-437D-9A40-68F3DA5156F7}"/>
            </c:ext>
          </c:extLst>
        </c:ser>
        <c:dLbls>
          <c:showLegendKey val="0"/>
          <c:showVal val="0"/>
          <c:showCatName val="0"/>
          <c:showSerName val="0"/>
          <c:showPercent val="0"/>
          <c:showBubbleSize val="0"/>
        </c:dLbls>
        <c:gapWidth val="182"/>
        <c:axId val="-809690960"/>
        <c:axId val="-809682256"/>
      </c:barChart>
      <c:catAx>
        <c:axId val="-809690960"/>
        <c:scaling>
          <c:orientation val="minMax"/>
        </c:scaling>
        <c:delete val="0"/>
        <c:axPos val="l"/>
        <c:numFmt formatCode="General" sourceLinked="1"/>
        <c:majorTickMark val="out"/>
        <c:minorTickMark val="none"/>
        <c:tickLblPos val="nextTo"/>
        <c:spPr>
          <a:noFill/>
          <a:ln w="9525" cap="flat" cmpd="sng" algn="ctr">
            <a:solidFill>
              <a:srgbClr val="0070C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809682256"/>
        <c:crosses val="autoZero"/>
        <c:auto val="1"/>
        <c:lblAlgn val="ctr"/>
        <c:lblOffset val="100"/>
        <c:noMultiLvlLbl val="0"/>
      </c:catAx>
      <c:valAx>
        <c:axId val="-809682256"/>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809690960"/>
        <c:crosses val="autoZero"/>
        <c:crossBetween val="between"/>
      </c:valAx>
      <c:spPr>
        <a:noFill/>
        <a:ln>
          <a:noFill/>
        </a:ln>
        <a:effectLst/>
      </c:spPr>
    </c:plotArea>
    <c:legend>
      <c:legendPos val="b"/>
      <c:layout>
        <c:manualLayout>
          <c:xMode val="edge"/>
          <c:yMode val="edge"/>
          <c:x val="9.8999675602347459E-2"/>
          <c:y val="0.69635512670242961"/>
          <c:w val="0.80200064879530508"/>
          <c:h val="0.291291568788614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Times New Roman" panose="02020603050405020304" pitchFamily="18" charset="0"/>
          <a:cs typeface="Times New Roman" panose="02020603050405020304" pitchFamily="18"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900" b="1"/>
              <a:t>B</a:t>
            </a:r>
            <a:r>
              <a:rPr lang="en-US" sz="900"/>
              <a:t>    Consumption change for different </a:t>
            </a:r>
            <a:r>
              <a:rPr lang="en-US" altLang="zh-CN" sz="900" b="0" i="0" u="none" strike="noStrike" baseline="0">
                <a:effectLst/>
              </a:rPr>
              <a:t>expenditure items</a:t>
            </a:r>
            <a:r>
              <a:rPr lang="en-US" sz="900"/>
              <a:t> in rural (2017 old policy=100)</a:t>
            </a:r>
            <a:endParaRPr lang="zh-CN" sz="900"/>
          </a:p>
        </c:rich>
      </c:tx>
      <c:overlay val="0"/>
      <c:spPr>
        <a:noFill/>
        <a:ln>
          <a:noFill/>
        </a:ln>
        <a:effectLst/>
      </c:spPr>
    </c:title>
    <c:autoTitleDeleted val="0"/>
    <c:plotArea>
      <c:layout>
        <c:manualLayout>
          <c:layoutTarget val="inner"/>
          <c:xMode val="edge"/>
          <c:yMode val="edge"/>
          <c:x val="0.20201659763627813"/>
          <c:y val="7.0377610865315368E-2"/>
          <c:w val="0.72923581084156386"/>
          <c:h val="0.58221002290342883"/>
        </c:manualLayout>
      </c:layout>
      <c:barChart>
        <c:barDir val="bar"/>
        <c:grouping val="clustered"/>
        <c:varyColors val="0"/>
        <c:ser>
          <c:idx val="0"/>
          <c:order val="0"/>
          <c:tx>
            <c:strRef>
              <c:f>Sheet2!$C$2</c:f>
              <c:strCache>
                <c:ptCount val="1"/>
                <c:pt idx="0">
                  <c:v>expenditure on food, tobacco, and alcohol</c:v>
                </c:pt>
              </c:strCache>
            </c:strRef>
          </c:tx>
          <c:spPr>
            <a:solidFill>
              <a:schemeClr val="accent1"/>
            </a:solidFill>
            <a:ln>
              <a:noFill/>
            </a:ln>
            <a:effectLst/>
          </c:spPr>
          <c:invertIfNegative val="0"/>
          <c:cat>
            <c:multiLvlStrRef>
              <c:f>Sheet2!$A$3:$B$16</c:f>
              <c:multiLvlStrCache>
                <c:ptCount val="14"/>
                <c:lvl>
                  <c:pt idx="0">
                    <c:v>2020</c:v>
                  </c:pt>
                  <c:pt idx="1">
                    <c:v>2025</c:v>
                  </c:pt>
                  <c:pt idx="2">
                    <c:v>2030</c:v>
                  </c:pt>
                  <c:pt idx="3">
                    <c:v>2035</c:v>
                  </c:pt>
                  <c:pt idx="4">
                    <c:v>2040</c:v>
                  </c:pt>
                  <c:pt idx="5">
                    <c:v>2045</c:v>
                  </c:pt>
                  <c:pt idx="6">
                    <c:v>2050</c:v>
                  </c:pt>
                  <c:pt idx="7">
                    <c:v>2020</c:v>
                  </c:pt>
                  <c:pt idx="8">
                    <c:v>2025</c:v>
                  </c:pt>
                  <c:pt idx="9">
                    <c:v>2030</c:v>
                  </c:pt>
                  <c:pt idx="10">
                    <c:v>2035</c:v>
                  </c:pt>
                  <c:pt idx="11">
                    <c:v>2040</c:v>
                  </c:pt>
                  <c:pt idx="12">
                    <c:v>2045</c:v>
                  </c:pt>
                  <c:pt idx="13">
                    <c:v>2050</c:v>
                  </c:pt>
                </c:lvl>
                <c:lvl>
                  <c:pt idx="0">
                    <c:v>Old policy</c:v>
                  </c:pt>
                  <c:pt idx="7">
                    <c:v>New policy</c:v>
                  </c:pt>
                </c:lvl>
              </c:multiLvlStrCache>
            </c:multiLvlStrRef>
          </c:cat>
          <c:val>
            <c:numRef>
              <c:f>Sheet2!$C$3:$C$16</c:f>
              <c:numCache>
                <c:formatCode>General</c:formatCode>
                <c:ptCount val="14"/>
                <c:pt idx="0">
                  <c:v>94.835499374351016</c:v>
                </c:pt>
                <c:pt idx="1">
                  <c:v>86.99521672605556</c:v>
                </c:pt>
                <c:pt idx="2">
                  <c:v>79.271875150165968</c:v>
                </c:pt>
                <c:pt idx="3">
                  <c:v>74.119390984399445</c:v>
                </c:pt>
                <c:pt idx="4">
                  <c:v>68.36003452008697</c:v>
                </c:pt>
                <c:pt idx="5">
                  <c:v>63.849152658226814</c:v>
                </c:pt>
                <c:pt idx="6">
                  <c:v>59.814646371377187</c:v>
                </c:pt>
                <c:pt idx="7">
                  <c:v>95.467715236322874</c:v>
                </c:pt>
                <c:pt idx="8">
                  <c:v>87.595781582141356</c:v>
                </c:pt>
                <c:pt idx="9">
                  <c:v>80.048637663194697</c:v>
                </c:pt>
                <c:pt idx="10">
                  <c:v>75.214783834176345</c:v>
                </c:pt>
                <c:pt idx="11">
                  <c:v>70.052343002680885</c:v>
                </c:pt>
                <c:pt idx="12">
                  <c:v>65.860330822046777</c:v>
                </c:pt>
                <c:pt idx="13">
                  <c:v>62.505198722567961</c:v>
                </c:pt>
              </c:numCache>
            </c:numRef>
          </c:val>
          <c:extLst xmlns:c16r2="http://schemas.microsoft.com/office/drawing/2015/06/chart">
            <c:ext xmlns:c16="http://schemas.microsoft.com/office/drawing/2014/chart" uri="{C3380CC4-5D6E-409C-BE32-E72D297353CC}">
              <c16:uniqueId val="{00000000-72BC-4157-BD1F-32EDFBFB48C3}"/>
            </c:ext>
          </c:extLst>
        </c:ser>
        <c:ser>
          <c:idx val="1"/>
          <c:order val="1"/>
          <c:tx>
            <c:strRef>
              <c:f>Sheet2!$D$2</c:f>
              <c:strCache>
                <c:ptCount val="1"/>
                <c:pt idx="0">
                  <c:v>clothing expenditure</c:v>
                </c:pt>
              </c:strCache>
            </c:strRef>
          </c:tx>
          <c:spPr>
            <a:solidFill>
              <a:schemeClr val="accent2"/>
            </a:solidFill>
            <a:ln>
              <a:noFill/>
            </a:ln>
            <a:effectLst/>
          </c:spPr>
          <c:invertIfNegative val="0"/>
          <c:cat>
            <c:multiLvlStrRef>
              <c:f>Sheet2!$A$3:$B$16</c:f>
              <c:multiLvlStrCache>
                <c:ptCount val="14"/>
                <c:lvl>
                  <c:pt idx="0">
                    <c:v>2020</c:v>
                  </c:pt>
                  <c:pt idx="1">
                    <c:v>2025</c:v>
                  </c:pt>
                  <c:pt idx="2">
                    <c:v>2030</c:v>
                  </c:pt>
                  <c:pt idx="3">
                    <c:v>2035</c:v>
                  </c:pt>
                  <c:pt idx="4">
                    <c:v>2040</c:v>
                  </c:pt>
                  <c:pt idx="5">
                    <c:v>2045</c:v>
                  </c:pt>
                  <c:pt idx="6">
                    <c:v>2050</c:v>
                  </c:pt>
                  <c:pt idx="7">
                    <c:v>2020</c:v>
                  </c:pt>
                  <c:pt idx="8">
                    <c:v>2025</c:v>
                  </c:pt>
                  <c:pt idx="9">
                    <c:v>2030</c:v>
                  </c:pt>
                  <c:pt idx="10">
                    <c:v>2035</c:v>
                  </c:pt>
                  <c:pt idx="11">
                    <c:v>2040</c:v>
                  </c:pt>
                  <c:pt idx="12">
                    <c:v>2045</c:v>
                  </c:pt>
                  <c:pt idx="13">
                    <c:v>2050</c:v>
                  </c:pt>
                </c:lvl>
                <c:lvl>
                  <c:pt idx="0">
                    <c:v>Old policy</c:v>
                  </c:pt>
                  <c:pt idx="7">
                    <c:v>New policy</c:v>
                  </c:pt>
                </c:lvl>
              </c:multiLvlStrCache>
            </c:multiLvlStrRef>
          </c:cat>
          <c:val>
            <c:numRef>
              <c:f>Sheet2!$D$3:$D$16</c:f>
              <c:numCache>
                <c:formatCode>General</c:formatCode>
                <c:ptCount val="14"/>
                <c:pt idx="0">
                  <c:v>94.134432727652438</c:v>
                </c:pt>
                <c:pt idx="1">
                  <c:v>84.018213212660356</c:v>
                </c:pt>
                <c:pt idx="2">
                  <c:v>73.951730340782305</c:v>
                </c:pt>
                <c:pt idx="3">
                  <c:v>67.273240382087394</c:v>
                </c:pt>
                <c:pt idx="4">
                  <c:v>61.300612997397231</c:v>
                </c:pt>
                <c:pt idx="5">
                  <c:v>56.640701712349284</c:v>
                </c:pt>
                <c:pt idx="6">
                  <c:v>51.772724812216062</c:v>
                </c:pt>
                <c:pt idx="7">
                  <c:v>94.900600587454477</c:v>
                </c:pt>
                <c:pt idx="8">
                  <c:v>84.956350094432608</c:v>
                </c:pt>
                <c:pt idx="9">
                  <c:v>75.222820501432977</c:v>
                </c:pt>
                <c:pt idx="10">
                  <c:v>68.961150895646881</c:v>
                </c:pt>
                <c:pt idx="11">
                  <c:v>63.659106661701799</c:v>
                </c:pt>
                <c:pt idx="12">
                  <c:v>59.488517105204515</c:v>
                </c:pt>
                <c:pt idx="13">
                  <c:v>55.495641527153801</c:v>
                </c:pt>
              </c:numCache>
            </c:numRef>
          </c:val>
          <c:extLst xmlns:c16r2="http://schemas.microsoft.com/office/drawing/2015/06/chart">
            <c:ext xmlns:c16="http://schemas.microsoft.com/office/drawing/2014/chart" uri="{C3380CC4-5D6E-409C-BE32-E72D297353CC}">
              <c16:uniqueId val="{00000001-72BC-4157-BD1F-32EDFBFB48C3}"/>
            </c:ext>
          </c:extLst>
        </c:ser>
        <c:ser>
          <c:idx val="2"/>
          <c:order val="2"/>
          <c:tx>
            <c:strRef>
              <c:f>Sheet2!$E$2</c:f>
              <c:strCache>
                <c:ptCount val="1"/>
                <c:pt idx="0">
                  <c:v>housing expenditure</c:v>
                </c:pt>
              </c:strCache>
            </c:strRef>
          </c:tx>
          <c:spPr>
            <a:solidFill>
              <a:schemeClr val="accent3"/>
            </a:solidFill>
            <a:ln>
              <a:noFill/>
            </a:ln>
            <a:effectLst/>
          </c:spPr>
          <c:invertIfNegative val="0"/>
          <c:cat>
            <c:multiLvlStrRef>
              <c:f>Sheet2!$A$3:$B$16</c:f>
              <c:multiLvlStrCache>
                <c:ptCount val="14"/>
                <c:lvl>
                  <c:pt idx="0">
                    <c:v>2020</c:v>
                  </c:pt>
                  <c:pt idx="1">
                    <c:v>2025</c:v>
                  </c:pt>
                  <c:pt idx="2">
                    <c:v>2030</c:v>
                  </c:pt>
                  <c:pt idx="3">
                    <c:v>2035</c:v>
                  </c:pt>
                  <c:pt idx="4">
                    <c:v>2040</c:v>
                  </c:pt>
                  <c:pt idx="5">
                    <c:v>2045</c:v>
                  </c:pt>
                  <c:pt idx="6">
                    <c:v>2050</c:v>
                  </c:pt>
                  <c:pt idx="7">
                    <c:v>2020</c:v>
                  </c:pt>
                  <c:pt idx="8">
                    <c:v>2025</c:v>
                  </c:pt>
                  <c:pt idx="9">
                    <c:v>2030</c:v>
                  </c:pt>
                  <c:pt idx="10">
                    <c:v>2035</c:v>
                  </c:pt>
                  <c:pt idx="11">
                    <c:v>2040</c:v>
                  </c:pt>
                  <c:pt idx="12">
                    <c:v>2045</c:v>
                  </c:pt>
                  <c:pt idx="13">
                    <c:v>2050</c:v>
                  </c:pt>
                </c:lvl>
                <c:lvl>
                  <c:pt idx="0">
                    <c:v>Old policy</c:v>
                  </c:pt>
                  <c:pt idx="7">
                    <c:v>New policy</c:v>
                  </c:pt>
                </c:lvl>
              </c:multiLvlStrCache>
            </c:multiLvlStrRef>
          </c:cat>
          <c:val>
            <c:numRef>
              <c:f>Sheet2!$E$3:$E$16</c:f>
              <c:numCache>
                <c:formatCode>General</c:formatCode>
                <c:ptCount val="14"/>
                <c:pt idx="0">
                  <c:v>94.948795307825335</c:v>
                </c:pt>
                <c:pt idx="1">
                  <c:v>87.542284253153454</c:v>
                </c:pt>
                <c:pt idx="2">
                  <c:v>80.321370455027619</c:v>
                </c:pt>
                <c:pt idx="3">
                  <c:v>75.50624240058383</c:v>
                </c:pt>
                <c:pt idx="4">
                  <c:v>69.790838817674526</c:v>
                </c:pt>
                <c:pt idx="5">
                  <c:v>65.272210348545897</c:v>
                </c:pt>
                <c:pt idx="6">
                  <c:v>61.340770230711769</c:v>
                </c:pt>
                <c:pt idx="7">
                  <c:v>95.50983769343587</c:v>
                </c:pt>
                <c:pt idx="8">
                  <c:v>87.969970797518457</c:v>
                </c:pt>
                <c:pt idx="9">
                  <c:v>80.854753843562449</c:v>
                </c:pt>
                <c:pt idx="10">
                  <c:v>76.361505014744708</c:v>
                </c:pt>
                <c:pt idx="11">
                  <c:v>71.249373237879439</c:v>
                </c:pt>
                <c:pt idx="12">
                  <c:v>67.011418720446557</c:v>
                </c:pt>
                <c:pt idx="13">
                  <c:v>63.704775002762574</c:v>
                </c:pt>
              </c:numCache>
            </c:numRef>
          </c:val>
          <c:extLst xmlns:c16r2="http://schemas.microsoft.com/office/drawing/2015/06/chart">
            <c:ext xmlns:c16="http://schemas.microsoft.com/office/drawing/2014/chart" uri="{C3380CC4-5D6E-409C-BE32-E72D297353CC}">
              <c16:uniqueId val="{00000002-72BC-4157-BD1F-32EDFBFB48C3}"/>
            </c:ext>
          </c:extLst>
        </c:ser>
        <c:ser>
          <c:idx val="3"/>
          <c:order val="3"/>
          <c:tx>
            <c:strRef>
              <c:f>Sheet2!$F$2</c:f>
              <c:strCache>
                <c:ptCount val="1"/>
                <c:pt idx="0">
                  <c:v>expenditure on facility and services</c:v>
                </c:pt>
              </c:strCache>
            </c:strRef>
          </c:tx>
          <c:spPr>
            <a:solidFill>
              <a:schemeClr val="accent4"/>
            </a:solidFill>
            <a:ln>
              <a:noFill/>
            </a:ln>
            <a:effectLst/>
          </c:spPr>
          <c:invertIfNegative val="0"/>
          <c:cat>
            <c:multiLvlStrRef>
              <c:f>Sheet2!$A$3:$B$16</c:f>
              <c:multiLvlStrCache>
                <c:ptCount val="14"/>
                <c:lvl>
                  <c:pt idx="0">
                    <c:v>2020</c:v>
                  </c:pt>
                  <c:pt idx="1">
                    <c:v>2025</c:v>
                  </c:pt>
                  <c:pt idx="2">
                    <c:v>2030</c:v>
                  </c:pt>
                  <c:pt idx="3">
                    <c:v>2035</c:v>
                  </c:pt>
                  <c:pt idx="4">
                    <c:v>2040</c:v>
                  </c:pt>
                  <c:pt idx="5">
                    <c:v>2045</c:v>
                  </c:pt>
                  <c:pt idx="6">
                    <c:v>2050</c:v>
                  </c:pt>
                  <c:pt idx="7">
                    <c:v>2020</c:v>
                  </c:pt>
                  <c:pt idx="8">
                    <c:v>2025</c:v>
                  </c:pt>
                  <c:pt idx="9">
                    <c:v>2030</c:v>
                  </c:pt>
                  <c:pt idx="10">
                    <c:v>2035</c:v>
                  </c:pt>
                  <c:pt idx="11">
                    <c:v>2040</c:v>
                  </c:pt>
                  <c:pt idx="12">
                    <c:v>2045</c:v>
                  </c:pt>
                  <c:pt idx="13">
                    <c:v>2050</c:v>
                  </c:pt>
                </c:lvl>
                <c:lvl>
                  <c:pt idx="0">
                    <c:v>Old policy</c:v>
                  </c:pt>
                  <c:pt idx="7">
                    <c:v>New policy</c:v>
                  </c:pt>
                </c:lvl>
              </c:multiLvlStrCache>
            </c:multiLvlStrRef>
          </c:cat>
          <c:val>
            <c:numRef>
              <c:f>Sheet2!$F$3:$F$16</c:f>
              <c:numCache>
                <c:formatCode>General</c:formatCode>
                <c:ptCount val="14"/>
                <c:pt idx="0">
                  <c:v>94.570202729785777</c:v>
                </c:pt>
                <c:pt idx="1">
                  <c:v>85.873894277127278</c:v>
                </c:pt>
                <c:pt idx="2">
                  <c:v>77.273678403058895</c:v>
                </c:pt>
                <c:pt idx="3">
                  <c:v>71.55092099545071</c:v>
                </c:pt>
                <c:pt idx="4">
                  <c:v>65.71161114259742</c:v>
                </c:pt>
                <c:pt idx="5">
                  <c:v>61.141809772544065</c:v>
                </c:pt>
                <c:pt idx="6">
                  <c:v>56.789394859185037</c:v>
                </c:pt>
                <c:pt idx="7">
                  <c:v>95.249063806887705</c:v>
                </c:pt>
                <c:pt idx="8">
                  <c:v>86.592263156456056</c:v>
                </c:pt>
                <c:pt idx="9">
                  <c:v>78.223514438498626</c:v>
                </c:pt>
                <c:pt idx="10">
                  <c:v>72.857751209111015</c:v>
                </c:pt>
                <c:pt idx="11">
                  <c:v>67.644651016523866</c:v>
                </c:pt>
                <c:pt idx="12">
                  <c:v>63.457383981398607</c:v>
                </c:pt>
                <c:pt idx="13">
                  <c:v>59.856458205784534</c:v>
                </c:pt>
              </c:numCache>
            </c:numRef>
          </c:val>
          <c:extLst xmlns:c16r2="http://schemas.microsoft.com/office/drawing/2015/06/chart">
            <c:ext xmlns:c16="http://schemas.microsoft.com/office/drawing/2014/chart" uri="{C3380CC4-5D6E-409C-BE32-E72D297353CC}">
              <c16:uniqueId val="{00000003-72BC-4157-BD1F-32EDFBFB48C3}"/>
            </c:ext>
          </c:extLst>
        </c:ser>
        <c:ser>
          <c:idx val="4"/>
          <c:order val="4"/>
          <c:tx>
            <c:strRef>
              <c:f>Sheet2!$G$2</c:f>
              <c:strCache>
                <c:ptCount val="1"/>
                <c:pt idx="0">
                  <c:v>expenditure on communication and transportation</c:v>
                </c:pt>
              </c:strCache>
            </c:strRef>
          </c:tx>
          <c:spPr>
            <a:solidFill>
              <a:schemeClr val="accent5"/>
            </a:solidFill>
            <a:ln>
              <a:noFill/>
            </a:ln>
            <a:effectLst/>
          </c:spPr>
          <c:invertIfNegative val="0"/>
          <c:cat>
            <c:multiLvlStrRef>
              <c:f>Sheet2!$A$3:$B$16</c:f>
              <c:multiLvlStrCache>
                <c:ptCount val="14"/>
                <c:lvl>
                  <c:pt idx="0">
                    <c:v>2020</c:v>
                  </c:pt>
                  <c:pt idx="1">
                    <c:v>2025</c:v>
                  </c:pt>
                  <c:pt idx="2">
                    <c:v>2030</c:v>
                  </c:pt>
                  <c:pt idx="3">
                    <c:v>2035</c:v>
                  </c:pt>
                  <c:pt idx="4">
                    <c:v>2040</c:v>
                  </c:pt>
                  <c:pt idx="5">
                    <c:v>2045</c:v>
                  </c:pt>
                  <c:pt idx="6">
                    <c:v>2050</c:v>
                  </c:pt>
                  <c:pt idx="7">
                    <c:v>2020</c:v>
                  </c:pt>
                  <c:pt idx="8">
                    <c:v>2025</c:v>
                  </c:pt>
                  <c:pt idx="9">
                    <c:v>2030</c:v>
                  </c:pt>
                  <c:pt idx="10">
                    <c:v>2035</c:v>
                  </c:pt>
                  <c:pt idx="11">
                    <c:v>2040</c:v>
                  </c:pt>
                  <c:pt idx="12">
                    <c:v>2045</c:v>
                  </c:pt>
                  <c:pt idx="13">
                    <c:v>2050</c:v>
                  </c:pt>
                </c:lvl>
                <c:lvl>
                  <c:pt idx="0">
                    <c:v>Old policy</c:v>
                  </c:pt>
                  <c:pt idx="7">
                    <c:v>New policy</c:v>
                  </c:pt>
                </c:lvl>
              </c:multiLvlStrCache>
            </c:multiLvlStrRef>
          </c:cat>
          <c:val>
            <c:numRef>
              <c:f>Sheet2!$G$3:$G$16</c:f>
              <c:numCache>
                <c:formatCode>General</c:formatCode>
                <c:ptCount val="14"/>
                <c:pt idx="0">
                  <c:v>94.012201998386772</c:v>
                </c:pt>
                <c:pt idx="1">
                  <c:v>83.600604892170722</c:v>
                </c:pt>
                <c:pt idx="2">
                  <c:v>73.315892008443683</c:v>
                </c:pt>
                <c:pt idx="3">
                  <c:v>66.510871288262251</c:v>
                </c:pt>
                <c:pt idx="4">
                  <c:v>60.515647428112729</c:v>
                </c:pt>
                <c:pt idx="5">
                  <c:v>55.780811340860012</c:v>
                </c:pt>
                <c:pt idx="6">
                  <c:v>50.718890602350996</c:v>
                </c:pt>
                <c:pt idx="7">
                  <c:v>94.725261626526304</c:v>
                </c:pt>
                <c:pt idx="8">
                  <c:v>84.413960109247739</c:v>
                </c:pt>
                <c:pt idx="9">
                  <c:v>74.418499455595054</c:v>
                </c:pt>
                <c:pt idx="10">
                  <c:v>68.075697286416542</c:v>
                </c:pt>
                <c:pt idx="11">
                  <c:v>62.791845647706175</c:v>
                </c:pt>
                <c:pt idx="12">
                  <c:v>58.559748372120374</c:v>
                </c:pt>
                <c:pt idx="13">
                  <c:v>54.371417467042008</c:v>
                </c:pt>
              </c:numCache>
            </c:numRef>
          </c:val>
          <c:extLst xmlns:c16r2="http://schemas.microsoft.com/office/drawing/2015/06/chart">
            <c:ext xmlns:c16="http://schemas.microsoft.com/office/drawing/2014/chart" uri="{C3380CC4-5D6E-409C-BE32-E72D297353CC}">
              <c16:uniqueId val="{00000004-72BC-4157-BD1F-32EDFBFB48C3}"/>
            </c:ext>
          </c:extLst>
        </c:ser>
        <c:ser>
          <c:idx val="5"/>
          <c:order val="5"/>
          <c:tx>
            <c:strRef>
              <c:f>Sheet2!$H$2</c:f>
              <c:strCache>
                <c:ptCount val="1"/>
                <c:pt idx="0">
                  <c:v>expenditure on education and entertainment, and cultural activities</c:v>
                </c:pt>
              </c:strCache>
            </c:strRef>
          </c:tx>
          <c:spPr>
            <a:solidFill>
              <a:schemeClr val="accent6"/>
            </a:solidFill>
            <a:ln>
              <a:noFill/>
            </a:ln>
            <a:effectLst/>
          </c:spPr>
          <c:invertIfNegative val="0"/>
          <c:cat>
            <c:multiLvlStrRef>
              <c:f>Sheet2!$A$3:$B$16</c:f>
              <c:multiLvlStrCache>
                <c:ptCount val="14"/>
                <c:lvl>
                  <c:pt idx="0">
                    <c:v>2020</c:v>
                  </c:pt>
                  <c:pt idx="1">
                    <c:v>2025</c:v>
                  </c:pt>
                  <c:pt idx="2">
                    <c:v>2030</c:v>
                  </c:pt>
                  <c:pt idx="3">
                    <c:v>2035</c:v>
                  </c:pt>
                  <c:pt idx="4">
                    <c:v>2040</c:v>
                  </c:pt>
                  <c:pt idx="5">
                    <c:v>2045</c:v>
                  </c:pt>
                  <c:pt idx="6">
                    <c:v>2050</c:v>
                  </c:pt>
                  <c:pt idx="7">
                    <c:v>2020</c:v>
                  </c:pt>
                  <c:pt idx="8">
                    <c:v>2025</c:v>
                  </c:pt>
                  <c:pt idx="9">
                    <c:v>2030</c:v>
                  </c:pt>
                  <c:pt idx="10">
                    <c:v>2035</c:v>
                  </c:pt>
                  <c:pt idx="11">
                    <c:v>2040</c:v>
                  </c:pt>
                  <c:pt idx="12">
                    <c:v>2045</c:v>
                  </c:pt>
                  <c:pt idx="13">
                    <c:v>2050</c:v>
                  </c:pt>
                </c:lvl>
                <c:lvl>
                  <c:pt idx="0">
                    <c:v>Old policy</c:v>
                  </c:pt>
                  <c:pt idx="7">
                    <c:v>New policy</c:v>
                  </c:pt>
                </c:lvl>
              </c:multiLvlStrCache>
            </c:multiLvlStrRef>
          </c:cat>
          <c:val>
            <c:numRef>
              <c:f>Sheet2!$H$3:$H$16</c:f>
              <c:numCache>
                <c:formatCode>General</c:formatCode>
                <c:ptCount val="14"/>
                <c:pt idx="0">
                  <c:v>94.217471671671333</c:v>
                </c:pt>
                <c:pt idx="1">
                  <c:v>84.540324269547185</c:v>
                </c:pt>
                <c:pt idx="2">
                  <c:v>75.069369639000101</c:v>
                </c:pt>
                <c:pt idx="3">
                  <c:v>68.804785808334245</c:v>
                </c:pt>
                <c:pt idx="4">
                  <c:v>62.881795425594703</c:v>
                </c:pt>
                <c:pt idx="5">
                  <c:v>58.157753052565319</c:v>
                </c:pt>
                <c:pt idx="6">
                  <c:v>53.307237898497625</c:v>
                </c:pt>
                <c:pt idx="7">
                  <c:v>94.839856682100546</c:v>
                </c:pt>
                <c:pt idx="8">
                  <c:v>85.131184984411419</c:v>
                </c:pt>
                <c:pt idx="9">
                  <c:v>75.855734972305967</c:v>
                </c:pt>
                <c:pt idx="10">
                  <c:v>70.043555810099221</c:v>
                </c:pt>
                <c:pt idx="11">
                  <c:v>64.829139843270468</c:v>
                </c:pt>
                <c:pt idx="12">
                  <c:v>60.546934065942025</c:v>
                </c:pt>
                <c:pt idx="13">
                  <c:v>56.488625999548255</c:v>
                </c:pt>
              </c:numCache>
            </c:numRef>
          </c:val>
          <c:extLst xmlns:c16r2="http://schemas.microsoft.com/office/drawing/2015/06/chart">
            <c:ext xmlns:c16="http://schemas.microsoft.com/office/drawing/2014/chart" uri="{C3380CC4-5D6E-409C-BE32-E72D297353CC}">
              <c16:uniqueId val="{00000005-72BC-4157-BD1F-32EDFBFB48C3}"/>
            </c:ext>
          </c:extLst>
        </c:ser>
        <c:ser>
          <c:idx val="6"/>
          <c:order val="6"/>
          <c:tx>
            <c:strRef>
              <c:f>Sheet2!$I$2</c:f>
              <c:strCache>
                <c:ptCount val="1"/>
                <c:pt idx="0">
                  <c:v>healthcare expenditure</c:v>
                </c:pt>
              </c:strCache>
            </c:strRef>
          </c:tx>
          <c:spPr>
            <a:solidFill>
              <a:schemeClr val="accent1">
                <a:lumMod val="60000"/>
              </a:schemeClr>
            </a:solidFill>
            <a:ln>
              <a:noFill/>
            </a:ln>
            <a:effectLst/>
          </c:spPr>
          <c:invertIfNegative val="0"/>
          <c:cat>
            <c:multiLvlStrRef>
              <c:f>Sheet2!$A$3:$B$16</c:f>
              <c:multiLvlStrCache>
                <c:ptCount val="14"/>
                <c:lvl>
                  <c:pt idx="0">
                    <c:v>2020</c:v>
                  </c:pt>
                  <c:pt idx="1">
                    <c:v>2025</c:v>
                  </c:pt>
                  <c:pt idx="2">
                    <c:v>2030</c:v>
                  </c:pt>
                  <c:pt idx="3">
                    <c:v>2035</c:v>
                  </c:pt>
                  <c:pt idx="4">
                    <c:v>2040</c:v>
                  </c:pt>
                  <c:pt idx="5">
                    <c:v>2045</c:v>
                  </c:pt>
                  <c:pt idx="6">
                    <c:v>2050</c:v>
                  </c:pt>
                  <c:pt idx="7">
                    <c:v>2020</c:v>
                  </c:pt>
                  <c:pt idx="8">
                    <c:v>2025</c:v>
                  </c:pt>
                  <c:pt idx="9">
                    <c:v>2030</c:v>
                  </c:pt>
                  <c:pt idx="10">
                    <c:v>2035</c:v>
                  </c:pt>
                  <c:pt idx="11">
                    <c:v>2040</c:v>
                  </c:pt>
                  <c:pt idx="12">
                    <c:v>2045</c:v>
                  </c:pt>
                  <c:pt idx="13">
                    <c:v>2050</c:v>
                  </c:pt>
                </c:lvl>
                <c:lvl>
                  <c:pt idx="0">
                    <c:v>Old policy</c:v>
                  </c:pt>
                  <c:pt idx="7">
                    <c:v>New policy</c:v>
                  </c:pt>
                </c:lvl>
              </c:multiLvlStrCache>
            </c:multiLvlStrRef>
          </c:cat>
          <c:val>
            <c:numRef>
              <c:f>Sheet2!$I$3:$I$16</c:f>
              <c:numCache>
                <c:formatCode>General</c:formatCode>
                <c:ptCount val="14"/>
                <c:pt idx="0">
                  <c:v>96.361167259501116</c:v>
                </c:pt>
                <c:pt idx="1">
                  <c:v>93.143690193164772</c:v>
                </c:pt>
                <c:pt idx="2">
                  <c:v>89.900193448423082</c:v>
                </c:pt>
                <c:pt idx="3">
                  <c:v>87.614521635644849</c:v>
                </c:pt>
                <c:pt idx="4">
                  <c:v>82.271812936345924</c:v>
                </c:pt>
                <c:pt idx="5">
                  <c:v>78.244531588113361</c:v>
                </c:pt>
                <c:pt idx="6">
                  <c:v>76.182094395175369</c:v>
                </c:pt>
                <c:pt idx="7">
                  <c:v>96.951528413178195</c:v>
                </c:pt>
                <c:pt idx="8">
                  <c:v>93.610358975839063</c:v>
                </c:pt>
                <c:pt idx="9">
                  <c:v>90.435200047648834</c:v>
                </c:pt>
                <c:pt idx="10">
                  <c:v>88.163597667414749</c:v>
                </c:pt>
                <c:pt idx="11">
                  <c:v>83.166590580474121</c:v>
                </c:pt>
                <c:pt idx="12">
                  <c:v>79.140425809698314</c:v>
                </c:pt>
                <c:pt idx="13">
                  <c:v>77.448298527990133</c:v>
                </c:pt>
              </c:numCache>
            </c:numRef>
          </c:val>
          <c:extLst xmlns:c16r2="http://schemas.microsoft.com/office/drawing/2015/06/chart">
            <c:ext xmlns:c16="http://schemas.microsoft.com/office/drawing/2014/chart" uri="{C3380CC4-5D6E-409C-BE32-E72D297353CC}">
              <c16:uniqueId val="{00000006-72BC-4157-BD1F-32EDFBFB48C3}"/>
            </c:ext>
          </c:extLst>
        </c:ser>
        <c:ser>
          <c:idx val="7"/>
          <c:order val="7"/>
          <c:tx>
            <c:strRef>
              <c:f>Sheet2!$J$2</c:f>
              <c:strCache>
                <c:ptCount val="1"/>
                <c:pt idx="0">
                  <c:v>expenditure on miscellaneous goods and services</c:v>
                </c:pt>
              </c:strCache>
            </c:strRef>
          </c:tx>
          <c:spPr>
            <a:solidFill>
              <a:schemeClr val="accent2">
                <a:lumMod val="60000"/>
              </a:schemeClr>
            </a:solidFill>
            <a:ln>
              <a:noFill/>
            </a:ln>
            <a:effectLst/>
          </c:spPr>
          <c:invertIfNegative val="0"/>
          <c:cat>
            <c:multiLvlStrRef>
              <c:f>Sheet2!$A$3:$B$16</c:f>
              <c:multiLvlStrCache>
                <c:ptCount val="14"/>
                <c:lvl>
                  <c:pt idx="0">
                    <c:v>2020</c:v>
                  </c:pt>
                  <c:pt idx="1">
                    <c:v>2025</c:v>
                  </c:pt>
                  <c:pt idx="2">
                    <c:v>2030</c:v>
                  </c:pt>
                  <c:pt idx="3">
                    <c:v>2035</c:v>
                  </c:pt>
                  <c:pt idx="4">
                    <c:v>2040</c:v>
                  </c:pt>
                  <c:pt idx="5">
                    <c:v>2045</c:v>
                  </c:pt>
                  <c:pt idx="6">
                    <c:v>2050</c:v>
                  </c:pt>
                  <c:pt idx="7">
                    <c:v>2020</c:v>
                  </c:pt>
                  <c:pt idx="8">
                    <c:v>2025</c:v>
                  </c:pt>
                  <c:pt idx="9">
                    <c:v>2030</c:v>
                  </c:pt>
                  <c:pt idx="10">
                    <c:v>2035</c:v>
                  </c:pt>
                  <c:pt idx="11">
                    <c:v>2040</c:v>
                  </c:pt>
                  <c:pt idx="12">
                    <c:v>2045</c:v>
                  </c:pt>
                  <c:pt idx="13">
                    <c:v>2050</c:v>
                  </c:pt>
                </c:lvl>
                <c:lvl>
                  <c:pt idx="0">
                    <c:v>Old policy</c:v>
                  </c:pt>
                  <c:pt idx="7">
                    <c:v>New policy</c:v>
                  </c:pt>
                </c:lvl>
              </c:multiLvlStrCache>
            </c:multiLvlStrRef>
          </c:cat>
          <c:val>
            <c:numRef>
              <c:f>Sheet2!$J$3:$J$16</c:f>
              <c:numCache>
                <c:formatCode>General</c:formatCode>
                <c:ptCount val="14"/>
                <c:pt idx="0">
                  <c:v>94.409526714426406</c:v>
                </c:pt>
                <c:pt idx="1">
                  <c:v>84.973991842171586</c:v>
                </c:pt>
                <c:pt idx="2">
                  <c:v>75.428498101490703</c:v>
                </c:pt>
                <c:pt idx="3">
                  <c:v>69.056657492160738</c:v>
                </c:pt>
                <c:pt idx="4">
                  <c:v>63.137173260499779</c:v>
                </c:pt>
                <c:pt idx="5">
                  <c:v>58.638214727936791</c:v>
                </c:pt>
                <c:pt idx="6">
                  <c:v>54.199105376596414</c:v>
                </c:pt>
                <c:pt idx="7">
                  <c:v>95.282859708772705</c:v>
                </c:pt>
                <c:pt idx="8">
                  <c:v>86.162985396205059</c:v>
                </c:pt>
                <c:pt idx="9">
                  <c:v>77.03705370770372</c:v>
                </c:pt>
                <c:pt idx="10">
                  <c:v>70.984076079683277</c:v>
                </c:pt>
                <c:pt idx="11">
                  <c:v>65.647787143838727</c:v>
                </c:pt>
                <c:pt idx="12">
                  <c:v>61.605275939369193</c:v>
                </c:pt>
                <c:pt idx="13">
                  <c:v>58.038667382968931</c:v>
                </c:pt>
              </c:numCache>
            </c:numRef>
          </c:val>
          <c:extLst xmlns:c16r2="http://schemas.microsoft.com/office/drawing/2015/06/chart">
            <c:ext xmlns:c16="http://schemas.microsoft.com/office/drawing/2014/chart" uri="{C3380CC4-5D6E-409C-BE32-E72D297353CC}">
              <c16:uniqueId val="{00000007-72BC-4157-BD1F-32EDFBFB48C3}"/>
            </c:ext>
          </c:extLst>
        </c:ser>
        <c:dLbls>
          <c:showLegendKey val="0"/>
          <c:showVal val="0"/>
          <c:showCatName val="0"/>
          <c:showSerName val="0"/>
          <c:showPercent val="0"/>
          <c:showBubbleSize val="0"/>
        </c:dLbls>
        <c:gapWidth val="182"/>
        <c:axId val="-809687696"/>
        <c:axId val="-809686064"/>
      </c:barChart>
      <c:catAx>
        <c:axId val="-809687696"/>
        <c:scaling>
          <c:orientation val="minMax"/>
        </c:scaling>
        <c:delete val="0"/>
        <c:axPos val="l"/>
        <c:numFmt formatCode="General" sourceLinked="1"/>
        <c:majorTickMark val="out"/>
        <c:minorTickMark val="none"/>
        <c:tickLblPos val="nextTo"/>
        <c:spPr>
          <a:noFill/>
          <a:ln w="9525" cap="flat" cmpd="sng" algn="ctr">
            <a:solidFill>
              <a:srgbClr val="0070C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809686064"/>
        <c:crosses val="autoZero"/>
        <c:auto val="1"/>
        <c:lblAlgn val="ctr"/>
        <c:lblOffset val="100"/>
        <c:noMultiLvlLbl val="0"/>
      </c:catAx>
      <c:valAx>
        <c:axId val="-809686064"/>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809687696"/>
        <c:crosses val="autoZero"/>
        <c:crossBetween val="between"/>
      </c:valAx>
      <c:spPr>
        <a:noFill/>
        <a:ln>
          <a:noFill/>
        </a:ln>
        <a:effectLst/>
      </c:spPr>
    </c:plotArea>
    <c:legend>
      <c:legendPos val="b"/>
      <c:layout>
        <c:manualLayout>
          <c:xMode val="edge"/>
          <c:yMode val="edge"/>
          <c:x val="6.9003079817334972E-2"/>
          <c:y val="0.69826778134881506"/>
          <c:w val="0.86199384036533011"/>
          <c:h val="0.289385269376568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Times New Roman" panose="02020603050405020304" pitchFamily="18" charset="0"/>
          <a:cs typeface="Times New Roman" panose="02020603050405020304" pitchFamily="18"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829296350010251"/>
          <c:y val="1.679851036751508E-2"/>
          <c:w val="0.46876229128543118"/>
          <c:h val="0.95035896881068505"/>
        </c:manualLayout>
      </c:layout>
      <c:barChart>
        <c:barDir val="bar"/>
        <c:grouping val="clustered"/>
        <c:varyColors val="0"/>
        <c:ser>
          <c:idx val="0"/>
          <c:order val="0"/>
          <c:tx>
            <c:strRef>
              <c:f>'2020old'!$D$5</c:f>
              <c:strCache>
                <c:ptCount val="1"/>
                <c:pt idx="0">
                  <c:v>Old policy, 2050</c:v>
                </c:pt>
              </c:strCache>
            </c:strRef>
          </c:tx>
          <c:spPr>
            <a:solidFill>
              <a:srgbClr val="0000FF"/>
            </a:solidFill>
            <a:ln>
              <a:solidFill>
                <a:srgbClr val="0070C0"/>
              </a:solidFill>
            </a:ln>
            <a:effectLst/>
          </c:spPr>
          <c:invertIfNegative val="0"/>
          <c:cat>
            <c:strRef>
              <c:f>'2020old'!$B$7:$B$155</c:f>
              <c:strCache>
                <c:ptCount val="149"/>
                <c:pt idx="0">
                  <c:v>Agricultural products</c:v>
                </c:pt>
                <c:pt idx="1">
                  <c:v>Forest products</c:v>
                </c:pt>
                <c:pt idx="2">
                  <c:v>Livestock products</c:v>
                </c:pt>
                <c:pt idx="3">
                  <c:v>Fishery products</c:v>
                </c:pt>
                <c:pt idx="4">
                  <c:v>Agricultural, forestry, animal husbandry and fishery service products</c:v>
                </c:pt>
                <c:pt idx="5">
                  <c:v>Coal mining and washing products</c:v>
                </c:pt>
                <c:pt idx="6">
                  <c:v>Oil and gas extraction products</c:v>
                </c:pt>
                <c:pt idx="7">
                  <c:v>Mining and dressing products of ferrous metal ore</c:v>
                </c:pt>
                <c:pt idx="8">
                  <c:v>Non-ferrous metal ore mining and dressing products</c:v>
                </c:pt>
                <c:pt idx="9">
                  <c:v>Non-metallic ore mining and dressing products</c:v>
                </c:pt>
                <c:pt idx="10">
                  <c:v>Mining ancillary activities and other mining products</c:v>
                </c:pt>
                <c:pt idx="11">
                  <c:v>Grain grinding products</c:v>
                </c:pt>
                <c:pt idx="12">
                  <c:v>Feed processed products</c:v>
                </c:pt>
                <c:pt idx="13">
                  <c:v>Vegetable oil processed products</c:v>
                </c:pt>
                <c:pt idx="14">
                  <c:v>Sugar and sugar products</c:v>
                </c:pt>
                <c:pt idx="15">
                  <c:v>Slaughter and processed meat products</c:v>
                </c:pt>
                <c:pt idx="16">
                  <c:v>Aquatic products</c:v>
                </c:pt>
                <c:pt idx="17">
                  <c:v>Vegetables, fruits, nuts and other processed agricultural and sideline food products</c:v>
                </c:pt>
                <c:pt idx="18">
                  <c:v>Convenience food</c:v>
                </c:pt>
                <c:pt idx="19">
                  <c:v>Dairy products</c:v>
                </c:pt>
                <c:pt idx="20">
                  <c:v>Condiments, fermented products</c:v>
                </c:pt>
                <c:pt idx="21">
                  <c:v>Other foods</c:v>
                </c:pt>
                <c:pt idx="22">
                  <c:v>Alcohol and alcohol</c:v>
                </c:pt>
                <c:pt idx="23">
                  <c:v>Beverages</c:v>
                </c:pt>
                <c:pt idx="24">
                  <c:v>Refined tea</c:v>
                </c:pt>
                <c:pt idx="25">
                  <c:v>Tobacco products</c:v>
                </c:pt>
                <c:pt idx="26">
                  <c:v>Cotton, Chemical Fiber Textile and Printing and Dyeing Finished Products</c:v>
                </c:pt>
                <c:pt idx="27">
                  <c:v>Wool Textile and Dyeing and Finishing Finished Products</c:v>
                </c:pt>
                <c:pt idx="28">
                  <c:v>Textile and processed products of hemp, silk and silk</c:v>
                </c:pt>
                <c:pt idx="29">
                  <c:v>Knitted or crocheted and their products</c:v>
                </c:pt>
                <c:pt idx="30">
                  <c:v>Textile finished products</c:v>
                </c:pt>
                <c:pt idx="31">
                  <c:v>Textile clothing and apparel</c:v>
                </c:pt>
                <c:pt idx="32">
                  <c:v>Leather, fur, feathers and their products</c:v>
                </c:pt>
                <c:pt idx="33">
                  <c:v>Shoes</c:v>
                </c:pt>
                <c:pt idx="34">
                  <c:v>Wood processing and wood, bamboo, rattan, brown and grass products</c:v>
                </c:pt>
                <c:pt idx="35">
                  <c:v>Furniture</c:v>
                </c:pt>
                <c:pt idx="36">
                  <c:v>Paper and paper products</c:v>
                </c:pt>
                <c:pt idx="37">
                  <c:v>Printing and recording media reproductions</c:v>
                </c:pt>
                <c:pt idx="38">
                  <c:v>Arts and Crafts</c:v>
                </c:pt>
                <c:pt idx="39">
                  <c:v>Cultural, educational, sports and recreational items</c:v>
                </c:pt>
                <c:pt idx="40">
                  <c:v>Refined petroleum and nuclear fuel processed products</c:v>
                </c:pt>
                <c:pt idx="41">
                  <c:v>Coal processed products</c:v>
                </c:pt>
                <c:pt idx="42">
                  <c:v>Basic chemical raw materials</c:v>
                </c:pt>
                <c:pt idx="43">
                  <c:v>Fertilizer</c:v>
                </c:pt>
                <c:pt idx="44">
                  <c:v>Pesticides</c:v>
                </c:pt>
                <c:pt idx="45">
                  <c:v>Coatings, Inks, Pigments and Similar Products</c:v>
                </c:pt>
                <c:pt idx="46">
                  <c:v>Synthetic material</c:v>
                </c:pt>
                <c:pt idx="47">
                  <c:v>Special chemical products and explosives, pyrotechnics and fireworks products</c:v>
                </c:pt>
                <c:pt idx="48">
                  <c:v>Daily chemical products</c:v>
                </c:pt>
                <c:pt idx="49">
                  <c:v>Pharmaceutical products</c:v>
                </c:pt>
                <c:pt idx="50">
                  <c:v>Chemical fiber products</c:v>
                </c:pt>
                <c:pt idx="51">
                  <c:v>Rubber products</c:v>
                </c:pt>
                <c:pt idx="52">
                  <c:v>Plastic products</c:v>
                </c:pt>
                <c:pt idx="53">
                  <c:v>Cement, Lime and Gypsum</c:v>
                </c:pt>
                <c:pt idx="54">
                  <c:v>Gypsum, cement products and similar products</c:v>
                </c:pt>
                <c:pt idx="55">
                  <c:v>Brick, tile, stone and other building materials</c:v>
                </c:pt>
                <c:pt idx="56">
                  <c:v>Glass and glass products</c:v>
                </c:pt>
                <c:pt idx="57">
                  <c:v>Ceramic products</c:v>
                </c:pt>
                <c:pt idx="58">
                  <c:v>Refractory products</c:v>
                </c:pt>
                <c:pt idx="59">
                  <c:v>Graphite and other nonmetallic mineral products</c:v>
                </c:pt>
                <c:pt idx="60">
                  <c:v>Steel</c:v>
                </c:pt>
                <c:pt idx="61">
                  <c:v>Steel calendered products</c:v>
                </c:pt>
                <c:pt idx="62">
                  <c:v>Iron and ferroalloy products</c:v>
                </c:pt>
                <c:pt idx="63">
                  <c:v>Non-ferrous metals and their alloys</c:v>
                </c:pt>
                <c:pt idx="64">
                  <c:v>Non-ferrous metal calendered products</c:v>
                </c:pt>
                <c:pt idx="65">
                  <c:v>Metal products</c:v>
                </c:pt>
                <c:pt idx="66">
                  <c:v>Boilers and primary equipment</c:v>
                </c:pt>
                <c:pt idx="67">
                  <c:v>Metalworking machinery</c:v>
                </c:pt>
                <c:pt idx="68">
                  <c:v>Material handling equipment</c:v>
                </c:pt>
                <c:pt idx="69">
                  <c:v>Pumps, valves, compressors and similar machinery</c:v>
                </c:pt>
                <c:pt idx="70">
                  <c:v>Cultural and office machinery</c:v>
                </c:pt>
                <c:pt idx="71">
                  <c:v>Other general purpose equipment</c:v>
                </c:pt>
                <c:pt idx="72">
                  <c:v>Special equipment for mining, metallurgy and construction</c:v>
                </c:pt>
                <c:pt idx="73">
                  <c:v>Special Equipment for Chemical, Wood and Non-metal Processing</c:v>
                </c:pt>
                <c:pt idx="74">
                  <c:v>Special machinery for agriculture, forestry, animal husbandry and fishing</c:v>
                </c:pt>
                <c:pt idx="75">
                  <c:v>Other special equipment</c:v>
                </c:pt>
                <c:pt idx="76">
                  <c:v>Complete vehicle</c:v>
                </c:pt>
                <c:pt idx="77">
                  <c:v>Auto parts and accessories</c:v>
                </c:pt>
                <c:pt idx="78">
                  <c:v>Railway Transportation and Urban Rail Transit Equipment</c:v>
                </c:pt>
                <c:pt idx="79">
                  <c:v>Ships and associated installations</c:v>
                </c:pt>
                <c:pt idx="80">
                  <c:v>Other transportation equipment</c:v>
                </c:pt>
                <c:pt idx="81">
                  <c:v>Motor</c:v>
                </c:pt>
                <c:pt idx="82">
                  <c:v>Transmission, distribution and control equipment</c:v>
                </c:pt>
                <c:pt idx="83">
                  <c:v>Wire, cable, optical cable and electrical equipment</c:v>
                </c:pt>
                <c:pt idx="84">
                  <c:v>Battery</c:v>
                </c:pt>
                <c:pt idx="85">
                  <c:v>Household appliances</c:v>
                </c:pt>
                <c:pt idx="86">
                  <c:v>Other electrical machinery and equipment</c:v>
                </c:pt>
                <c:pt idx="87">
                  <c:v>Computer</c:v>
                </c:pt>
                <c:pt idx="88">
                  <c:v>Communication equipment</c:v>
                </c:pt>
                <c:pt idx="89">
                  <c:v>Radio and television equipment, radar and supporting equipment</c:v>
                </c:pt>
                <c:pt idx="90">
                  <c:v>Audio-visual equipment</c:v>
                </c:pt>
                <c:pt idx="91">
                  <c:v>Electronic components</c:v>
                </c:pt>
                <c:pt idx="92">
                  <c:v>Other electronic equipment</c:v>
                </c:pt>
                <c:pt idx="93">
                  <c:v>Instrumentation</c:v>
                </c:pt>
                <c:pt idx="94">
                  <c:v>Other manufactured products</c:v>
                </c:pt>
                <c:pt idx="95">
                  <c:v>Waste resources and waste materials recycled products</c:v>
                </c:pt>
                <c:pt idx="96">
                  <c:v>Repair services for metal products, machinery and equipment</c:v>
                </c:pt>
                <c:pt idx="97">
                  <c:v>Electricity and heat production and supply</c:v>
                </c:pt>
                <c:pt idx="98">
                  <c:v>Gas production and supply</c:v>
                </c:pt>
                <c:pt idx="99">
                  <c:v>Water production and supply</c:v>
                </c:pt>
                <c:pt idx="100">
                  <c:v>House construction</c:v>
                </c:pt>
                <c:pt idx="101">
                  <c:v>Civil Engineering Architecture</c:v>
                </c:pt>
                <c:pt idx="102">
                  <c:v>Construction and installation</c:v>
                </c:pt>
                <c:pt idx="103">
                  <c:v>Building decoration, decoration and other construction services</c:v>
                </c:pt>
                <c:pt idx="104">
                  <c:v>Wholesale</c:v>
                </c:pt>
                <c:pt idx="105">
                  <c:v>Retail</c:v>
                </c:pt>
                <c:pt idx="106">
                  <c:v>Railway passenger transport</c:v>
                </c:pt>
                <c:pt idx="107">
                  <c:v>Railway freight transport and transport support activities</c:v>
                </c:pt>
                <c:pt idx="108">
                  <c:v>Urban Public Transport and Highway Passenger Transport</c:v>
                </c:pt>
                <c:pt idx="109">
                  <c:v>Road freight transport and transport support activities</c:v>
                </c:pt>
                <c:pt idx="110">
                  <c:v>Water passenger transportation</c:v>
                </c:pt>
                <c:pt idx="111">
                  <c:v>Water Cargo Transportation and Transportation Support Activities</c:v>
                </c:pt>
                <c:pt idx="112">
                  <c:v>Air passenger transport</c:v>
                </c:pt>
                <c:pt idx="113">
                  <c:v>Air cargo transport and transport support activities</c:v>
                </c:pt>
                <c:pt idx="114">
                  <c:v>Pipeline transportation</c:v>
                </c:pt>
                <c:pt idx="115">
                  <c:v>Multimodal transport and transport agents</c:v>
                </c:pt>
                <c:pt idx="116">
                  <c:v>Handling and storage</c:v>
                </c:pt>
                <c:pt idx="117">
                  <c:v>Postal Service</c:v>
                </c:pt>
                <c:pt idx="118">
                  <c:v>Accommodation</c:v>
                </c:pt>
                <c:pt idx="119">
                  <c:v>Catering</c:v>
                </c:pt>
                <c:pt idx="120">
                  <c:v>Telecommunications</c:v>
                </c:pt>
                <c:pt idx="121">
                  <c:v>Radio, television and satellite transmission services</c:v>
                </c:pt>
                <c:pt idx="122">
                  <c:v>Internet and related services</c:v>
                </c:pt>
                <c:pt idx="123">
                  <c:v>Software Services</c:v>
                </c:pt>
                <c:pt idx="124">
                  <c:v>Information Technology Services</c:v>
                </c:pt>
                <c:pt idx="125">
                  <c:v>Monetary, financial and other financial services</c:v>
                </c:pt>
                <c:pt idx="126">
                  <c:v>Capital market services</c:v>
                </c:pt>
                <c:pt idx="127">
                  <c:v>Insurance</c:v>
                </c:pt>
                <c:pt idx="128">
                  <c:v>Real Estate</c:v>
                </c:pt>
                <c:pt idx="129">
                  <c:v>Lease</c:v>
                </c:pt>
                <c:pt idx="130">
                  <c:v>Business Services</c:v>
                </c:pt>
                <c:pt idx="131">
                  <c:v>Research and experimental development</c:v>
                </c:pt>
                <c:pt idx="132">
                  <c:v>Professional technical services</c:v>
                </c:pt>
                <c:pt idx="133">
                  <c:v>Science and Technology Promotion and Application Services</c:v>
                </c:pt>
                <c:pt idx="134">
                  <c:v>Water conservancy management</c:v>
                </c:pt>
                <c:pt idx="135">
                  <c:v>Ecological Protection and Environmental Governance</c:v>
                </c:pt>
                <c:pt idx="136">
                  <c:v>Public facilities and land management</c:v>
                </c:pt>
                <c:pt idx="137">
                  <c:v>Resident Services</c:v>
                </c:pt>
                <c:pt idx="138">
                  <c:v>Other Services</c:v>
                </c:pt>
                <c:pt idx="139">
                  <c:v>Education</c:v>
                </c:pt>
                <c:pt idx="140">
                  <c:v>Hygiene</c:v>
                </c:pt>
                <c:pt idx="141">
                  <c:v>Social work</c:v>
                </c:pt>
                <c:pt idx="142">
                  <c:v>Press and Publication</c:v>
                </c:pt>
                <c:pt idx="143">
                  <c:v>Radio, television, film and video recording production</c:v>
                </c:pt>
                <c:pt idx="144">
                  <c:v>Culture and Art</c:v>
                </c:pt>
                <c:pt idx="145">
                  <c:v>Sports</c:v>
                </c:pt>
                <c:pt idx="146">
                  <c:v>Entertainment</c:v>
                </c:pt>
                <c:pt idx="147">
                  <c:v>Social Security</c:v>
                </c:pt>
                <c:pt idx="148">
                  <c:v>Public Administration and Social Organization</c:v>
                </c:pt>
              </c:strCache>
            </c:strRef>
          </c:cat>
          <c:val>
            <c:numRef>
              <c:f>'2020old'!$D$7:$D$155</c:f>
              <c:numCache>
                <c:formatCode>0_ </c:formatCode>
                <c:ptCount val="149"/>
                <c:pt idx="0">
                  <c:v>5004125.2637803229</c:v>
                </c:pt>
                <c:pt idx="1">
                  <c:v>54941.323805908229</c:v>
                </c:pt>
                <c:pt idx="2">
                  <c:v>4343783.6366527071</c:v>
                </c:pt>
                <c:pt idx="3">
                  <c:v>2548738.1143985139</c:v>
                </c:pt>
                <c:pt idx="4">
                  <c:v>0</c:v>
                </c:pt>
                <c:pt idx="5">
                  <c:v>48811.810552640614</c:v>
                </c:pt>
                <c:pt idx="6">
                  <c:v>0</c:v>
                </c:pt>
                <c:pt idx="7">
                  <c:v>0</c:v>
                </c:pt>
                <c:pt idx="8">
                  <c:v>0</c:v>
                </c:pt>
                <c:pt idx="9">
                  <c:v>0</c:v>
                </c:pt>
                <c:pt idx="10">
                  <c:v>0</c:v>
                </c:pt>
                <c:pt idx="11">
                  <c:v>2526092.5832390268</c:v>
                </c:pt>
                <c:pt idx="12">
                  <c:v>15252.791117555176</c:v>
                </c:pt>
                <c:pt idx="13">
                  <c:v>1535959.0199359499</c:v>
                </c:pt>
                <c:pt idx="14">
                  <c:v>146548.36600516606</c:v>
                </c:pt>
                <c:pt idx="15">
                  <c:v>5669639.0133375181</c:v>
                </c:pt>
                <c:pt idx="16">
                  <c:v>1492886.5390113862</c:v>
                </c:pt>
                <c:pt idx="17">
                  <c:v>3218703.4041161025</c:v>
                </c:pt>
                <c:pt idx="18">
                  <c:v>1138001.3478046588</c:v>
                </c:pt>
                <c:pt idx="19">
                  <c:v>1870355.6710185024</c:v>
                </c:pt>
                <c:pt idx="20">
                  <c:v>840508.50312372437</c:v>
                </c:pt>
                <c:pt idx="21">
                  <c:v>5571454.9290771941</c:v>
                </c:pt>
                <c:pt idx="22">
                  <c:v>1769115.7954855112</c:v>
                </c:pt>
                <c:pt idx="23">
                  <c:v>1877863.9011927664</c:v>
                </c:pt>
                <c:pt idx="24">
                  <c:v>433468.35127397248</c:v>
                </c:pt>
                <c:pt idx="25">
                  <c:v>1502210.7176249083</c:v>
                </c:pt>
                <c:pt idx="26">
                  <c:v>38562.197936780336</c:v>
                </c:pt>
                <c:pt idx="27">
                  <c:v>2360.5470824181662</c:v>
                </c:pt>
                <c:pt idx="28">
                  <c:v>4220.1836056094417</c:v>
                </c:pt>
                <c:pt idx="29">
                  <c:v>127400.4619613126</c:v>
                </c:pt>
                <c:pt idx="30">
                  <c:v>306559.7080914476</c:v>
                </c:pt>
                <c:pt idx="31">
                  <c:v>3093991.0150693567</c:v>
                </c:pt>
                <c:pt idx="32">
                  <c:v>1093289.6734765726</c:v>
                </c:pt>
                <c:pt idx="33">
                  <c:v>1646471.586481587</c:v>
                </c:pt>
                <c:pt idx="34">
                  <c:v>152200.95184963784</c:v>
                </c:pt>
                <c:pt idx="35">
                  <c:v>779377.2248587301</c:v>
                </c:pt>
                <c:pt idx="36">
                  <c:v>79108.11669007421</c:v>
                </c:pt>
                <c:pt idx="37">
                  <c:v>16555.099945117734</c:v>
                </c:pt>
                <c:pt idx="38">
                  <c:v>585705.015620869</c:v>
                </c:pt>
                <c:pt idx="39">
                  <c:v>666825.57939924439</c:v>
                </c:pt>
                <c:pt idx="40">
                  <c:v>1382551.8309517659</c:v>
                </c:pt>
                <c:pt idx="41">
                  <c:v>65756.905479493958</c:v>
                </c:pt>
                <c:pt idx="42">
                  <c:v>0</c:v>
                </c:pt>
                <c:pt idx="43">
                  <c:v>0</c:v>
                </c:pt>
                <c:pt idx="44">
                  <c:v>12947.85715443058</c:v>
                </c:pt>
                <c:pt idx="45">
                  <c:v>3955.1214672155957</c:v>
                </c:pt>
                <c:pt idx="46">
                  <c:v>0</c:v>
                </c:pt>
                <c:pt idx="47">
                  <c:v>15755.897078380931</c:v>
                </c:pt>
                <c:pt idx="48">
                  <c:v>987483.89097928198</c:v>
                </c:pt>
                <c:pt idx="49">
                  <c:v>3872509.0595097858</c:v>
                </c:pt>
                <c:pt idx="50">
                  <c:v>62.959104535476698</c:v>
                </c:pt>
                <c:pt idx="51">
                  <c:v>67853.174661379817</c:v>
                </c:pt>
                <c:pt idx="52">
                  <c:v>152670.44267244588</c:v>
                </c:pt>
                <c:pt idx="53">
                  <c:v>5303.4190897560993</c:v>
                </c:pt>
                <c:pt idx="54">
                  <c:v>12398.85794062415</c:v>
                </c:pt>
                <c:pt idx="55">
                  <c:v>21070.274541646635</c:v>
                </c:pt>
                <c:pt idx="56">
                  <c:v>98166.875481903538</c:v>
                </c:pt>
                <c:pt idx="57">
                  <c:v>108925.6732965124</c:v>
                </c:pt>
                <c:pt idx="58">
                  <c:v>0</c:v>
                </c:pt>
                <c:pt idx="59">
                  <c:v>842.90539730576461</c:v>
                </c:pt>
                <c:pt idx="60">
                  <c:v>0</c:v>
                </c:pt>
                <c:pt idx="61">
                  <c:v>0</c:v>
                </c:pt>
                <c:pt idx="62">
                  <c:v>0</c:v>
                </c:pt>
                <c:pt idx="63">
                  <c:v>0</c:v>
                </c:pt>
                <c:pt idx="64">
                  <c:v>0</c:v>
                </c:pt>
                <c:pt idx="65">
                  <c:v>285631.45747462707</c:v>
                </c:pt>
                <c:pt idx="66">
                  <c:v>0</c:v>
                </c:pt>
                <c:pt idx="67">
                  <c:v>0</c:v>
                </c:pt>
                <c:pt idx="68">
                  <c:v>0</c:v>
                </c:pt>
                <c:pt idx="69">
                  <c:v>0</c:v>
                </c:pt>
                <c:pt idx="70">
                  <c:v>67281.752052476382</c:v>
                </c:pt>
                <c:pt idx="71">
                  <c:v>7443.2129043225523</c:v>
                </c:pt>
                <c:pt idx="72">
                  <c:v>0</c:v>
                </c:pt>
                <c:pt idx="73">
                  <c:v>0</c:v>
                </c:pt>
                <c:pt idx="74">
                  <c:v>1815.630823580246</c:v>
                </c:pt>
                <c:pt idx="75">
                  <c:v>127817.28168721012</c:v>
                </c:pt>
                <c:pt idx="76">
                  <c:v>4696565.5572265647</c:v>
                </c:pt>
                <c:pt idx="77">
                  <c:v>121379.25921480052</c:v>
                </c:pt>
                <c:pt idx="78">
                  <c:v>0</c:v>
                </c:pt>
                <c:pt idx="79">
                  <c:v>6257.8259227727494</c:v>
                </c:pt>
                <c:pt idx="80">
                  <c:v>620841.53041696642</c:v>
                </c:pt>
                <c:pt idx="81">
                  <c:v>0</c:v>
                </c:pt>
                <c:pt idx="82">
                  <c:v>0</c:v>
                </c:pt>
                <c:pt idx="83">
                  <c:v>0</c:v>
                </c:pt>
                <c:pt idx="84">
                  <c:v>82265.009000261547</c:v>
                </c:pt>
                <c:pt idx="85">
                  <c:v>1582595.3972040636</c:v>
                </c:pt>
                <c:pt idx="86">
                  <c:v>16912.98193780944</c:v>
                </c:pt>
                <c:pt idx="87">
                  <c:v>490502.46840422839</c:v>
                </c:pt>
                <c:pt idx="88">
                  <c:v>1357341.135184706</c:v>
                </c:pt>
                <c:pt idx="89">
                  <c:v>19033.89672257888</c:v>
                </c:pt>
                <c:pt idx="90">
                  <c:v>683507.4345448768</c:v>
                </c:pt>
                <c:pt idx="91">
                  <c:v>0</c:v>
                </c:pt>
                <c:pt idx="92">
                  <c:v>45150.868295082189</c:v>
                </c:pt>
                <c:pt idx="93">
                  <c:v>136512.1882413376</c:v>
                </c:pt>
                <c:pt idx="94">
                  <c:v>162619.7834721402</c:v>
                </c:pt>
                <c:pt idx="95">
                  <c:v>0</c:v>
                </c:pt>
                <c:pt idx="96">
                  <c:v>0</c:v>
                </c:pt>
                <c:pt idx="97">
                  <c:v>1585167.8947562797</c:v>
                </c:pt>
                <c:pt idx="98">
                  <c:v>943383.64027487289</c:v>
                </c:pt>
                <c:pt idx="99">
                  <c:v>485334.45973969653</c:v>
                </c:pt>
                <c:pt idx="100">
                  <c:v>0</c:v>
                </c:pt>
                <c:pt idx="101">
                  <c:v>0</c:v>
                </c:pt>
                <c:pt idx="102">
                  <c:v>0</c:v>
                </c:pt>
                <c:pt idx="103">
                  <c:v>0</c:v>
                </c:pt>
                <c:pt idx="104">
                  <c:v>2980233.9406430353</c:v>
                </c:pt>
                <c:pt idx="105">
                  <c:v>5190107.0788154155</c:v>
                </c:pt>
                <c:pt idx="106">
                  <c:v>387401.27227674588</c:v>
                </c:pt>
                <c:pt idx="107">
                  <c:v>53611.081517561746</c:v>
                </c:pt>
                <c:pt idx="108">
                  <c:v>1142351.9069076721</c:v>
                </c:pt>
                <c:pt idx="109">
                  <c:v>2889611.689720002</c:v>
                </c:pt>
                <c:pt idx="110">
                  <c:v>196085.88741300575</c:v>
                </c:pt>
                <c:pt idx="111">
                  <c:v>89869.774002153819</c:v>
                </c:pt>
                <c:pt idx="112">
                  <c:v>591711.49839300162</c:v>
                </c:pt>
                <c:pt idx="113">
                  <c:v>43099.782825750473</c:v>
                </c:pt>
                <c:pt idx="114">
                  <c:v>31485.389567157508</c:v>
                </c:pt>
                <c:pt idx="115">
                  <c:v>350060.3298172605</c:v>
                </c:pt>
                <c:pt idx="116">
                  <c:v>51745.953489846826</c:v>
                </c:pt>
                <c:pt idx="117">
                  <c:v>468487.21399877721</c:v>
                </c:pt>
                <c:pt idx="118">
                  <c:v>767177.97222388757</c:v>
                </c:pt>
                <c:pt idx="119">
                  <c:v>7787959.9873610567</c:v>
                </c:pt>
                <c:pt idx="120">
                  <c:v>2482434.1874561026</c:v>
                </c:pt>
                <c:pt idx="121">
                  <c:v>353489.13090611133</c:v>
                </c:pt>
                <c:pt idx="122">
                  <c:v>462381.36736317829</c:v>
                </c:pt>
                <c:pt idx="123">
                  <c:v>14529.446303667872</c:v>
                </c:pt>
                <c:pt idx="124">
                  <c:v>320544.08008581772</c:v>
                </c:pt>
                <c:pt idx="125">
                  <c:v>3556368.5205888245</c:v>
                </c:pt>
                <c:pt idx="126">
                  <c:v>1516582.7388958344</c:v>
                </c:pt>
                <c:pt idx="127">
                  <c:v>4420123.7729574833</c:v>
                </c:pt>
                <c:pt idx="128">
                  <c:v>17655256.205749825</c:v>
                </c:pt>
                <c:pt idx="129">
                  <c:v>27027.16335299809</c:v>
                </c:pt>
                <c:pt idx="130">
                  <c:v>1989441.6026142663</c:v>
                </c:pt>
                <c:pt idx="131">
                  <c:v>0</c:v>
                </c:pt>
                <c:pt idx="132">
                  <c:v>196551.68420855165</c:v>
                </c:pt>
                <c:pt idx="133">
                  <c:v>0</c:v>
                </c:pt>
                <c:pt idx="134">
                  <c:v>0</c:v>
                </c:pt>
                <c:pt idx="135">
                  <c:v>81358.178341323888</c:v>
                </c:pt>
                <c:pt idx="136">
                  <c:v>271412.04685512296</c:v>
                </c:pt>
                <c:pt idx="137">
                  <c:v>5553473.9939033696</c:v>
                </c:pt>
                <c:pt idx="138">
                  <c:v>787643.1072977148</c:v>
                </c:pt>
                <c:pt idx="139">
                  <c:v>6885571.4720361643</c:v>
                </c:pt>
                <c:pt idx="140">
                  <c:v>9319402.4981299005</c:v>
                </c:pt>
                <c:pt idx="141">
                  <c:v>65117.297651055371</c:v>
                </c:pt>
                <c:pt idx="142">
                  <c:v>448450.32660382794</c:v>
                </c:pt>
                <c:pt idx="143">
                  <c:v>537540.01995648851</c:v>
                </c:pt>
                <c:pt idx="144">
                  <c:v>349912.89167300868</c:v>
                </c:pt>
                <c:pt idx="145">
                  <c:v>163408.61785544734</c:v>
                </c:pt>
                <c:pt idx="146">
                  <c:v>1093587.0255579979</c:v>
                </c:pt>
                <c:pt idx="147">
                  <c:v>0</c:v>
                </c:pt>
                <c:pt idx="148">
                  <c:v>289355.89644783689</c:v>
                </c:pt>
              </c:numCache>
            </c:numRef>
          </c:val>
          <c:extLst xmlns:c16r2="http://schemas.microsoft.com/office/drawing/2015/06/chart">
            <c:ext xmlns:c16="http://schemas.microsoft.com/office/drawing/2014/chart" uri="{C3380CC4-5D6E-409C-BE32-E72D297353CC}">
              <c16:uniqueId val="{00000000-5E3A-4AFE-A597-A524A9D1D8F0}"/>
            </c:ext>
          </c:extLst>
        </c:ser>
        <c:ser>
          <c:idx val="1"/>
          <c:order val="1"/>
          <c:tx>
            <c:strRef>
              <c:f>'2020old'!$E$5</c:f>
              <c:strCache>
                <c:ptCount val="1"/>
                <c:pt idx="0">
                  <c:v>New policy, 2050</c:v>
                </c:pt>
              </c:strCache>
            </c:strRef>
          </c:tx>
          <c:spPr>
            <a:solidFill>
              <a:srgbClr val="FF0000"/>
            </a:solidFill>
            <a:ln>
              <a:noFill/>
            </a:ln>
            <a:effectLst/>
          </c:spPr>
          <c:invertIfNegative val="0"/>
          <c:cat>
            <c:strRef>
              <c:f>'2020old'!$B$7:$B$155</c:f>
              <c:strCache>
                <c:ptCount val="149"/>
                <c:pt idx="0">
                  <c:v>Agricultural products</c:v>
                </c:pt>
                <c:pt idx="1">
                  <c:v>Forest products</c:v>
                </c:pt>
                <c:pt idx="2">
                  <c:v>Livestock products</c:v>
                </c:pt>
                <c:pt idx="3">
                  <c:v>Fishery products</c:v>
                </c:pt>
                <c:pt idx="4">
                  <c:v>Agricultural, forestry, animal husbandry and fishery service products</c:v>
                </c:pt>
                <c:pt idx="5">
                  <c:v>Coal mining and washing products</c:v>
                </c:pt>
                <c:pt idx="6">
                  <c:v>Oil and gas extraction products</c:v>
                </c:pt>
                <c:pt idx="7">
                  <c:v>Mining and dressing products of ferrous metal ore</c:v>
                </c:pt>
                <c:pt idx="8">
                  <c:v>Non-ferrous metal ore mining and dressing products</c:v>
                </c:pt>
                <c:pt idx="9">
                  <c:v>Non-metallic ore mining and dressing products</c:v>
                </c:pt>
                <c:pt idx="10">
                  <c:v>Mining ancillary activities and other mining products</c:v>
                </c:pt>
                <c:pt idx="11">
                  <c:v>Grain grinding products</c:v>
                </c:pt>
                <c:pt idx="12">
                  <c:v>Feed processed products</c:v>
                </c:pt>
                <c:pt idx="13">
                  <c:v>Vegetable oil processed products</c:v>
                </c:pt>
                <c:pt idx="14">
                  <c:v>Sugar and sugar products</c:v>
                </c:pt>
                <c:pt idx="15">
                  <c:v>Slaughter and processed meat products</c:v>
                </c:pt>
                <c:pt idx="16">
                  <c:v>Aquatic products</c:v>
                </c:pt>
                <c:pt idx="17">
                  <c:v>Vegetables, fruits, nuts and other processed agricultural and sideline food products</c:v>
                </c:pt>
                <c:pt idx="18">
                  <c:v>Convenience food</c:v>
                </c:pt>
                <c:pt idx="19">
                  <c:v>Dairy products</c:v>
                </c:pt>
                <c:pt idx="20">
                  <c:v>Condiments, fermented products</c:v>
                </c:pt>
                <c:pt idx="21">
                  <c:v>Other foods</c:v>
                </c:pt>
                <c:pt idx="22">
                  <c:v>Alcohol and alcohol</c:v>
                </c:pt>
                <c:pt idx="23">
                  <c:v>Beverages</c:v>
                </c:pt>
                <c:pt idx="24">
                  <c:v>Refined tea</c:v>
                </c:pt>
                <c:pt idx="25">
                  <c:v>Tobacco products</c:v>
                </c:pt>
                <c:pt idx="26">
                  <c:v>Cotton, Chemical Fiber Textile and Printing and Dyeing Finished Products</c:v>
                </c:pt>
                <c:pt idx="27">
                  <c:v>Wool Textile and Dyeing and Finishing Finished Products</c:v>
                </c:pt>
                <c:pt idx="28">
                  <c:v>Textile and processed products of hemp, silk and silk</c:v>
                </c:pt>
                <c:pt idx="29">
                  <c:v>Knitted or crocheted and their products</c:v>
                </c:pt>
                <c:pt idx="30">
                  <c:v>Textile finished products</c:v>
                </c:pt>
                <c:pt idx="31">
                  <c:v>Textile clothing and apparel</c:v>
                </c:pt>
                <c:pt idx="32">
                  <c:v>Leather, fur, feathers and their products</c:v>
                </c:pt>
                <c:pt idx="33">
                  <c:v>Shoes</c:v>
                </c:pt>
                <c:pt idx="34">
                  <c:v>Wood processing and wood, bamboo, rattan, brown and grass products</c:v>
                </c:pt>
                <c:pt idx="35">
                  <c:v>Furniture</c:v>
                </c:pt>
                <c:pt idx="36">
                  <c:v>Paper and paper products</c:v>
                </c:pt>
                <c:pt idx="37">
                  <c:v>Printing and recording media reproductions</c:v>
                </c:pt>
                <c:pt idx="38">
                  <c:v>Arts and Crafts</c:v>
                </c:pt>
                <c:pt idx="39">
                  <c:v>Cultural, educational, sports and recreational items</c:v>
                </c:pt>
                <c:pt idx="40">
                  <c:v>Refined petroleum and nuclear fuel processed products</c:v>
                </c:pt>
                <c:pt idx="41">
                  <c:v>Coal processed products</c:v>
                </c:pt>
                <c:pt idx="42">
                  <c:v>Basic chemical raw materials</c:v>
                </c:pt>
                <c:pt idx="43">
                  <c:v>Fertilizer</c:v>
                </c:pt>
                <c:pt idx="44">
                  <c:v>Pesticides</c:v>
                </c:pt>
                <c:pt idx="45">
                  <c:v>Coatings, Inks, Pigments and Similar Products</c:v>
                </c:pt>
                <c:pt idx="46">
                  <c:v>Synthetic material</c:v>
                </c:pt>
                <c:pt idx="47">
                  <c:v>Special chemical products and explosives, pyrotechnics and fireworks products</c:v>
                </c:pt>
                <c:pt idx="48">
                  <c:v>Daily chemical products</c:v>
                </c:pt>
                <c:pt idx="49">
                  <c:v>Pharmaceutical products</c:v>
                </c:pt>
                <c:pt idx="50">
                  <c:v>Chemical fiber products</c:v>
                </c:pt>
                <c:pt idx="51">
                  <c:v>Rubber products</c:v>
                </c:pt>
                <c:pt idx="52">
                  <c:v>Plastic products</c:v>
                </c:pt>
                <c:pt idx="53">
                  <c:v>Cement, Lime and Gypsum</c:v>
                </c:pt>
                <c:pt idx="54">
                  <c:v>Gypsum, cement products and similar products</c:v>
                </c:pt>
                <c:pt idx="55">
                  <c:v>Brick, tile, stone and other building materials</c:v>
                </c:pt>
                <c:pt idx="56">
                  <c:v>Glass and glass products</c:v>
                </c:pt>
                <c:pt idx="57">
                  <c:v>Ceramic products</c:v>
                </c:pt>
                <c:pt idx="58">
                  <c:v>Refractory products</c:v>
                </c:pt>
                <c:pt idx="59">
                  <c:v>Graphite and other nonmetallic mineral products</c:v>
                </c:pt>
                <c:pt idx="60">
                  <c:v>Steel</c:v>
                </c:pt>
                <c:pt idx="61">
                  <c:v>Steel calendered products</c:v>
                </c:pt>
                <c:pt idx="62">
                  <c:v>Iron and ferroalloy products</c:v>
                </c:pt>
                <c:pt idx="63">
                  <c:v>Non-ferrous metals and their alloys</c:v>
                </c:pt>
                <c:pt idx="64">
                  <c:v>Non-ferrous metal calendered products</c:v>
                </c:pt>
                <c:pt idx="65">
                  <c:v>Metal products</c:v>
                </c:pt>
                <c:pt idx="66">
                  <c:v>Boilers and primary equipment</c:v>
                </c:pt>
                <c:pt idx="67">
                  <c:v>Metalworking machinery</c:v>
                </c:pt>
                <c:pt idx="68">
                  <c:v>Material handling equipment</c:v>
                </c:pt>
                <c:pt idx="69">
                  <c:v>Pumps, valves, compressors and similar machinery</c:v>
                </c:pt>
                <c:pt idx="70">
                  <c:v>Cultural and office machinery</c:v>
                </c:pt>
                <c:pt idx="71">
                  <c:v>Other general purpose equipment</c:v>
                </c:pt>
                <c:pt idx="72">
                  <c:v>Special equipment for mining, metallurgy and construction</c:v>
                </c:pt>
                <c:pt idx="73">
                  <c:v>Special Equipment for Chemical, Wood and Non-metal Processing</c:v>
                </c:pt>
                <c:pt idx="74">
                  <c:v>Special machinery for agriculture, forestry, animal husbandry and fishing</c:v>
                </c:pt>
                <c:pt idx="75">
                  <c:v>Other special equipment</c:v>
                </c:pt>
                <c:pt idx="76">
                  <c:v>Complete vehicle</c:v>
                </c:pt>
                <c:pt idx="77">
                  <c:v>Auto parts and accessories</c:v>
                </c:pt>
                <c:pt idx="78">
                  <c:v>Railway Transportation and Urban Rail Transit Equipment</c:v>
                </c:pt>
                <c:pt idx="79">
                  <c:v>Ships and associated installations</c:v>
                </c:pt>
                <c:pt idx="80">
                  <c:v>Other transportation equipment</c:v>
                </c:pt>
                <c:pt idx="81">
                  <c:v>Motor</c:v>
                </c:pt>
                <c:pt idx="82">
                  <c:v>Transmission, distribution and control equipment</c:v>
                </c:pt>
                <c:pt idx="83">
                  <c:v>Wire, cable, optical cable and electrical equipment</c:v>
                </c:pt>
                <c:pt idx="84">
                  <c:v>Battery</c:v>
                </c:pt>
                <c:pt idx="85">
                  <c:v>Household appliances</c:v>
                </c:pt>
                <c:pt idx="86">
                  <c:v>Other electrical machinery and equipment</c:v>
                </c:pt>
                <c:pt idx="87">
                  <c:v>Computer</c:v>
                </c:pt>
                <c:pt idx="88">
                  <c:v>Communication equipment</c:v>
                </c:pt>
                <c:pt idx="89">
                  <c:v>Radio and television equipment, radar and supporting equipment</c:v>
                </c:pt>
                <c:pt idx="90">
                  <c:v>Audio-visual equipment</c:v>
                </c:pt>
                <c:pt idx="91">
                  <c:v>Electronic components</c:v>
                </c:pt>
                <c:pt idx="92">
                  <c:v>Other electronic equipment</c:v>
                </c:pt>
                <c:pt idx="93">
                  <c:v>Instrumentation</c:v>
                </c:pt>
                <c:pt idx="94">
                  <c:v>Other manufactured products</c:v>
                </c:pt>
                <c:pt idx="95">
                  <c:v>Waste resources and waste materials recycled products</c:v>
                </c:pt>
                <c:pt idx="96">
                  <c:v>Repair services for metal products, machinery and equipment</c:v>
                </c:pt>
                <c:pt idx="97">
                  <c:v>Electricity and heat production and supply</c:v>
                </c:pt>
                <c:pt idx="98">
                  <c:v>Gas production and supply</c:v>
                </c:pt>
                <c:pt idx="99">
                  <c:v>Water production and supply</c:v>
                </c:pt>
                <c:pt idx="100">
                  <c:v>House construction</c:v>
                </c:pt>
                <c:pt idx="101">
                  <c:v>Civil Engineering Architecture</c:v>
                </c:pt>
                <c:pt idx="102">
                  <c:v>Construction and installation</c:v>
                </c:pt>
                <c:pt idx="103">
                  <c:v>Building decoration, decoration and other construction services</c:v>
                </c:pt>
                <c:pt idx="104">
                  <c:v>Wholesale</c:v>
                </c:pt>
                <c:pt idx="105">
                  <c:v>Retail</c:v>
                </c:pt>
                <c:pt idx="106">
                  <c:v>Railway passenger transport</c:v>
                </c:pt>
                <c:pt idx="107">
                  <c:v>Railway freight transport and transport support activities</c:v>
                </c:pt>
                <c:pt idx="108">
                  <c:v>Urban Public Transport and Highway Passenger Transport</c:v>
                </c:pt>
                <c:pt idx="109">
                  <c:v>Road freight transport and transport support activities</c:v>
                </c:pt>
                <c:pt idx="110">
                  <c:v>Water passenger transportation</c:v>
                </c:pt>
                <c:pt idx="111">
                  <c:v>Water Cargo Transportation and Transportation Support Activities</c:v>
                </c:pt>
                <c:pt idx="112">
                  <c:v>Air passenger transport</c:v>
                </c:pt>
                <c:pt idx="113">
                  <c:v>Air cargo transport and transport support activities</c:v>
                </c:pt>
                <c:pt idx="114">
                  <c:v>Pipeline transportation</c:v>
                </c:pt>
                <c:pt idx="115">
                  <c:v>Multimodal transport and transport agents</c:v>
                </c:pt>
                <c:pt idx="116">
                  <c:v>Handling and storage</c:v>
                </c:pt>
                <c:pt idx="117">
                  <c:v>Postal Service</c:v>
                </c:pt>
                <c:pt idx="118">
                  <c:v>Accommodation</c:v>
                </c:pt>
                <c:pt idx="119">
                  <c:v>Catering</c:v>
                </c:pt>
                <c:pt idx="120">
                  <c:v>Telecommunications</c:v>
                </c:pt>
                <c:pt idx="121">
                  <c:v>Radio, television and satellite transmission services</c:v>
                </c:pt>
                <c:pt idx="122">
                  <c:v>Internet and related services</c:v>
                </c:pt>
                <c:pt idx="123">
                  <c:v>Software Services</c:v>
                </c:pt>
                <c:pt idx="124">
                  <c:v>Information Technology Services</c:v>
                </c:pt>
                <c:pt idx="125">
                  <c:v>Monetary, financial and other financial services</c:v>
                </c:pt>
                <c:pt idx="126">
                  <c:v>Capital market services</c:v>
                </c:pt>
                <c:pt idx="127">
                  <c:v>Insurance</c:v>
                </c:pt>
                <c:pt idx="128">
                  <c:v>Real Estate</c:v>
                </c:pt>
                <c:pt idx="129">
                  <c:v>Lease</c:v>
                </c:pt>
                <c:pt idx="130">
                  <c:v>Business Services</c:v>
                </c:pt>
                <c:pt idx="131">
                  <c:v>Research and experimental development</c:v>
                </c:pt>
                <c:pt idx="132">
                  <c:v>Professional technical services</c:v>
                </c:pt>
                <c:pt idx="133">
                  <c:v>Science and Technology Promotion and Application Services</c:v>
                </c:pt>
                <c:pt idx="134">
                  <c:v>Water conservancy management</c:v>
                </c:pt>
                <c:pt idx="135">
                  <c:v>Ecological Protection and Environmental Governance</c:v>
                </c:pt>
                <c:pt idx="136">
                  <c:v>Public facilities and land management</c:v>
                </c:pt>
                <c:pt idx="137">
                  <c:v>Resident Services</c:v>
                </c:pt>
                <c:pt idx="138">
                  <c:v>Other Services</c:v>
                </c:pt>
                <c:pt idx="139">
                  <c:v>Education</c:v>
                </c:pt>
                <c:pt idx="140">
                  <c:v>Hygiene</c:v>
                </c:pt>
                <c:pt idx="141">
                  <c:v>Social work</c:v>
                </c:pt>
                <c:pt idx="142">
                  <c:v>Press and Publication</c:v>
                </c:pt>
                <c:pt idx="143">
                  <c:v>Radio, television, film and video recording production</c:v>
                </c:pt>
                <c:pt idx="144">
                  <c:v>Culture and Art</c:v>
                </c:pt>
                <c:pt idx="145">
                  <c:v>Sports</c:v>
                </c:pt>
                <c:pt idx="146">
                  <c:v>Entertainment</c:v>
                </c:pt>
                <c:pt idx="147">
                  <c:v>Social Security</c:v>
                </c:pt>
                <c:pt idx="148">
                  <c:v>Public Administration and Social Organization</c:v>
                </c:pt>
              </c:strCache>
            </c:strRef>
          </c:cat>
          <c:val>
            <c:numRef>
              <c:f>'2020old'!$E$7:$E$155</c:f>
              <c:numCache>
                <c:formatCode>0_ </c:formatCode>
                <c:ptCount val="149"/>
                <c:pt idx="0">
                  <c:v>5988283.0816841396</c:v>
                </c:pt>
                <c:pt idx="1">
                  <c:v>65276.952515923491</c:v>
                </c:pt>
                <c:pt idx="2">
                  <c:v>5184312.5322239902</c:v>
                </c:pt>
                <c:pt idx="3">
                  <c:v>3081868.9681438897</c:v>
                </c:pt>
                <c:pt idx="4">
                  <c:v>0</c:v>
                </c:pt>
                <c:pt idx="5">
                  <c:v>57925.063681407664</c:v>
                </c:pt>
                <c:pt idx="6">
                  <c:v>0</c:v>
                </c:pt>
                <c:pt idx="7">
                  <c:v>0</c:v>
                </c:pt>
                <c:pt idx="8">
                  <c:v>0</c:v>
                </c:pt>
                <c:pt idx="9">
                  <c:v>0</c:v>
                </c:pt>
                <c:pt idx="10">
                  <c:v>0</c:v>
                </c:pt>
                <c:pt idx="11">
                  <c:v>3021210.4747722792</c:v>
                </c:pt>
                <c:pt idx="12">
                  <c:v>18488.676117940595</c:v>
                </c:pt>
                <c:pt idx="13">
                  <c:v>1840673.8123652295</c:v>
                </c:pt>
                <c:pt idx="14">
                  <c:v>174774.29236955664</c:v>
                </c:pt>
                <c:pt idx="15">
                  <c:v>6819068.6717428425</c:v>
                </c:pt>
                <c:pt idx="16">
                  <c:v>1802831.1131579303</c:v>
                </c:pt>
                <c:pt idx="17">
                  <c:v>3879409.1030197497</c:v>
                </c:pt>
                <c:pt idx="18">
                  <c:v>1364529.41012405</c:v>
                </c:pt>
                <c:pt idx="19">
                  <c:v>2262693.2189529617</c:v>
                </c:pt>
                <c:pt idx="20">
                  <c:v>1011682.9119492355</c:v>
                </c:pt>
                <c:pt idx="21">
                  <c:v>6700850.9437059872</c:v>
                </c:pt>
                <c:pt idx="22">
                  <c:v>2117994.732182404</c:v>
                </c:pt>
                <c:pt idx="23">
                  <c:v>2260264.9599118577</c:v>
                </c:pt>
                <c:pt idx="24">
                  <c:v>521780.83009568439</c:v>
                </c:pt>
                <c:pt idx="25">
                  <c:v>1809441.8586947727</c:v>
                </c:pt>
                <c:pt idx="26">
                  <c:v>46446.244148539321</c:v>
                </c:pt>
                <c:pt idx="27">
                  <c:v>2824.5234908901552</c:v>
                </c:pt>
                <c:pt idx="28">
                  <c:v>5132.2955428888026</c:v>
                </c:pt>
                <c:pt idx="29">
                  <c:v>154878.39044346174</c:v>
                </c:pt>
                <c:pt idx="30">
                  <c:v>375997.10028230591</c:v>
                </c:pt>
                <c:pt idx="31">
                  <c:v>3819184.6949756318</c:v>
                </c:pt>
                <c:pt idx="32">
                  <c:v>1355173.0018699828</c:v>
                </c:pt>
                <c:pt idx="33">
                  <c:v>2029322.2695435616</c:v>
                </c:pt>
                <c:pt idx="34">
                  <c:v>184933.93194656423</c:v>
                </c:pt>
                <c:pt idx="35">
                  <c:v>947545.18273338093</c:v>
                </c:pt>
                <c:pt idx="36">
                  <c:v>96976.554774668068</c:v>
                </c:pt>
                <c:pt idx="37">
                  <c:v>20186.894182341719</c:v>
                </c:pt>
                <c:pt idx="38">
                  <c:v>718417.93291260616</c:v>
                </c:pt>
                <c:pt idx="39">
                  <c:v>816298.97753622022</c:v>
                </c:pt>
                <c:pt idx="40">
                  <c:v>1693292.9160959469</c:v>
                </c:pt>
                <c:pt idx="41">
                  <c:v>78857.33424941561</c:v>
                </c:pt>
                <c:pt idx="42">
                  <c:v>0</c:v>
                </c:pt>
                <c:pt idx="43">
                  <c:v>0</c:v>
                </c:pt>
                <c:pt idx="44">
                  <c:v>15842.754281616477</c:v>
                </c:pt>
                <c:pt idx="45">
                  <c:v>4862.4506829608608</c:v>
                </c:pt>
                <c:pt idx="46">
                  <c:v>0</c:v>
                </c:pt>
                <c:pt idx="47">
                  <c:v>19255.850015046919</c:v>
                </c:pt>
                <c:pt idx="48">
                  <c:v>1207974.9480142007</c:v>
                </c:pt>
                <c:pt idx="49">
                  <c:v>4532070.865422599</c:v>
                </c:pt>
                <c:pt idx="50">
                  <c:v>83.000932701463839</c:v>
                </c:pt>
                <c:pt idx="51">
                  <c:v>81054.276253994147</c:v>
                </c:pt>
                <c:pt idx="52">
                  <c:v>183196.35587820597</c:v>
                </c:pt>
                <c:pt idx="53">
                  <c:v>6196.865543415176</c:v>
                </c:pt>
                <c:pt idx="54">
                  <c:v>14576.322804982527</c:v>
                </c:pt>
                <c:pt idx="55">
                  <c:v>24715.904961219694</c:v>
                </c:pt>
                <c:pt idx="56">
                  <c:v>118110.59189839737</c:v>
                </c:pt>
                <c:pt idx="57">
                  <c:v>130364.7786037609</c:v>
                </c:pt>
                <c:pt idx="58">
                  <c:v>0</c:v>
                </c:pt>
                <c:pt idx="59">
                  <c:v>1001.0573370679438</c:v>
                </c:pt>
                <c:pt idx="60">
                  <c:v>0</c:v>
                </c:pt>
                <c:pt idx="61">
                  <c:v>0</c:v>
                </c:pt>
                <c:pt idx="62">
                  <c:v>0</c:v>
                </c:pt>
                <c:pt idx="63">
                  <c:v>0</c:v>
                </c:pt>
                <c:pt idx="64">
                  <c:v>0</c:v>
                </c:pt>
                <c:pt idx="65">
                  <c:v>343452.38508227578</c:v>
                </c:pt>
                <c:pt idx="66">
                  <c:v>0</c:v>
                </c:pt>
                <c:pt idx="67">
                  <c:v>0</c:v>
                </c:pt>
                <c:pt idx="68">
                  <c:v>0</c:v>
                </c:pt>
                <c:pt idx="69">
                  <c:v>0</c:v>
                </c:pt>
                <c:pt idx="70">
                  <c:v>82176.194022508862</c:v>
                </c:pt>
                <c:pt idx="71">
                  <c:v>9112.8084402395871</c:v>
                </c:pt>
                <c:pt idx="72">
                  <c:v>0</c:v>
                </c:pt>
                <c:pt idx="73">
                  <c:v>0</c:v>
                </c:pt>
                <c:pt idx="74">
                  <c:v>2220.1767346861761</c:v>
                </c:pt>
                <c:pt idx="75">
                  <c:v>158699.12917215284</c:v>
                </c:pt>
                <c:pt idx="76">
                  <c:v>5847919.8409794178</c:v>
                </c:pt>
                <c:pt idx="77">
                  <c:v>150346.12642581103</c:v>
                </c:pt>
                <c:pt idx="78">
                  <c:v>0</c:v>
                </c:pt>
                <c:pt idx="79">
                  <c:v>7810.1996136193338</c:v>
                </c:pt>
                <c:pt idx="80">
                  <c:v>762443.6571903039</c:v>
                </c:pt>
                <c:pt idx="81">
                  <c:v>0</c:v>
                </c:pt>
                <c:pt idx="82">
                  <c:v>0</c:v>
                </c:pt>
                <c:pt idx="83">
                  <c:v>0</c:v>
                </c:pt>
                <c:pt idx="84">
                  <c:v>100635.23873436883</c:v>
                </c:pt>
                <c:pt idx="85">
                  <c:v>1923557.6202739885</c:v>
                </c:pt>
                <c:pt idx="86">
                  <c:v>20521.504343918001</c:v>
                </c:pt>
                <c:pt idx="87">
                  <c:v>601238.30647215899</c:v>
                </c:pt>
                <c:pt idx="88">
                  <c:v>1678328.927670666</c:v>
                </c:pt>
                <c:pt idx="89">
                  <c:v>23641.211776229258</c:v>
                </c:pt>
                <c:pt idx="90">
                  <c:v>835214.70778981654</c:v>
                </c:pt>
                <c:pt idx="91">
                  <c:v>0</c:v>
                </c:pt>
                <c:pt idx="92">
                  <c:v>56080.974962774722</c:v>
                </c:pt>
                <c:pt idx="93">
                  <c:v>168800.56657556928</c:v>
                </c:pt>
                <c:pt idx="94">
                  <c:v>200549.75521248431</c:v>
                </c:pt>
                <c:pt idx="95">
                  <c:v>0</c:v>
                </c:pt>
                <c:pt idx="96">
                  <c:v>0</c:v>
                </c:pt>
                <c:pt idx="97">
                  <c:v>1930392.5272627391</c:v>
                </c:pt>
                <c:pt idx="98">
                  <c:v>1156435.0220694426</c:v>
                </c:pt>
                <c:pt idx="99">
                  <c:v>593151.06238675164</c:v>
                </c:pt>
                <c:pt idx="100">
                  <c:v>0</c:v>
                </c:pt>
                <c:pt idx="101">
                  <c:v>0</c:v>
                </c:pt>
                <c:pt idx="102">
                  <c:v>0</c:v>
                </c:pt>
                <c:pt idx="103">
                  <c:v>0</c:v>
                </c:pt>
                <c:pt idx="104">
                  <c:v>3621405.1687576245</c:v>
                </c:pt>
                <c:pt idx="105">
                  <c:v>6311116.5507706534</c:v>
                </c:pt>
                <c:pt idx="106">
                  <c:v>479890.691964133</c:v>
                </c:pt>
                <c:pt idx="107">
                  <c:v>66249.860139822413</c:v>
                </c:pt>
                <c:pt idx="108">
                  <c:v>1409806.1824182025</c:v>
                </c:pt>
                <c:pt idx="109">
                  <c:v>3576355.0986603377</c:v>
                </c:pt>
                <c:pt idx="110">
                  <c:v>242718.36829217515</c:v>
                </c:pt>
                <c:pt idx="111">
                  <c:v>111290.03343817005</c:v>
                </c:pt>
                <c:pt idx="112">
                  <c:v>731712.50671922672</c:v>
                </c:pt>
                <c:pt idx="113">
                  <c:v>53367.223803115681</c:v>
                </c:pt>
                <c:pt idx="114">
                  <c:v>39204.332045141498</c:v>
                </c:pt>
                <c:pt idx="115">
                  <c:v>433666.91904469172</c:v>
                </c:pt>
                <c:pt idx="116">
                  <c:v>64009.526278293371</c:v>
                </c:pt>
                <c:pt idx="117">
                  <c:v>580160.41260445025</c:v>
                </c:pt>
                <c:pt idx="118">
                  <c:v>940465.99784601585</c:v>
                </c:pt>
                <c:pt idx="119">
                  <c:v>9516413.2826397158</c:v>
                </c:pt>
                <c:pt idx="120">
                  <c:v>3074276.0054730712</c:v>
                </c:pt>
                <c:pt idx="121">
                  <c:v>436870.37827402505</c:v>
                </c:pt>
                <c:pt idx="122">
                  <c:v>570049.01365471992</c:v>
                </c:pt>
                <c:pt idx="123">
                  <c:v>18073.239633040328</c:v>
                </c:pt>
                <c:pt idx="124">
                  <c:v>398646.16059952811</c:v>
                </c:pt>
                <c:pt idx="125">
                  <c:v>4419394.3974056188</c:v>
                </c:pt>
                <c:pt idx="126">
                  <c:v>1873739.604548468</c:v>
                </c:pt>
                <c:pt idx="127">
                  <c:v>5502607.7122407053</c:v>
                </c:pt>
                <c:pt idx="128">
                  <c:v>21136284.598297551</c:v>
                </c:pt>
                <c:pt idx="129">
                  <c:v>32622.363115888267</c:v>
                </c:pt>
                <c:pt idx="130">
                  <c:v>2480248.2016443666</c:v>
                </c:pt>
                <c:pt idx="131">
                  <c:v>0</c:v>
                </c:pt>
                <c:pt idx="132">
                  <c:v>243781.50570880432</c:v>
                </c:pt>
                <c:pt idx="133">
                  <c:v>0</c:v>
                </c:pt>
                <c:pt idx="134">
                  <c:v>0</c:v>
                </c:pt>
                <c:pt idx="135">
                  <c:v>101263.60299922457</c:v>
                </c:pt>
                <c:pt idx="136">
                  <c:v>336216.58271496341</c:v>
                </c:pt>
                <c:pt idx="137">
                  <c:v>6897508.7741897022</c:v>
                </c:pt>
                <c:pt idx="138">
                  <c:v>971594.96403780568</c:v>
                </c:pt>
                <c:pt idx="139">
                  <c:v>8412915.6259957403</c:v>
                </c:pt>
                <c:pt idx="140">
                  <c:v>10927113.050457347</c:v>
                </c:pt>
                <c:pt idx="141">
                  <c:v>80247.286381430778</c:v>
                </c:pt>
                <c:pt idx="142">
                  <c:v>552308.17237927159</c:v>
                </c:pt>
                <c:pt idx="143">
                  <c:v>659386.50255066261</c:v>
                </c:pt>
                <c:pt idx="144">
                  <c:v>429560.11751120508</c:v>
                </c:pt>
                <c:pt idx="145">
                  <c:v>201110.99821548181</c:v>
                </c:pt>
                <c:pt idx="146">
                  <c:v>1340009.8896649147</c:v>
                </c:pt>
                <c:pt idx="147">
                  <c:v>0</c:v>
                </c:pt>
                <c:pt idx="148">
                  <c:v>359982.45359630475</c:v>
                </c:pt>
              </c:numCache>
            </c:numRef>
          </c:val>
          <c:extLst xmlns:c16r2="http://schemas.microsoft.com/office/drawing/2015/06/chart">
            <c:ext xmlns:c16="http://schemas.microsoft.com/office/drawing/2014/chart" uri="{C3380CC4-5D6E-409C-BE32-E72D297353CC}">
              <c16:uniqueId val="{00000001-5E3A-4AFE-A597-A524A9D1D8F0}"/>
            </c:ext>
          </c:extLst>
        </c:ser>
        <c:dLbls>
          <c:showLegendKey val="0"/>
          <c:showVal val="0"/>
          <c:showCatName val="0"/>
          <c:showSerName val="0"/>
          <c:showPercent val="0"/>
          <c:showBubbleSize val="0"/>
        </c:dLbls>
        <c:gapWidth val="182"/>
        <c:axId val="-809677360"/>
        <c:axId val="-809683344"/>
      </c:barChart>
      <c:catAx>
        <c:axId val="-809677360"/>
        <c:scaling>
          <c:orientation val="minMax"/>
        </c:scaling>
        <c:delete val="0"/>
        <c:axPos val="l"/>
        <c:numFmt formatCode="General" sourceLinked="1"/>
        <c:majorTickMark val="none"/>
        <c:minorTickMark val="none"/>
        <c:tickLblPos val="nextTo"/>
        <c:spPr>
          <a:noFill/>
          <a:ln w="9525" cap="flat" cmpd="sng" algn="ctr">
            <a:solidFill>
              <a:srgbClr val="0070C0"/>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809683344"/>
        <c:crosses val="autoZero"/>
        <c:auto val="1"/>
        <c:lblAlgn val="ctr"/>
        <c:lblOffset val="100"/>
        <c:noMultiLvlLbl val="0"/>
      </c:catAx>
      <c:valAx>
        <c:axId val="-809683344"/>
        <c:scaling>
          <c:orientation val="minMax"/>
        </c:scaling>
        <c:delete val="0"/>
        <c:axPos val="b"/>
        <c:majorGridlines>
          <c:spPr>
            <a:ln w="9525" cap="flat" cmpd="sng" algn="ctr">
              <a:noFill/>
              <a:round/>
            </a:ln>
            <a:effectLst/>
          </c:spPr>
        </c:majorGridlines>
        <c:numFmt formatCode="0_ " sourceLinked="1"/>
        <c:majorTickMark val="in"/>
        <c:minorTickMark val="none"/>
        <c:tickLblPos val="nextTo"/>
        <c:spPr>
          <a:noFill/>
          <a:ln>
            <a:solidFill>
              <a:srgbClr val="0070C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809677360"/>
        <c:crosses val="autoZero"/>
        <c:crossBetween val="between"/>
      </c:valAx>
      <c:spPr>
        <a:noFill/>
        <a:ln>
          <a:noFill/>
        </a:ln>
        <a:effectLst/>
      </c:spPr>
    </c:plotArea>
    <c:legend>
      <c:legendPos val="b"/>
      <c:layout>
        <c:manualLayout>
          <c:xMode val="edge"/>
          <c:yMode val="edge"/>
          <c:x val="0.5439891343138521"/>
          <c:y val="8.7198776942639302E-3"/>
          <c:w val="0.41346802177693071"/>
          <c:h val="2.477219818988002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旅客年龄结构!$C$50</c:f>
              <c:strCache>
                <c:ptCount val="1"/>
                <c:pt idx="0">
                  <c:v>Air transport</c:v>
                </c:pt>
              </c:strCache>
            </c:strRef>
          </c:tx>
          <c:spPr>
            <a:gradFill>
              <a:gsLst>
                <a:gs pos="0">
                  <a:srgbClr val="7030A0"/>
                </a:gs>
                <a:gs pos="57000">
                  <a:schemeClr val="bg1"/>
                </a:gs>
                <a:gs pos="42000">
                  <a:schemeClr val="bg1"/>
                </a:gs>
                <a:gs pos="100000">
                  <a:srgbClr val="7030A0"/>
                </a:gs>
              </a:gsLst>
              <a:lin ang="0" scaled="0"/>
            </a:gradFill>
            <a:ln>
              <a:solidFill>
                <a:schemeClr val="accent1"/>
              </a:solidFill>
            </a:ln>
            <a:effectLst/>
          </c:spPr>
          <c:invertIfNegative val="0"/>
          <c:dLbls>
            <c:numFmt formatCode="#,##0_);[Red]\(#,##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旅客年龄结构!$B$51:$B$53</c:f>
              <c:strCache>
                <c:ptCount val="3"/>
                <c:pt idx="0">
                  <c:v>minors</c:v>
                </c:pt>
                <c:pt idx="1">
                  <c:v>adults</c:v>
                </c:pt>
                <c:pt idx="2">
                  <c:v>elders</c:v>
                </c:pt>
              </c:strCache>
            </c:strRef>
          </c:cat>
          <c:val>
            <c:numRef>
              <c:f>旅客年龄结构!$C$51:$C$53</c:f>
              <c:numCache>
                <c:formatCode>0.0_ </c:formatCode>
                <c:ptCount val="3"/>
                <c:pt idx="0">
                  <c:v>35.123339658444024</c:v>
                </c:pt>
                <c:pt idx="1">
                  <c:v>100</c:v>
                </c:pt>
                <c:pt idx="2">
                  <c:v>82.370191478350876</c:v>
                </c:pt>
              </c:numCache>
            </c:numRef>
          </c:val>
        </c:ser>
        <c:ser>
          <c:idx val="1"/>
          <c:order val="1"/>
          <c:tx>
            <c:strRef>
              <c:f>旅客年龄结构!$D$50</c:f>
              <c:strCache>
                <c:ptCount val="1"/>
                <c:pt idx="0">
                  <c:v>Road transport</c:v>
                </c:pt>
              </c:strCache>
            </c:strRef>
          </c:tx>
          <c:spPr>
            <a:gradFill>
              <a:gsLst>
                <a:gs pos="0">
                  <a:srgbClr val="FF0000"/>
                </a:gs>
                <a:gs pos="57000">
                  <a:schemeClr val="bg1"/>
                </a:gs>
                <a:gs pos="48000">
                  <a:schemeClr val="bg1"/>
                </a:gs>
                <a:gs pos="100000">
                  <a:srgbClr val="FF0000"/>
                </a:gs>
              </a:gsLst>
              <a:lin ang="0" scaled="0"/>
            </a:gradFill>
            <a:ln>
              <a:solidFill>
                <a:schemeClr val="accent1"/>
              </a:solidFill>
            </a:ln>
            <a:effectLst/>
          </c:spPr>
          <c:invertIfNegative val="0"/>
          <c:dLbls>
            <c:numFmt formatCode="#,##0_);[Red]\(#,##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旅客年龄结构!$B$51:$B$53</c:f>
              <c:strCache>
                <c:ptCount val="3"/>
                <c:pt idx="0">
                  <c:v>minors</c:v>
                </c:pt>
                <c:pt idx="1">
                  <c:v>adults</c:v>
                </c:pt>
                <c:pt idx="2">
                  <c:v>elders</c:v>
                </c:pt>
              </c:strCache>
            </c:strRef>
          </c:cat>
          <c:val>
            <c:numRef>
              <c:f>旅客年龄结构!$D$51:$D$53</c:f>
              <c:numCache>
                <c:formatCode>0.0_ </c:formatCode>
                <c:ptCount val="3"/>
                <c:pt idx="0">
                  <c:v>65.027214250371117</c:v>
                </c:pt>
                <c:pt idx="1">
                  <c:v>100</c:v>
                </c:pt>
                <c:pt idx="2">
                  <c:v>77.699158832261261</c:v>
                </c:pt>
              </c:numCache>
            </c:numRef>
          </c:val>
        </c:ser>
        <c:ser>
          <c:idx val="2"/>
          <c:order val="2"/>
          <c:tx>
            <c:strRef>
              <c:f>旅客年龄结构!$E$50</c:f>
              <c:strCache>
                <c:ptCount val="1"/>
                <c:pt idx="0">
                  <c:v>Railway transport</c:v>
                </c:pt>
              </c:strCache>
            </c:strRef>
          </c:tx>
          <c:spPr>
            <a:gradFill>
              <a:gsLst>
                <a:gs pos="0">
                  <a:schemeClr val="accent1">
                    <a:lumMod val="50000"/>
                  </a:schemeClr>
                </a:gs>
                <a:gs pos="57000">
                  <a:schemeClr val="bg1"/>
                </a:gs>
                <a:gs pos="46000">
                  <a:schemeClr val="bg1"/>
                </a:gs>
                <a:gs pos="100000">
                  <a:schemeClr val="accent1">
                    <a:lumMod val="50000"/>
                  </a:schemeClr>
                </a:gs>
              </a:gsLst>
              <a:lin ang="0" scaled="0"/>
            </a:gradFill>
            <a:ln>
              <a:solidFill>
                <a:schemeClr val="accent1"/>
              </a:solidFill>
            </a:ln>
            <a:effectLst/>
          </c:spPr>
          <c:invertIfNegative val="0"/>
          <c:dLbls>
            <c:numFmt formatCode="#,##0_);[Red]\(#,##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旅客年龄结构!$B$51:$B$53</c:f>
              <c:strCache>
                <c:ptCount val="3"/>
                <c:pt idx="0">
                  <c:v>minors</c:v>
                </c:pt>
                <c:pt idx="1">
                  <c:v>adults</c:v>
                </c:pt>
                <c:pt idx="2">
                  <c:v>elders</c:v>
                </c:pt>
              </c:strCache>
            </c:strRef>
          </c:cat>
          <c:val>
            <c:numRef>
              <c:f>旅客年龄结构!$E$51:$E$53</c:f>
              <c:numCache>
                <c:formatCode>0.0_ </c:formatCode>
                <c:ptCount val="3"/>
                <c:pt idx="0">
                  <c:v>73.707420240291583</c:v>
                </c:pt>
                <c:pt idx="1">
                  <c:v>100</c:v>
                </c:pt>
                <c:pt idx="2">
                  <c:v>91.12541061062862</c:v>
                </c:pt>
              </c:numCache>
            </c:numRef>
          </c:val>
        </c:ser>
        <c:ser>
          <c:idx val="3"/>
          <c:order val="3"/>
          <c:tx>
            <c:strRef>
              <c:f>旅客年龄结构!$F$50</c:f>
              <c:strCache>
                <c:ptCount val="1"/>
                <c:pt idx="0">
                  <c:v>Waterway transport</c:v>
                </c:pt>
              </c:strCache>
            </c:strRef>
          </c:tx>
          <c:spPr>
            <a:gradFill>
              <a:gsLst>
                <a:gs pos="0">
                  <a:srgbClr val="00B050"/>
                </a:gs>
                <a:gs pos="67000">
                  <a:schemeClr val="bg1"/>
                </a:gs>
                <a:gs pos="49000">
                  <a:schemeClr val="bg1"/>
                </a:gs>
                <a:gs pos="100000">
                  <a:srgbClr val="00B050"/>
                </a:gs>
              </a:gsLst>
              <a:lin ang="0" scaled="0"/>
            </a:gradFill>
            <a:ln>
              <a:noFill/>
            </a:ln>
            <a:effectLst/>
          </c:spPr>
          <c:invertIfNegative val="0"/>
          <c:dLbls>
            <c:numFmt formatCode="#,##0_);[Red]\(#,##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旅客年龄结构!$B$51:$B$53</c:f>
              <c:strCache>
                <c:ptCount val="3"/>
                <c:pt idx="0">
                  <c:v>minors</c:v>
                </c:pt>
                <c:pt idx="1">
                  <c:v>adults</c:v>
                </c:pt>
                <c:pt idx="2">
                  <c:v>elders</c:v>
                </c:pt>
              </c:strCache>
            </c:strRef>
          </c:cat>
          <c:val>
            <c:numRef>
              <c:f>旅客年龄结构!$F$51:$F$53</c:f>
              <c:numCache>
                <c:formatCode>0.0_ </c:formatCode>
                <c:ptCount val="3"/>
                <c:pt idx="0">
                  <c:v>69.251981505944528</c:v>
                </c:pt>
                <c:pt idx="1">
                  <c:v>100</c:v>
                </c:pt>
                <c:pt idx="2">
                  <c:v>90.247688243064744</c:v>
                </c:pt>
              </c:numCache>
            </c:numRef>
          </c:val>
        </c:ser>
        <c:dLbls>
          <c:dLblPos val="outEnd"/>
          <c:showLegendKey val="0"/>
          <c:showVal val="1"/>
          <c:showCatName val="0"/>
          <c:showSerName val="0"/>
          <c:showPercent val="0"/>
          <c:showBubbleSize val="0"/>
        </c:dLbls>
        <c:gapWidth val="219"/>
        <c:overlap val="-27"/>
        <c:axId val="-976064240"/>
        <c:axId val="-972559216"/>
      </c:barChart>
      <c:catAx>
        <c:axId val="-976064240"/>
        <c:scaling>
          <c:orientation val="minMax"/>
        </c:scaling>
        <c:delete val="0"/>
        <c:axPos val="b"/>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972559216"/>
        <c:crosses val="autoZero"/>
        <c:auto val="1"/>
        <c:lblAlgn val="ctr"/>
        <c:lblOffset val="100"/>
        <c:noMultiLvlLbl val="0"/>
      </c:catAx>
      <c:valAx>
        <c:axId val="-972559216"/>
        <c:scaling>
          <c:orientation val="minMax"/>
        </c:scaling>
        <c:delete val="0"/>
        <c:axPos val="l"/>
        <c:majorGridlines>
          <c:spPr>
            <a:ln w="9525" cap="flat" cmpd="sng" algn="ctr">
              <a:noFill/>
              <a:round/>
            </a:ln>
            <a:effectLst/>
          </c:spPr>
        </c:majorGridlines>
        <c:numFmt formatCode="0_ " sourceLinked="0"/>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97606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88271596068739"/>
          <c:y val="4.5398266611638462E-2"/>
          <c:w val="0.81706994215008844"/>
          <c:h val="0.74322547572178466"/>
        </c:manualLayout>
      </c:layout>
      <c:barChart>
        <c:barDir val="col"/>
        <c:grouping val="clustered"/>
        <c:varyColors val="0"/>
        <c:ser>
          <c:idx val="0"/>
          <c:order val="0"/>
          <c:tx>
            <c:strRef>
              <c:f>总量!$A$3</c:f>
              <c:strCache>
                <c:ptCount val="1"/>
                <c:pt idx="0">
                  <c:v>Old policy</c:v>
                </c:pt>
              </c:strCache>
            </c:strRef>
          </c:tx>
          <c:spPr>
            <a:gradFill flip="none" rotWithShape="1">
              <a:gsLst>
                <a:gs pos="0">
                  <a:schemeClr val="accent6">
                    <a:lumMod val="40000"/>
                    <a:lumOff val="60000"/>
                  </a:schemeClr>
                </a:gs>
                <a:gs pos="89000">
                  <a:schemeClr val="accent6">
                    <a:lumMod val="89000"/>
                  </a:schemeClr>
                </a:gs>
                <a:gs pos="58000">
                  <a:schemeClr val="accent6">
                    <a:lumMod val="75000"/>
                  </a:schemeClr>
                </a:gs>
                <a:gs pos="97000">
                  <a:schemeClr val="accent6">
                    <a:lumMod val="70000"/>
                  </a:schemeClr>
                </a:gs>
              </a:gsLst>
              <a:lin ang="0" scaled="0"/>
              <a:tileRect/>
            </a:gradFill>
            <a:ln>
              <a:noFill/>
            </a:ln>
            <a:effectLst/>
          </c:spPr>
          <c:invertIfNegative val="0"/>
          <c:cat>
            <c:numRef>
              <c:f>总量!$B$3:$B$9</c:f>
              <c:numCache>
                <c:formatCode>0_ </c:formatCode>
                <c:ptCount val="7"/>
                <c:pt idx="0">
                  <c:v>2020</c:v>
                </c:pt>
                <c:pt idx="1">
                  <c:v>2025</c:v>
                </c:pt>
                <c:pt idx="2">
                  <c:v>2030</c:v>
                </c:pt>
                <c:pt idx="3">
                  <c:v>2035</c:v>
                </c:pt>
                <c:pt idx="4">
                  <c:v>2040</c:v>
                </c:pt>
                <c:pt idx="5">
                  <c:v>2045</c:v>
                </c:pt>
                <c:pt idx="6">
                  <c:v>2050</c:v>
                </c:pt>
              </c:numCache>
            </c:numRef>
          </c:cat>
          <c:val>
            <c:numRef>
              <c:f>总量!$C$3:$C$9</c:f>
              <c:numCache>
                <c:formatCode>0.0_ </c:formatCode>
                <c:ptCount val="7"/>
                <c:pt idx="0">
                  <c:v>4464.2106771089202</c:v>
                </c:pt>
                <c:pt idx="1">
                  <c:v>4914.2867599313622</c:v>
                </c:pt>
                <c:pt idx="2">
                  <c:v>5235.1749805024037</c:v>
                </c:pt>
                <c:pt idx="3">
                  <c:v>5310.3205191733314</c:v>
                </c:pt>
                <c:pt idx="4">
                  <c:v>5280.0497626477836</c:v>
                </c:pt>
                <c:pt idx="5">
                  <c:v>5124.8245583254202</c:v>
                </c:pt>
                <c:pt idx="6">
                  <c:v>5254.475893076612</c:v>
                </c:pt>
              </c:numCache>
            </c:numRef>
          </c:val>
          <c:extLst xmlns:c16r2="http://schemas.microsoft.com/office/drawing/2015/06/chart">
            <c:ext xmlns:c16="http://schemas.microsoft.com/office/drawing/2014/chart" uri="{C3380CC4-5D6E-409C-BE32-E72D297353CC}">
              <c16:uniqueId val="{00000000-97F7-45A0-8C89-28FED7402902}"/>
            </c:ext>
          </c:extLst>
        </c:ser>
        <c:ser>
          <c:idx val="1"/>
          <c:order val="1"/>
          <c:tx>
            <c:strRef>
              <c:f>总量!$A$10</c:f>
              <c:strCache>
                <c:ptCount val="1"/>
                <c:pt idx="0">
                  <c:v>New policy</c:v>
                </c:pt>
              </c:strCache>
            </c:strRef>
          </c:tx>
          <c:spPr>
            <a:gradFill flip="none" rotWithShape="1">
              <a:gsLst>
                <a:gs pos="0">
                  <a:schemeClr val="accent4">
                    <a:lumMod val="60000"/>
                    <a:lumOff val="40000"/>
                  </a:schemeClr>
                </a:gs>
                <a:gs pos="60000">
                  <a:schemeClr val="accent2">
                    <a:lumMod val="89000"/>
                  </a:schemeClr>
                </a:gs>
                <a:gs pos="69000">
                  <a:schemeClr val="accent2">
                    <a:lumMod val="75000"/>
                  </a:schemeClr>
                </a:gs>
                <a:gs pos="97000">
                  <a:schemeClr val="accent2">
                    <a:lumMod val="70000"/>
                  </a:schemeClr>
                </a:gs>
              </a:gsLst>
              <a:lin ang="0" scaled="0"/>
              <a:tileRect/>
            </a:gradFill>
            <a:ln>
              <a:noFill/>
            </a:ln>
            <a:effectLst/>
          </c:spPr>
          <c:invertIfNegative val="0"/>
          <c:cat>
            <c:numRef>
              <c:f>总量!$B$3:$B$9</c:f>
              <c:numCache>
                <c:formatCode>0_ </c:formatCode>
                <c:ptCount val="7"/>
                <c:pt idx="0">
                  <c:v>2020</c:v>
                </c:pt>
                <c:pt idx="1">
                  <c:v>2025</c:v>
                </c:pt>
                <c:pt idx="2">
                  <c:v>2030</c:v>
                </c:pt>
                <c:pt idx="3">
                  <c:v>2035</c:v>
                </c:pt>
                <c:pt idx="4">
                  <c:v>2040</c:v>
                </c:pt>
                <c:pt idx="5">
                  <c:v>2045</c:v>
                </c:pt>
                <c:pt idx="6">
                  <c:v>2050</c:v>
                </c:pt>
              </c:numCache>
            </c:numRef>
          </c:cat>
          <c:val>
            <c:numRef>
              <c:f>总量!$C$10:$C$16</c:f>
              <c:numCache>
                <c:formatCode>0.0_ </c:formatCode>
                <c:ptCount val="7"/>
                <c:pt idx="0">
                  <c:v>4624.0022419296902</c:v>
                </c:pt>
                <c:pt idx="1">
                  <c:v>5227.9252135753004</c:v>
                </c:pt>
                <c:pt idx="2">
                  <c:v>5736.9112169077216</c:v>
                </c:pt>
                <c:pt idx="3">
                  <c:v>5957.7316184714182</c:v>
                </c:pt>
                <c:pt idx="4">
                  <c:v>6089.7073971204336</c:v>
                </c:pt>
                <c:pt idx="5">
                  <c:v>5997.858466784538</c:v>
                </c:pt>
                <c:pt idx="6">
                  <c:v>6106.6119362432974</c:v>
                </c:pt>
              </c:numCache>
            </c:numRef>
          </c:val>
          <c:extLst xmlns:c16r2="http://schemas.microsoft.com/office/drawing/2015/06/chart">
            <c:ext xmlns:c16="http://schemas.microsoft.com/office/drawing/2014/chart" uri="{C3380CC4-5D6E-409C-BE32-E72D297353CC}">
              <c16:uniqueId val="{00000001-97F7-45A0-8C89-28FED7402902}"/>
            </c:ext>
          </c:extLst>
        </c:ser>
        <c:dLbls>
          <c:showLegendKey val="0"/>
          <c:showVal val="0"/>
          <c:showCatName val="0"/>
          <c:showSerName val="0"/>
          <c:showPercent val="0"/>
          <c:showBubbleSize val="0"/>
        </c:dLbls>
        <c:gapWidth val="219"/>
        <c:overlap val="-27"/>
        <c:axId val="-755833696"/>
        <c:axId val="-755838592"/>
      </c:barChart>
      <c:catAx>
        <c:axId val="-755833696"/>
        <c:scaling>
          <c:orientation val="minMax"/>
        </c:scaling>
        <c:delete val="0"/>
        <c:axPos val="b"/>
        <c:numFmt formatCode="0_ " sourceLinked="1"/>
        <c:majorTickMark val="none"/>
        <c:minorTickMark val="none"/>
        <c:tickLblPos val="nextTo"/>
        <c:spPr>
          <a:noFill/>
          <a:ln w="9525" cap="flat" cmpd="sng" algn="ctr">
            <a:solidFill>
              <a:srgbClr val="0070C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755838592"/>
        <c:crosses val="autoZero"/>
        <c:auto val="1"/>
        <c:lblAlgn val="ctr"/>
        <c:lblOffset val="100"/>
        <c:noMultiLvlLbl val="0"/>
      </c:catAx>
      <c:valAx>
        <c:axId val="-75583859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ltLang="zh-CN"/>
                  <a:t>Mtce</a:t>
                </a:r>
                <a:endParaRPr lang="zh-CN" altLang="en-US"/>
              </a:p>
            </c:rich>
          </c:tx>
          <c:layout>
            <c:manualLayout>
              <c:xMode val="edge"/>
              <c:yMode val="edge"/>
              <c:x val="3.5714285714285712E-2"/>
              <c:y val="0.3414435695538057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title>
        <c:numFmt formatCode="0_ " sourceLinked="0"/>
        <c:majorTickMark val="in"/>
        <c:minorTickMark val="none"/>
        <c:tickLblPos val="nextTo"/>
        <c:spPr>
          <a:noFill/>
          <a:ln>
            <a:solidFill>
              <a:srgbClr val="0070C0"/>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755833696"/>
        <c:crosses val="autoZero"/>
        <c:crossBetween val="between"/>
      </c:valAx>
      <c:dTable>
        <c:showHorzBorder val="1"/>
        <c:showVertBorder val="1"/>
        <c:showOutline val="1"/>
        <c:showKeys val="1"/>
        <c:spPr>
          <a:noFill/>
          <a:ln w="9525" cap="flat" cmpd="sng" algn="ctr">
            <a:solidFill>
              <a:srgbClr val="0070C0"/>
            </a:solidFill>
            <a:round/>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27231939367397"/>
          <c:y val="2.5949131083284185E-2"/>
          <c:w val="0.71351560056128061"/>
          <c:h val="0.83665731555031397"/>
        </c:manualLayout>
      </c:layout>
      <c:barChart>
        <c:barDir val="bar"/>
        <c:grouping val="clustered"/>
        <c:varyColors val="0"/>
        <c:ser>
          <c:idx val="1"/>
          <c:order val="0"/>
          <c:tx>
            <c:strRef>
              <c:f>总量!$D$2</c:f>
              <c:strCache>
                <c:ptCount val="1"/>
                <c:pt idx="0">
                  <c:v>Coal</c:v>
                </c:pt>
              </c:strCache>
            </c:strRef>
          </c:tx>
          <c:spPr>
            <a:solidFill>
              <a:schemeClr val="accent2"/>
            </a:solidFill>
            <a:ln>
              <a:noFill/>
            </a:ln>
            <a:effectLst/>
          </c:spPr>
          <c:invertIfNegative val="0"/>
          <c:cat>
            <c:multiLvlStrRef>
              <c:f>总量!$A$3:$B$16</c:f>
              <c:multiLvlStrCache>
                <c:ptCount val="14"/>
                <c:lvl>
                  <c:pt idx="0">
                    <c:v>2020 </c:v>
                  </c:pt>
                  <c:pt idx="1">
                    <c:v>2025 </c:v>
                  </c:pt>
                  <c:pt idx="2">
                    <c:v>2030 </c:v>
                  </c:pt>
                  <c:pt idx="3">
                    <c:v>2035 </c:v>
                  </c:pt>
                  <c:pt idx="4">
                    <c:v>2040 </c:v>
                  </c:pt>
                  <c:pt idx="5">
                    <c:v>2045 </c:v>
                  </c:pt>
                  <c:pt idx="6">
                    <c:v>2050 </c:v>
                  </c:pt>
                  <c:pt idx="7">
                    <c:v>2020 </c:v>
                  </c:pt>
                  <c:pt idx="8">
                    <c:v>2025 </c:v>
                  </c:pt>
                  <c:pt idx="9">
                    <c:v>2030 </c:v>
                  </c:pt>
                  <c:pt idx="10">
                    <c:v>2035 </c:v>
                  </c:pt>
                  <c:pt idx="11">
                    <c:v>2040 </c:v>
                  </c:pt>
                  <c:pt idx="12">
                    <c:v>2045 </c:v>
                  </c:pt>
                  <c:pt idx="13">
                    <c:v>2050 </c:v>
                  </c:pt>
                </c:lvl>
                <c:lvl>
                  <c:pt idx="0">
                    <c:v>Old policy</c:v>
                  </c:pt>
                  <c:pt idx="7">
                    <c:v>New policy</c:v>
                  </c:pt>
                </c:lvl>
              </c:multiLvlStrCache>
            </c:multiLvlStrRef>
          </c:cat>
          <c:val>
            <c:numRef>
              <c:f>总量!$D$3:$D$16</c:f>
              <c:numCache>
                <c:formatCode>0.0_ </c:formatCode>
                <c:ptCount val="14"/>
                <c:pt idx="0">
                  <c:v>1330.1057855140677</c:v>
                </c:pt>
                <c:pt idx="1">
                  <c:v>1447.1511809075741</c:v>
                </c:pt>
                <c:pt idx="2">
                  <c:v>1530.9127452754883</c:v>
                </c:pt>
                <c:pt idx="3">
                  <c:v>1541.8616035649086</c:v>
                </c:pt>
                <c:pt idx="4">
                  <c:v>1517.2121341636475</c:v>
                </c:pt>
                <c:pt idx="5">
                  <c:v>1465.9066836531536</c:v>
                </c:pt>
                <c:pt idx="6">
                  <c:v>1479.0881250677735</c:v>
                </c:pt>
                <c:pt idx="7">
                  <c:v>1384.8458553728904</c:v>
                </c:pt>
                <c:pt idx="8">
                  <c:v>1557.1984698617237</c:v>
                </c:pt>
                <c:pt idx="9">
                  <c:v>1707.6077947366655</c:v>
                </c:pt>
                <c:pt idx="10">
                  <c:v>1769.6571567181684</c:v>
                </c:pt>
                <c:pt idx="11">
                  <c:v>1801.2231230372672</c:v>
                </c:pt>
                <c:pt idx="12">
                  <c:v>1769.4003397200647</c:v>
                </c:pt>
                <c:pt idx="13">
                  <c:v>1769.9369715811897</c:v>
                </c:pt>
              </c:numCache>
            </c:numRef>
          </c:val>
          <c:extLst xmlns:c16r2="http://schemas.microsoft.com/office/drawing/2015/06/chart">
            <c:ext xmlns:c16="http://schemas.microsoft.com/office/drawing/2014/chart" uri="{C3380CC4-5D6E-409C-BE32-E72D297353CC}">
              <c16:uniqueId val="{00000000-4F81-4140-BAD0-9C7BD5F662C5}"/>
            </c:ext>
          </c:extLst>
        </c:ser>
        <c:ser>
          <c:idx val="2"/>
          <c:order val="1"/>
          <c:tx>
            <c:strRef>
              <c:f>总量!$E$2</c:f>
              <c:strCache>
                <c:ptCount val="1"/>
                <c:pt idx="0">
                  <c:v>Oil</c:v>
                </c:pt>
              </c:strCache>
            </c:strRef>
          </c:tx>
          <c:spPr>
            <a:solidFill>
              <a:srgbClr val="7030A0"/>
            </a:solidFill>
            <a:ln>
              <a:noFill/>
            </a:ln>
            <a:effectLst/>
          </c:spPr>
          <c:invertIfNegative val="0"/>
          <c:cat>
            <c:multiLvlStrRef>
              <c:f>总量!$A$3:$B$16</c:f>
              <c:multiLvlStrCache>
                <c:ptCount val="14"/>
                <c:lvl>
                  <c:pt idx="0">
                    <c:v>2020 </c:v>
                  </c:pt>
                  <c:pt idx="1">
                    <c:v>2025 </c:v>
                  </c:pt>
                  <c:pt idx="2">
                    <c:v>2030 </c:v>
                  </c:pt>
                  <c:pt idx="3">
                    <c:v>2035 </c:v>
                  </c:pt>
                  <c:pt idx="4">
                    <c:v>2040 </c:v>
                  </c:pt>
                  <c:pt idx="5">
                    <c:v>2045 </c:v>
                  </c:pt>
                  <c:pt idx="6">
                    <c:v>2050 </c:v>
                  </c:pt>
                  <c:pt idx="7">
                    <c:v>2020 </c:v>
                  </c:pt>
                  <c:pt idx="8">
                    <c:v>2025 </c:v>
                  </c:pt>
                  <c:pt idx="9">
                    <c:v>2030 </c:v>
                  </c:pt>
                  <c:pt idx="10">
                    <c:v>2035 </c:v>
                  </c:pt>
                  <c:pt idx="11">
                    <c:v>2040 </c:v>
                  </c:pt>
                  <c:pt idx="12">
                    <c:v>2045 </c:v>
                  </c:pt>
                  <c:pt idx="13">
                    <c:v>2050 </c:v>
                  </c:pt>
                </c:lvl>
                <c:lvl>
                  <c:pt idx="0">
                    <c:v>Old policy</c:v>
                  </c:pt>
                  <c:pt idx="7">
                    <c:v>New policy</c:v>
                  </c:pt>
                </c:lvl>
              </c:multiLvlStrCache>
            </c:multiLvlStrRef>
          </c:cat>
          <c:val>
            <c:numRef>
              <c:f>总量!$E$3:$E$16</c:f>
              <c:numCache>
                <c:formatCode>0.0_ </c:formatCode>
                <c:ptCount val="14"/>
                <c:pt idx="0">
                  <c:v>1763.0751856714683</c:v>
                </c:pt>
                <c:pt idx="1">
                  <c:v>1943.8336719598369</c:v>
                </c:pt>
                <c:pt idx="2">
                  <c:v>2074.7223192165679</c:v>
                </c:pt>
                <c:pt idx="3">
                  <c:v>2109.1343125336798</c:v>
                </c:pt>
                <c:pt idx="4">
                  <c:v>2103.7219168707998</c:v>
                </c:pt>
                <c:pt idx="5">
                  <c:v>2049.1929138846144</c:v>
                </c:pt>
                <c:pt idx="6">
                  <c:v>2117.7619007579492</c:v>
                </c:pt>
                <c:pt idx="7">
                  <c:v>1819.5880559799357</c:v>
                </c:pt>
                <c:pt idx="8">
                  <c:v>2054.1771856271434</c:v>
                </c:pt>
                <c:pt idx="9">
                  <c:v>2251.2108644155305</c:v>
                </c:pt>
                <c:pt idx="10">
                  <c:v>2337.3564643869418</c:v>
                </c:pt>
                <c:pt idx="11">
                  <c:v>2389.7730394317741</c:v>
                </c:pt>
                <c:pt idx="12">
                  <c:v>2359.0086499749636</c:v>
                </c:pt>
                <c:pt idx="13">
                  <c:v>2422.4650918811926</c:v>
                </c:pt>
              </c:numCache>
            </c:numRef>
          </c:val>
          <c:extLst xmlns:c16r2="http://schemas.microsoft.com/office/drawing/2015/06/chart">
            <c:ext xmlns:c16="http://schemas.microsoft.com/office/drawing/2014/chart" uri="{C3380CC4-5D6E-409C-BE32-E72D297353CC}">
              <c16:uniqueId val="{00000001-4F81-4140-BAD0-9C7BD5F662C5}"/>
            </c:ext>
          </c:extLst>
        </c:ser>
        <c:ser>
          <c:idx val="3"/>
          <c:order val="2"/>
          <c:tx>
            <c:strRef>
              <c:f>总量!$F$2</c:f>
              <c:strCache>
                <c:ptCount val="1"/>
                <c:pt idx="0">
                  <c:v>Gas</c:v>
                </c:pt>
              </c:strCache>
            </c:strRef>
          </c:tx>
          <c:spPr>
            <a:solidFill>
              <a:schemeClr val="accent4"/>
            </a:solidFill>
            <a:ln>
              <a:noFill/>
            </a:ln>
            <a:effectLst/>
          </c:spPr>
          <c:invertIfNegative val="0"/>
          <c:cat>
            <c:multiLvlStrRef>
              <c:f>总量!$A$3:$B$16</c:f>
              <c:multiLvlStrCache>
                <c:ptCount val="14"/>
                <c:lvl>
                  <c:pt idx="0">
                    <c:v>2020 </c:v>
                  </c:pt>
                  <c:pt idx="1">
                    <c:v>2025 </c:v>
                  </c:pt>
                  <c:pt idx="2">
                    <c:v>2030 </c:v>
                  </c:pt>
                  <c:pt idx="3">
                    <c:v>2035 </c:v>
                  </c:pt>
                  <c:pt idx="4">
                    <c:v>2040 </c:v>
                  </c:pt>
                  <c:pt idx="5">
                    <c:v>2045 </c:v>
                  </c:pt>
                  <c:pt idx="6">
                    <c:v>2050 </c:v>
                  </c:pt>
                  <c:pt idx="7">
                    <c:v>2020 </c:v>
                  </c:pt>
                  <c:pt idx="8">
                    <c:v>2025 </c:v>
                  </c:pt>
                  <c:pt idx="9">
                    <c:v>2030 </c:v>
                  </c:pt>
                  <c:pt idx="10">
                    <c:v>2035 </c:v>
                  </c:pt>
                  <c:pt idx="11">
                    <c:v>2040 </c:v>
                  </c:pt>
                  <c:pt idx="12">
                    <c:v>2045 </c:v>
                  </c:pt>
                  <c:pt idx="13">
                    <c:v>2050 </c:v>
                  </c:pt>
                </c:lvl>
                <c:lvl>
                  <c:pt idx="0">
                    <c:v>Old policy</c:v>
                  </c:pt>
                  <c:pt idx="7">
                    <c:v>New policy</c:v>
                  </c:pt>
                </c:lvl>
              </c:multiLvlStrCache>
            </c:multiLvlStrRef>
          </c:cat>
          <c:val>
            <c:numRef>
              <c:f>总量!$F$3:$F$16</c:f>
              <c:numCache>
                <c:formatCode>0.0_ </c:formatCode>
                <c:ptCount val="14"/>
                <c:pt idx="0">
                  <c:v>277.08314721195779</c:v>
                </c:pt>
                <c:pt idx="1">
                  <c:v>311.2018058046566</c:v>
                </c:pt>
                <c:pt idx="2">
                  <c:v>335.26336718270215</c:v>
                </c:pt>
                <c:pt idx="3">
                  <c:v>343.20742185570288</c:v>
                </c:pt>
                <c:pt idx="4">
                  <c:v>345.54068462411425</c:v>
                </c:pt>
                <c:pt idx="5">
                  <c:v>337.33515121008628</c:v>
                </c:pt>
                <c:pt idx="6">
                  <c:v>356.57310783186244</c:v>
                </c:pt>
                <c:pt idx="7">
                  <c:v>285.63872598371211</c:v>
                </c:pt>
                <c:pt idx="8">
                  <c:v>326.7577420721322</c:v>
                </c:pt>
                <c:pt idx="9">
                  <c:v>359.96573574518419</c:v>
                </c:pt>
                <c:pt idx="10">
                  <c:v>375.02894705364258</c:v>
                </c:pt>
                <c:pt idx="11">
                  <c:v>385.61860135883711</c:v>
                </c:pt>
                <c:pt idx="12">
                  <c:v>381.63509780817589</c:v>
                </c:pt>
                <c:pt idx="13">
                  <c:v>401.86423563696047</c:v>
                </c:pt>
              </c:numCache>
            </c:numRef>
          </c:val>
          <c:extLst xmlns:c16r2="http://schemas.microsoft.com/office/drawing/2015/06/chart">
            <c:ext xmlns:c16="http://schemas.microsoft.com/office/drawing/2014/chart" uri="{C3380CC4-5D6E-409C-BE32-E72D297353CC}">
              <c16:uniqueId val="{00000002-4F81-4140-BAD0-9C7BD5F662C5}"/>
            </c:ext>
          </c:extLst>
        </c:ser>
        <c:ser>
          <c:idx val="4"/>
          <c:order val="3"/>
          <c:tx>
            <c:strRef>
              <c:f>总量!$G$2</c:f>
              <c:strCache>
                <c:ptCount val="1"/>
                <c:pt idx="0">
                  <c:v>Electric</c:v>
                </c:pt>
              </c:strCache>
            </c:strRef>
          </c:tx>
          <c:spPr>
            <a:solidFill>
              <a:schemeClr val="accent5"/>
            </a:solidFill>
            <a:ln>
              <a:noFill/>
            </a:ln>
            <a:effectLst/>
          </c:spPr>
          <c:invertIfNegative val="0"/>
          <c:cat>
            <c:multiLvlStrRef>
              <c:f>总量!$A$3:$B$16</c:f>
              <c:multiLvlStrCache>
                <c:ptCount val="14"/>
                <c:lvl>
                  <c:pt idx="0">
                    <c:v>2020 </c:v>
                  </c:pt>
                  <c:pt idx="1">
                    <c:v>2025 </c:v>
                  </c:pt>
                  <c:pt idx="2">
                    <c:v>2030 </c:v>
                  </c:pt>
                  <c:pt idx="3">
                    <c:v>2035 </c:v>
                  </c:pt>
                  <c:pt idx="4">
                    <c:v>2040 </c:v>
                  </c:pt>
                  <c:pt idx="5">
                    <c:v>2045 </c:v>
                  </c:pt>
                  <c:pt idx="6">
                    <c:v>2050 </c:v>
                  </c:pt>
                  <c:pt idx="7">
                    <c:v>2020 </c:v>
                  </c:pt>
                  <c:pt idx="8">
                    <c:v>2025 </c:v>
                  </c:pt>
                  <c:pt idx="9">
                    <c:v>2030 </c:v>
                  </c:pt>
                  <c:pt idx="10">
                    <c:v>2035 </c:v>
                  </c:pt>
                  <c:pt idx="11">
                    <c:v>2040 </c:v>
                  </c:pt>
                  <c:pt idx="12">
                    <c:v>2045 </c:v>
                  </c:pt>
                  <c:pt idx="13">
                    <c:v>2050 </c:v>
                  </c:pt>
                </c:lvl>
                <c:lvl>
                  <c:pt idx="0">
                    <c:v>Old policy</c:v>
                  </c:pt>
                  <c:pt idx="7">
                    <c:v>New policy</c:v>
                  </c:pt>
                </c:lvl>
              </c:multiLvlStrCache>
            </c:multiLvlStrRef>
          </c:cat>
          <c:val>
            <c:numRef>
              <c:f>总量!$G$3:$G$16</c:f>
              <c:numCache>
                <c:formatCode>0.0_ </c:formatCode>
                <c:ptCount val="14"/>
                <c:pt idx="0">
                  <c:v>871.66737671557394</c:v>
                </c:pt>
                <c:pt idx="1">
                  <c:v>966.76638936811059</c:v>
                </c:pt>
                <c:pt idx="2">
                  <c:v>1033.4473065286002</c:v>
                </c:pt>
                <c:pt idx="3">
                  <c:v>1051.2252507629148</c:v>
                </c:pt>
                <c:pt idx="4">
                  <c:v>1049.684925162881</c:v>
                </c:pt>
                <c:pt idx="5">
                  <c:v>1016.5298096650962</c:v>
                </c:pt>
                <c:pt idx="6">
                  <c:v>1043.0436721494925</c:v>
                </c:pt>
                <c:pt idx="7">
                  <c:v>904.74150288651958</c:v>
                </c:pt>
                <c:pt idx="8">
                  <c:v>1030.9803343572751</c:v>
                </c:pt>
                <c:pt idx="9">
                  <c:v>1135.9189877921751</c:v>
                </c:pt>
                <c:pt idx="10">
                  <c:v>1183.3406575896277</c:v>
                </c:pt>
                <c:pt idx="11">
                  <c:v>1214.8473809783725</c:v>
                </c:pt>
                <c:pt idx="12">
                  <c:v>1194.6761336883551</c:v>
                </c:pt>
                <c:pt idx="13">
                  <c:v>1217.3465000630429</c:v>
                </c:pt>
              </c:numCache>
            </c:numRef>
          </c:val>
          <c:extLst xmlns:c16r2="http://schemas.microsoft.com/office/drawing/2015/06/chart">
            <c:ext xmlns:c16="http://schemas.microsoft.com/office/drawing/2014/chart" uri="{C3380CC4-5D6E-409C-BE32-E72D297353CC}">
              <c16:uniqueId val="{00000003-4F81-4140-BAD0-9C7BD5F662C5}"/>
            </c:ext>
          </c:extLst>
        </c:ser>
        <c:ser>
          <c:idx val="5"/>
          <c:order val="4"/>
          <c:tx>
            <c:strRef>
              <c:f>总量!$H$2</c:f>
              <c:strCache>
                <c:ptCount val="1"/>
                <c:pt idx="0">
                  <c:v>Other</c:v>
                </c:pt>
              </c:strCache>
            </c:strRef>
          </c:tx>
          <c:spPr>
            <a:solidFill>
              <a:schemeClr val="accent6"/>
            </a:solidFill>
            <a:ln>
              <a:noFill/>
            </a:ln>
            <a:effectLst/>
          </c:spPr>
          <c:invertIfNegative val="0"/>
          <c:cat>
            <c:multiLvlStrRef>
              <c:f>总量!$A$3:$B$16</c:f>
              <c:multiLvlStrCache>
                <c:ptCount val="14"/>
                <c:lvl>
                  <c:pt idx="0">
                    <c:v>2020 </c:v>
                  </c:pt>
                  <c:pt idx="1">
                    <c:v>2025 </c:v>
                  </c:pt>
                  <c:pt idx="2">
                    <c:v>2030 </c:v>
                  </c:pt>
                  <c:pt idx="3">
                    <c:v>2035 </c:v>
                  </c:pt>
                  <c:pt idx="4">
                    <c:v>2040 </c:v>
                  </c:pt>
                  <c:pt idx="5">
                    <c:v>2045 </c:v>
                  </c:pt>
                  <c:pt idx="6">
                    <c:v>2050 </c:v>
                  </c:pt>
                  <c:pt idx="7">
                    <c:v>2020 </c:v>
                  </c:pt>
                  <c:pt idx="8">
                    <c:v>2025 </c:v>
                  </c:pt>
                  <c:pt idx="9">
                    <c:v>2030 </c:v>
                  </c:pt>
                  <c:pt idx="10">
                    <c:v>2035 </c:v>
                  </c:pt>
                  <c:pt idx="11">
                    <c:v>2040 </c:v>
                  </c:pt>
                  <c:pt idx="12">
                    <c:v>2045 </c:v>
                  </c:pt>
                  <c:pt idx="13">
                    <c:v>2050 </c:v>
                  </c:pt>
                </c:lvl>
                <c:lvl>
                  <c:pt idx="0">
                    <c:v>Old policy</c:v>
                  </c:pt>
                  <c:pt idx="7">
                    <c:v>New policy</c:v>
                  </c:pt>
                </c:lvl>
              </c:multiLvlStrCache>
            </c:multiLvlStrRef>
          </c:cat>
          <c:val>
            <c:numRef>
              <c:f>总量!$H$3:$H$16</c:f>
              <c:numCache>
                <c:formatCode>0.0_ </c:formatCode>
                <c:ptCount val="14"/>
                <c:pt idx="0">
                  <c:v>222.27918199585312</c:v>
                </c:pt>
                <c:pt idx="1">
                  <c:v>245.33371189118381</c:v>
                </c:pt>
                <c:pt idx="2">
                  <c:v>260.82924229904495</c:v>
                </c:pt>
                <c:pt idx="3">
                  <c:v>264.89193045612478</c:v>
                </c:pt>
                <c:pt idx="4">
                  <c:v>263.89010182634036</c:v>
                </c:pt>
                <c:pt idx="5">
                  <c:v>255.85999991246925</c:v>
                </c:pt>
                <c:pt idx="6">
                  <c:v>258.00908726953423</c:v>
                </c:pt>
                <c:pt idx="7">
                  <c:v>229.18810170663275</c:v>
                </c:pt>
                <c:pt idx="8">
                  <c:v>258.81148165702513</c:v>
                </c:pt>
                <c:pt idx="9">
                  <c:v>282.20783421816634</c:v>
                </c:pt>
                <c:pt idx="10">
                  <c:v>292.34839272303742</c:v>
                </c:pt>
                <c:pt idx="11">
                  <c:v>298.24525231418272</c:v>
                </c:pt>
                <c:pt idx="12">
                  <c:v>293.13824559297785</c:v>
                </c:pt>
                <c:pt idx="13">
                  <c:v>294.99913708091157</c:v>
                </c:pt>
              </c:numCache>
            </c:numRef>
          </c:val>
          <c:extLst xmlns:c16r2="http://schemas.microsoft.com/office/drawing/2015/06/chart">
            <c:ext xmlns:c16="http://schemas.microsoft.com/office/drawing/2014/chart" uri="{C3380CC4-5D6E-409C-BE32-E72D297353CC}">
              <c16:uniqueId val="{00000004-4F81-4140-BAD0-9C7BD5F662C5}"/>
            </c:ext>
          </c:extLst>
        </c:ser>
        <c:dLbls>
          <c:showLegendKey val="0"/>
          <c:showVal val="0"/>
          <c:showCatName val="0"/>
          <c:showSerName val="0"/>
          <c:showPercent val="0"/>
          <c:showBubbleSize val="0"/>
        </c:dLbls>
        <c:gapWidth val="182"/>
        <c:axId val="-755838048"/>
        <c:axId val="-755829344"/>
      </c:barChart>
      <c:catAx>
        <c:axId val="-755838048"/>
        <c:scaling>
          <c:orientation val="minMax"/>
        </c:scaling>
        <c:delete val="0"/>
        <c:axPos val="l"/>
        <c:numFmt formatCode="General" sourceLinked="1"/>
        <c:majorTickMark val="out"/>
        <c:minorTickMark val="none"/>
        <c:tickLblPos val="nextTo"/>
        <c:spPr>
          <a:noFill/>
          <a:ln w="9525" cap="flat" cmpd="sng" algn="ctr">
            <a:solidFill>
              <a:srgbClr val="0070C0"/>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755829344"/>
        <c:crosses val="autoZero"/>
        <c:auto val="1"/>
        <c:lblAlgn val="ctr"/>
        <c:lblOffset val="100"/>
        <c:noMultiLvlLbl val="0"/>
      </c:catAx>
      <c:valAx>
        <c:axId val="-755829344"/>
        <c:scaling>
          <c:orientation val="minMax"/>
        </c:scaling>
        <c:delete val="0"/>
        <c:axPos val="b"/>
        <c:majorGridlines>
          <c:spPr>
            <a:ln w="9525" cap="flat" cmpd="sng" algn="ctr">
              <a:noFill/>
              <a:round/>
            </a:ln>
            <a:effectLst/>
          </c:spPr>
        </c:majorGridlines>
        <c:numFmt formatCode="0_ " sourceLinked="0"/>
        <c:majorTickMark val="in"/>
        <c:minorTickMark val="none"/>
        <c:tickLblPos val="nextTo"/>
        <c:spPr>
          <a:noFill/>
          <a:ln>
            <a:solidFill>
              <a:srgbClr val="0070C0"/>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755838048"/>
        <c:crosses val="autoZero"/>
        <c:crossBetween val="between"/>
      </c:valAx>
      <c:spPr>
        <a:noFill/>
        <a:ln>
          <a:noFill/>
        </a:ln>
        <a:effectLst/>
      </c:spPr>
    </c:plotArea>
    <c:legend>
      <c:legendPos val="b"/>
      <c:layout>
        <c:manualLayout>
          <c:xMode val="edge"/>
          <c:yMode val="edge"/>
          <c:x val="1.3360053440213761E-2"/>
          <c:y val="0.92654928550597826"/>
          <c:w val="0.94486505820039024"/>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8ACEB-AF7E-4CF8-AAE8-BE9E7E0A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746</Words>
  <Characters>4258</Characters>
  <Application>Microsoft Office Word</Application>
  <DocSecurity>0</DocSecurity>
  <Lines>35</Lines>
  <Paragraphs>9</Paragraphs>
  <ScaleCrop>false</ScaleCrop>
  <Company>Hewlett-Packard Company</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1.5350.21-</dc:title>
  <dc:subject/>
  <dc:creator>HP</dc:creator>
  <cp:keywords/>
  <dc:description/>
  <cp:lastModifiedBy>Windows 用户</cp:lastModifiedBy>
  <cp:revision>17</cp:revision>
  <cp:lastPrinted>2020-05-15T03:25:00Z</cp:lastPrinted>
  <dcterms:created xsi:type="dcterms:W3CDTF">2022-02-22T01:50:00Z</dcterms:created>
  <dcterms:modified xsi:type="dcterms:W3CDTF">2022-02-25T07:49:00Z</dcterms:modified>
  <cp:version>1.5350.21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cfb25982-72fa-39ad-946f-314d35d6654b</vt:lpwstr>
  </property>
  <property fmtid="{D5CDD505-2E9C-101B-9397-08002B2CF9AE}" pid="4" name="Mendeley Citation Style_1">
    <vt:lpwstr>http://www.zotero.org/styles/nature</vt:lpwstr>
  </property>
</Properties>
</file>