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53AB13" w14:textId="77777777" w:rsidR="00302641" w:rsidRPr="001549D3" w:rsidRDefault="00302641" w:rsidP="00302641">
      <w:pPr>
        <w:pStyle w:val="SupplementaryMaterial"/>
        <w:rPr>
          <w:b w:val="0"/>
        </w:rPr>
      </w:pPr>
      <w:r w:rsidRPr="001549D3">
        <w:t>Supplementary Material</w:t>
      </w:r>
    </w:p>
    <w:p w14:paraId="7F739651" w14:textId="77777777" w:rsidR="00AA51CD" w:rsidRDefault="00AA51CD" w:rsidP="0030264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Appendix-S1: METHODS</w:t>
      </w:r>
    </w:p>
    <w:p w14:paraId="158BC178" w14:textId="77777777" w:rsidR="00AA51CD" w:rsidRDefault="00AA51CD" w:rsidP="00302641">
      <w:pPr>
        <w:jc w:val="both"/>
        <w:rPr>
          <w:rFonts w:ascii="Times New Roman" w:hAnsi="Times New Roman" w:cs="Times New Roman"/>
          <w:b/>
        </w:rPr>
      </w:pPr>
      <w:r w:rsidRPr="00EB62D3">
        <w:rPr>
          <w:rFonts w:ascii="Times New Roman" w:hAnsi="Times New Roman" w:cs="Times New Roman"/>
          <w:b/>
        </w:rPr>
        <w:t>Cell preparation</w:t>
      </w:r>
    </w:p>
    <w:p w14:paraId="6960F381" w14:textId="15184DA7" w:rsidR="00AA51CD" w:rsidRDefault="00AA51CD" w:rsidP="00302641">
      <w:pPr>
        <w:ind w:firstLineChars="100" w:firstLine="240"/>
        <w:jc w:val="both"/>
        <w:rPr>
          <w:rFonts w:ascii="Times New Roman" w:hAnsi="Times New Roman" w:cs="Times New Roman"/>
        </w:rPr>
      </w:pPr>
      <w:r w:rsidRPr="00EB62D3">
        <w:rPr>
          <w:rFonts w:ascii="Times New Roman" w:hAnsi="Times New Roman" w:cs="Times New Roman"/>
        </w:rPr>
        <w:t>An average of </w:t>
      </w:r>
      <w:proofErr w:type="spellStart"/>
      <w:r w:rsidRPr="00EB62D3">
        <w:rPr>
          <w:rFonts w:ascii="Times New Roman" w:hAnsi="Times New Roman" w:cs="Times New Roman"/>
        </w:rPr>
        <w:t>MatriPlax</w:t>
      </w:r>
      <w:proofErr w:type="spellEnd"/>
      <w:r w:rsidRPr="00EB62D3">
        <w:rPr>
          <w:rFonts w:ascii="Times New Roman" w:hAnsi="Times New Roman" w:cs="Times New Roman"/>
        </w:rPr>
        <w:t xml:space="preserve"> were administered per infusion. The viability of pc-MSCs at the time of product release for administration was found to be 88±2% by trypan blue and 90 %±2% by flow cytometry using fixable viability stain. No differences in cell dose, cell viability, or degree of apoptosis were observed between pc-MSCs prepared for the first or second infusion. Stability studies demonstrated stability of the pc-MSC investigational product for up to 8 hours after thawing and preparation, as assessed by cell count, viability by trypan blue and flow cytometry, and apoptosis assessed by flow cytometry. Cell surface marker analysis demonstrated a typical surface </w:t>
      </w:r>
      <w:bookmarkStart w:id="0" w:name="_GoBack"/>
      <w:bookmarkEnd w:id="0"/>
      <w:r w:rsidRPr="00EB62D3">
        <w:rPr>
          <w:rFonts w:ascii="Times New Roman" w:hAnsi="Times New Roman" w:cs="Times New Roman"/>
        </w:rPr>
        <w:t>marker profile characteristic of MSCs: CD90 of 99% ±</w:t>
      </w:r>
      <w:proofErr w:type="gramStart"/>
      <w:r w:rsidRPr="00EB62D3">
        <w:rPr>
          <w:rFonts w:ascii="Times New Roman" w:hAnsi="Times New Roman" w:cs="Times New Roman"/>
        </w:rPr>
        <w:t>0.2%</w:t>
      </w:r>
      <w:proofErr w:type="gramEnd"/>
      <w:r w:rsidRPr="00EB62D3">
        <w:rPr>
          <w:rFonts w:ascii="Times New Roman" w:hAnsi="Times New Roman" w:cs="Times New Roman"/>
        </w:rPr>
        <w:t>, CD</w:t>
      </w:r>
      <w:r w:rsidR="00A12123" w:rsidRPr="003E7E51">
        <w:rPr>
          <w:rFonts w:ascii="Times New Roman" w:hAnsi="Times New Roman" w:cs="Times New Roman"/>
          <w:color w:val="FF0000"/>
        </w:rPr>
        <w:t>73</w:t>
      </w:r>
      <w:r w:rsidRPr="00EB62D3">
        <w:rPr>
          <w:rFonts w:ascii="Times New Roman" w:hAnsi="Times New Roman" w:cs="Times New Roman"/>
        </w:rPr>
        <w:t xml:space="preserve"> of 95%±0.2%, and CD34/CD45 of 0%±0.1%.</w:t>
      </w:r>
    </w:p>
    <w:p w14:paraId="7915961F" w14:textId="77777777" w:rsidR="00AA51CD" w:rsidRDefault="00AA51CD" w:rsidP="00302641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510BC95" w14:textId="77777777" w:rsidR="00AA51CD" w:rsidRDefault="00AA51CD" w:rsidP="00AA51CD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Appendix-S2: </w:t>
      </w:r>
    </w:p>
    <w:p w14:paraId="0415C795" w14:textId="77777777" w:rsidR="00302641" w:rsidRDefault="00302641" w:rsidP="0030264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379946B9" wp14:editId="0E3AFC5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70500" cy="6337300"/>
            <wp:effectExtent l="0" t="0" r="6350" b="6350"/>
            <wp:wrapTight wrapText="bothSides">
              <wp:wrapPolygon edited="0">
                <wp:start x="0" y="0"/>
                <wp:lineTo x="0" y="21557"/>
                <wp:lineTo x="21548" y="21557"/>
                <wp:lineTo x="21548" y="0"/>
                <wp:lineTo x="0" y="0"/>
              </wp:wrapPolygon>
            </wp:wrapTight>
            <wp:docPr id="3" name="圖片 3" descr="L:\submittion\COVID\for respirology\fig\figs3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submittion\COVID\for respirology\fig\figs3a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964A49" w14:textId="77777777" w:rsidR="00302641" w:rsidRDefault="00302641" w:rsidP="00302641">
      <w:pPr>
        <w:jc w:val="both"/>
        <w:rPr>
          <w:rFonts w:ascii="Times New Roman" w:hAnsi="Times New Roman" w:cs="Times New Roman"/>
        </w:rPr>
      </w:pPr>
    </w:p>
    <w:p w14:paraId="6AACC455" w14:textId="77777777" w:rsidR="00302641" w:rsidRDefault="00302641" w:rsidP="00302641">
      <w:pPr>
        <w:jc w:val="both"/>
        <w:rPr>
          <w:rFonts w:ascii="Times New Roman" w:hAnsi="Times New Roman" w:cs="Times New Roman"/>
        </w:rPr>
      </w:pPr>
    </w:p>
    <w:p w14:paraId="00F4EDB7" w14:textId="77777777" w:rsidR="00302641" w:rsidRDefault="00302641" w:rsidP="00302641">
      <w:pPr>
        <w:jc w:val="both"/>
        <w:rPr>
          <w:rFonts w:ascii="Times New Roman" w:hAnsi="Times New Roman" w:cs="Times New Roman"/>
        </w:rPr>
      </w:pPr>
    </w:p>
    <w:p w14:paraId="4F502A1F" w14:textId="77777777" w:rsidR="00302641" w:rsidRDefault="00302641" w:rsidP="00302641">
      <w:pPr>
        <w:jc w:val="both"/>
        <w:rPr>
          <w:rFonts w:ascii="Times New Roman" w:hAnsi="Times New Roman" w:cs="Times New Roman"/>
        </w:rPr>
      </w:pPr>
    </w:p>
    <w:p w14:paraId="516CBA48" w14:textId="77777777" w:rsidR="00302641" w:rsidRDefault="00302641" w:rsidP="00302641">
      <w:pPr>
        <w:jc w:val="both"/>
        <w:rPr>
          <w:rFonts w:ascii="Times New Roman" w:hAnsi="Times New Roman" w:cs="Times New Roman"/>
        </w:rPr>
      </w:pPr>
    </w:p>
    <w:p w14:paraId="53334B59" w14:textId="77777777" w:rsidR="00302641" w:rsidRDefault="00302641" w:rsidP="00302641">
      <w:pPr>
        <w:jc w:val="both"/>
        <w:rPr>
          <w:rFonts w:ascii="Times New Roman" w:hAnsi="Times New Roman" w:cs="Times New Roman"/>
        </w:rPr>
      </w:pPr>
    </w:p>
    <w:p w14:paraId="71DE8473" w14:textId="77777777" w:rsidR="00302641" w:rsidRDefault="00302641" w:rsidP="00302641">
      <w:pPr>
        <w:jc w:val="both"/>
        <w:rPr>
          <w:rFonts w:ascii="Times New Roman" w:hAnsi="Times New Roman" w:cs="Times New Roman"/>
        </w:rPr>
      </w:pPr>
    </w:p>
    <w:p w14:paraId="008C17EF" w14:textId="77777777" w:rsidR="00302641" w:rsidRDefault="00302641" w:rsidP="00302641">
      <w:pPr>
        <w:jc w:val="both"/>
        <w:rPr>
          <w:rFonts w:ascii="Times New Roman" w:hAnsi="Times New Roman" w:cs="Times New Roman"/>
        </w:rPr>
      </w:pPr>
    </w:p>
    <w:p w14:paraId="197ECB86" w14:textId="77777777" w:rsidR="00302641" w:rsidRDefault="00302641" w:rsidP="00302641">
      <w:pPr>
        <w:jc w:val="both"/>
        <w:rPr>
          <w:rFonts w:ascii="Times New Roman" w:hAnsi="Times New Roman" w:cs="Times New Roman"/>
        </w:rPr>
      </w:pPr>
    </w:p>
    <w:p w14:paraId="682391B2" w14:textId="5B495F98" w:rsidR="00302641" w:rsidRPr="00302641" w:rsidRDefault="00302641" w:rsidP="00302641">
      <w:pPr>
        <w:jc w:val="both"/>
        <w:rPr>
          <w:rFonts w:ascii="Times New Roman" w:hAnsi="Times New Roman" w:cs="Times New Roman"/>
          <w:color w:val="000000" w:themeColor="text1"/>
        </w:rPr>
      </w:pPr>
      <w:r w:rsidRPr="00302641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1" locked="0" layoutInCell="1" allowOverlap="1" wp14:anchorId="07EEE32F" wp14:editId="728E2C2E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274945" cy="5469255"/>
            <wp:effectExtent l="0" t="0" r="1905" b="0"/>
            <wp:wrapTight wrapText="bothSides">
              <wp:wrapPolygon edited="0">
                <wp:start x="0" y="0"/>
                <wp:lineTo x="0" y="21517"/>
                <wp:lineTo x="21530" y="21517"/>
                <wp:lineTo x="21530" y="0"/>
                <wp:lineTo x="0" y="0"/>
              </wp:wrapPolygon>
            </wp:wrapTight>
            <wp:docPr id="4" name="圖片 4" descr="L:\submittion\COVID\for respirology\fig\figs3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submittion\COVID\for respirology\fig\figs3c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54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2641">
        <w:rPr>
          <w:rFonts w:ascii="Times New Roman" w:hAnsi="Times New Roman" w:cs="Times New Roman" w:hint="eastAsia"/>
          <w:b/>
          <w:color w:val="000000" w:themeColor="text1"/>
        </w:rPr>
        <w:t>F</w:t>
      </w:r>
      <w:r w:rsidRPr="00302641">
        <w:rPr>
          <w:rFonts w:ascii="Times New Roman" w:hAnsi="Times New Roman" w:cs="Times New Roman"/>
          <w:b/>
          <w:color w:val="000000" w:themeColor="text1"/>
        </w:rPr>
        <w:t xml:space="preserve">igure S1 </w:t>
      </w:r>
      <w:r w:rsidRPr="00302641">
        <w:rPr>
          <w:rFonts w:ascii="Times New Roman" w:hAnsi="Times New Roman" w:cs="Times New Roman" w:hint="eastAsia"/>
          <w:b/>
          <w:color w:val="000000" w:themeColor="text1"/>
        </w:rPr>
        <w:t>G</w:t>
      </w:r>
      <w:r w:rsidRPr="00302641">
        <w:rPr>
          <w:rFonts w:ascii="Times New Roman" w:hAnsi="Times New Roman" w:cs="Times New Roman"/>
          <w:b/>
          <w:color w:val="000000" w:themeColor="text1"/>
        </w:rPr>
        <w:t>ating strategy of immune cell</w:t>
      </w:r>
      <w:r w:rsidR="00B0198C">
        <w:rPr>
          <w:rFonts w:ascii="Times New Roman" w:hAnsi="Times New Roman" w:cs="Times New Roman"/>
          <w:b/>
          <w:color w:val="000000" w:themeColor="text1"/>
        </w:rPr>
        <w:t>s</w:t>
      </w:r>
      <w:r w:rsidRPr="00302641">
        <w:rPr>
          <w:rFonts w:ascii="Times New Roman" w:hAnsi="Times New Roman" w:cs="Times New Roman"/>
          <w:color w:val="000000" w:themeColor="text1"/>
        </w:rPr>
        <w:t xml:space="preserve"> (a) T cell (b) B cell (c) NK population (d) Monocyte population</w:t>
      </w:r>
    </w:p>
    <w:p w14:paraId="092D111D" w14:textId="31E61F06" w:rsidR="00AA51CD" w:rsidRDefault="00AA51CD" w:rsidP="00AA51CD">
      <w:pPr>
        <w:spacing w:line="480" w:lineRule="auto"/>
      </w:pPr>
    </w:p>
    <w:p w14:paraId="644100FE" w14:textId="77777777" w:rsidR="00302641" w:rsidRPr="00302641" w:rsidRDefault="00302641" w:rsidP="00AA51CD">
      <w:pPr>
        <w:spacing w:line="480" w:lineRule="auto"/>
      </w:pPr>
    </w:p>
    <w:p w14:paraId="27266F2F" w14:textId="77777777" w:rsidR="00AA51CD" w:rsidRDefault="00AA51CD" w:rsidP="00AA51CD">
      <w:pPr>
        <w:spacing w:line="480" w:lineRule="auto"/>
      </w:pPr>
    </w:p>
    <w:p w14:paraId="1B605E2A" w14:textId="77777777" w:rsidR="00302641" w:rsidRPr="00BA4E7C" w:rsidRDefault="00302641" w:rsidP="00302641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80CBAE5" wp14:editId="6B6AA60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70500" cy="2235200"/>
            <wp:effectExtent l="0" t="0" r="6350" b="0"/>
            <wp:wrapTight wrapText="bothSides">
              <wp:wrapPolygon edited="0">
                <wp:start x="0" y="0"/>
                <wp:lineTo x="0" y="21355"/>
                <wp:lineTo x="21548" y="21355"/>
                <wp:lineTo x="21548" y="0"/>
                <wp:lineTo x="0" y="0"/>
              </wp:wrapPolygon>
            </wp:wrapTight>
            <wp:docPr id="2" name="圖片 2" descr="L:\submittion\COVID\for respirology\fig\fig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submittion\COVID\for respirology\fig\figs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4E7C">
        <w:rPr>
          <w:rFonts w:ascii="Times New Roman" w:hAnsi="Times New Roman" w:cs="Times New Roman"/>
          <w:b/>
          <w:color w:val="000000" w:themeColor="text1"/>
        </w:rPr>
        <w:t>Figure S2</w:t>
      </w:r>
    </w:p>
    <w:p w14:paraId="5B091F90" w14:textId="13270722" w:rsidR="00302641" w:rsidRPr="00302641" w:rsidRDefault="00302641" w:rsidP="00302641">
      <w:pPr>
        <w:jc w:val="both"/>
        <w:rPr>
          <w:rFonts w:ascii="Times New Roman" w:hAnsi="Times New Roman" w:cs="Times New Roman"/>
          <w:color w:val="000000" w:themeColor="text1"/>
        </w:rPr>
      </w:pPr>
      <w:r w:rsidRPr="00BA4E7C">
        <w:rPr>
          <w:rFonts w:ascii="Times New Roman" w:hAnsi="Times New Roman" w:cs="Times New Roman"/>
          <w:b/>
          <w:color w:val="000000" w:themeColor="text1"/>
        </w:rPr>
        <w:t xml:space="preserve">The </w:t>
      </w:r>
      <w:r w:rsidR="00B0198C">
        <w:rPr>
          <w:rFonts w:ascii="Times New Roman" w:hAnsi="Times New Roman" w:cs="Times New Roman"/>
          <w:b/>
          <w:color w:val="000000" w:themeColor="text1"/>
        </w:rPr>
        <w:t xml:space="preserve">cell clusters </w:t>
      </w:r>
      <w:r w:rsidRPr="00BA4E7C">
        <w:rPr>
          <w:rFonts w:ascii="Times New Roman" w:hAnsi="Times New Roman" w:cs="Times New Roman"/>
          <w:b/>
          <w:color w:val="000000" w:themeColor="text1"/>
        </w:rPr>
        <w:t xml:space="preserve">of the peripheral blood mononuclear cells </w:t>
      </w:r>
      <w:r w:rsidR="00B0198C">
        <w:rPr>
          <w:rFonts w:ascii="Times New Roman" w:hAnsi="Times New Roman" w:cs="Times New Roman"/>
          <w:b/>
          <w:color w:val="000000" w:themeColor="text1"/>
        </w:rPr>
        <w:t>of</w:t>
      </w:r>
      <w:r w:rsidRPr="00BA4E7C">
        <w:rPr>
          <w:rFonts w:ascii="Times New Roman" w:hAnsi="Times New Roman" w:cs="Times New Roman"/>
          <w:b/>
          <w:color w:val="000000" w:themeColor="text1"/>
        </w:rPr>
        <w:t xml:space="preserve"> patient</w:t>
      </w:r>
      <w:r w:rsidR="00B0198C">
        <w:rPr>
          <w:rFonts w:ascii="Times New Roman" w:hAnsi="Times New Roman" w:cs="Times New Roman"/>
          <w:b/>
          <w:color w:val="000000" w:themeColor="text1"/>
        </w:rPr>
        <w:t>s</w:t>
      </w:r>
      <w:r w:rsidRPr="00BA4E7C">
        <w:rPr>
          <w:rFonts w:ascii="Times New Roman" w:hAnsi="Times New Roman" w:cs="Times New Roman"/>
          <w:b/>
          <w:color w:val="000000" w:themeColor="text1"/>
        </w:rPr>
        <w:t xml:space="preserve"> shown by t-SNE</w:t>
      </w:r>
      <w:r>
        <w:rPr>
          <w:rFonts w:ascii="Times New Roman" w:hAnsi="Times New Roman" w:cs="Times New Roman"/>
          <w:b/>
          <w:color w:val="000000" w:themeColor="text1"/>
        </w:rPr>
        <w:t>.</w:t>
      </w:r>
      <w:r w:rsidRPr="00BA4E7C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302641">
        <w:rPr>
          <w:rFonts w:ascii="Times New Roman" w:hAnsi="Times New Roman" w:cs="Times New Roman"/>
          <w:color w:val="000000" w:themeColor="text1"/>
        </w:rPr>
        <w:t>(a) the proportion of immune cells before treat</w:t>
      </w:r>
      <w:r w:rsidR="00B0198C">
        <w:rPr>
          <w:rFonts w:ascii="Times New Roman" w:hAnsi="Times New Roman" w:cs="Times New Roman"/>
          <w:color w:val="000000" w:themeColor="text1"/>
        </w:rPr>
        <w:t>ment</w:t>
      </w:r>
      <w:r w:rsidRPr="00302641">
        <w:rPr>
          <w:rFonts w:ascii="Times New Roman" w:hAnsi="Times New Roman" w:cs="Times New Roman"/>
          <w:color w:val="000000" w:themeColor="text1"/>
        </w:rPr>
        <w:t xml:space="preserve"> with pc-MSCs</w:t>
      </w:r>
      <w:r>
        <w:rPr>
          <w:rFonts w:ascii="Times New Roman" w:hAnsi="Times New Roman" w:cs="Times New Roman"/>
          <w:color w:val="000000" w:themeColor="text1"/>
        </w:rPr>
        <w:t>.</w:t>
      </w:r>
      <w:r w:rsidRPr="00302641">
        <w:rPr>
          <w:rFonts w:ascii="Times New Roman" w:hAnsi="Times New Roman" w:cs="Times New Roman"/>
          <w:color w:val="000000" w:themeColor="text1"/>
        </w:rPr>
        <w:t xml:space="preserve"> (b) the changes </w:t>
      </w:r>
      <w:r w:rsidR="00B0198C">
        <w:rPr>
          <w:rFonts w:ascii="Times New Roman" w:hAnsi="Times New Roman" w:cs="Times New Roman"/>
          <w:color w:val="000000" w:themeColor="text1"/>
        </w:rPr>
        <w:t xml:space="preserve">in cell populations </w:t>
      </w:r>
      <w:r w:rsidRPr="00302641">
        <w:rPr>
          <w:rFonts w:ascii="Times New Roman" w:hAnsi="Times New Roman" w:cs="Times New Roman"/>
          <w:color w:val="000000" w:themeColor="text1"/>
        </w:rPr>
        <w:t xml:space="preserve">of </w:t>
      </w:r>
      <w:r w:rsidR="00B0198C">
        <w:rPr>
          <w:rFonts w:ascii="Times New Roman" w:hAnsi="Times New Roman" w:cs="Times New Roman"/>
          <w:color w:val="000000" w:themeColor="text1"/>
        </w:rPr>
        <w:t xml:space="preserve">each </w:t>
      </w:r>
      <w:r w:rsidRPr="00302641">
        <w:rPr>
          <w:rFonts w:ascii="Times New Roman" w:hAnsi="Times New Roman" w:cs="Times New Roman"/>
          <w:color w:val="000000" w:themeColor="text1"/>
        </w:rPr>
        <w:t xml:space="preserve">cell </w:t>
      </w:r>
      <w:r w:rsidR="00B0198C">
        <w:rPr>
          <w:rFonts w:ascii="Times New Roman" w:hAnsi="Times New Roman" w:cs="Times New Roman"/>
          <w:color w:val="000000" w:themeColor="text1"/>
        </w:rPr>
        <w:t>cluster after treatment:</w:t>
      </w:r>
      <w:r w:rsidRPr="00302641">
        <w:rPr>
          <w:rFonts w:ascii="Times New Roman" w:hAnsi="Times New Roman" w:cs="Times New Roman"/>
          <w:color w:val="000000" w:themeColor="text1"/>
        </w:rPr>
        <w:t xml:space="preserve"> increased in </w:t>
      </w:r>
      <w:proofErr w:type="spellStart"/>
      <w:r w:rsidRPr="00302641">
        <w:rPr>
          <w:rFonts w:ascii="Times New Roman" w:hAnsi="Times New Roman" w:cs="Times New Roman"/>
          <w:color w:val="000000" w:themeColor="text1"/>
        </w:rPr>
        <w:t>Treg</w:t>
      </w:r>
      <w:proofErr w:type="spellEnd"/>
      <w:r w:rsidRPr="00302641">
        <w:rPr>
          <w:rFonts w:ascii="Times New Roman" w:hAnsi="Times New Roman" w:cs="Times New Roman"/>
          <w:color w:val="000000" w:themeColor="text1"/>
        </w:rPr>
        <w:t xml:space="preserve"> cell and B cell </w:t>
      </w:r>
      <w:r w:rsidR="00B0198C">
        <w:rPr>
          <w:rFonts w:ascii="Times New Roman" w:hAnsi="Times New Roman" w:cs="Times New Roman"/>
          <w:color w:val="000000" w:themeColor="text1"/>
        </w:rPr>
        <w:t xml:space="preserve">sub-clusters </w:t>
      </w:r>
      <w:r w:rsidRPr="00302641">
        <w:rPr>
          <w:rFonts w:ascii="Times New Roman" w:hAnsi="Times New Roman" w:cs="Times New Roman"/>
          <w:color w:val="000000" w:themeColor="text1"/>
        </w:rPr>
        <w:t xml:space="preserve">with </w:t>
      </w:r>
      <w:r w:rsidR="00B0198C">
        <w:rPr>
          <w:rFonts w:ascii="Times New Roman" w:hAnsi="Times New Roman" w:cs="Times New Roman"/>
          <w:color w:val="000000" w:themeColor="text1"/>
        </w:rPr>
        <w:t xml:space="preserve">a concomitant </w:t>
      </w:r>
      <w:r w:rsidRPr="00302641">
        <w:rPr>
          <w:rFonts w:ascii="Times New Roman" w:hAnsi="Times New Roman" w:cs="Times New Roman"/>
          <w:color w:val="000000" w:themeColor="text1"/>
        </w:rPr>
        <w:t xml:space="preserve">reduction in </w:t>
      </w:r>
      <w:r w:rsidR="00B0198C">
        <w:rPr>
          <w:rFonts w:ascii="Times New Roman" w:hAnsi="Times New Roman" w:cs="Times New Roman"/>
          <w:color w:val="000000" w:themeColor="text1"/>
        </w:rPr>
        <w:t xml:space="preserve">sub-clusters of </w:t>
      </w:r>
      <w:r w:rsidRPr="00302641">
        <w:rPr>
          <w:rFonts w:ascii="Times New Roman" w:hAnsi="Times New Roman" w:cs="Times New Roman"/>
          <w:color w:val="000000" w:themeColor="text1"/>
        </w:rPr>
        <w:t>plasma</w:t>
      </w:r>
      <w:r w:rsidR="00B0198C">
        <w:rPr>
          <w:rFonts w:ascii="Times New Roman" w:hAnsi="Times New Roman" w:cs="Times New Roman"/>
          <w:color w:val="000000" w:themeColor="text1"/>
        </w:rPr>
        <w:t>/</w:t>
      </w:r>
      <w:proofErr w:type="spellStart"/>
      <w:r w:rsidR="00B0198C">
        <w:rPr>
          <w:rFonts w:ascii="Times New Roman" w:hAnsi="Times New Roman" w:cs="Times New Roman"/>
          <w:color w:val="000000" w:themeColor="text1"/>
        </w:rPr>
        <w:t>plasmablast</w:t>
      </w:r>
      <w:proofErr w:type="spellEnd"/>
      <w:r w:rsidRPr="00302641">
        <w:rPr>
          <w:rFonts w:ascii="Times New Roman" w:hAnsi="Times New Roman" w:cs="Times New Roman"/>
          <w:color w:val="000000" w:themeColor="text1"/>
        </w:rPr>
        <w:t xml:space="preserve"> cell and monocyte.</w:t>
      </w:r>
    </w:p>
    <w:p w14:paraId="5135E21E" w14:textId="77777777" w:rsidR="00AA51CD" w:rsidRPr="00302641" w:rsidRDefault="00AA51CD" w:rsidP="00AA51CD">
      <w:pPr>
        <w:spacing w:line="480" w:lineRule="auto"/>
      </w:pPr>
    </w:p>
    <w:sectPr w:rsidR="00AA51CD" w:rsidRPr="00302641" w:rsidSect="00302641">
      <w:headerReference w:type="first" r:id="rId9"/>
      <w:pgSz w:w="11906" w:h="16838"/>
      <w:pgMar w:top="1440" w:right="1800" w:bottom="1440" w:left="180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E8B331" w14:textId="77777777" w:rsidR="00DC6771" w:rsidRDefault="00DC6771" w:rsidP="00302641">
      <w:r>
        <w:separator/>
      </w:r>
    </w:p>
  </w:endnote>
  <w:endnote w:type="continuationSeparator" w:id="0">
    <w:p w14:paraId="30750198" w14:textId="77777777" w:rsidR="00DC6771" w:rsidRDefault="00DC6771" w:rsidP="00302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7C7AE5" w14:textId="77777777" w:rsidR="00DC6771" w:rsidRDefault="00DC6771" w:rsidP="00302641">
      <w:r>
        <w:separator/>
      </w:r>
    </w:p>
  </w:footnote>
  <w:footnote w:type="continuationSeparator" w:id="0">
    <w:p w14:paraId="0D132818" w14:textId="77777777" w:rsidR="00DC6771" w:rsidRDefault="00DC6771" w:rsidP="00302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D2B11" w14:textId="46154281" w:rsidR="00302641" w:rsidRDefault="00302641">
    <w:pPr>
      <w:pStyle w:val="a3"/>
    </w:pPr>
    <w:r w:rsidRPr="005A1D84">
      <w:rPr>
        <w:b/>
        <w:noProof/>
        <w:color w:val="A6A6A6" w:themeColor="background1" w:themeShade="A6"/>
      </w:rPr>
      <w:drawing>
        <wp:inline distT="0" distB="0" distL="0" distR="0" wp14:anchorId="38A5245B" wp14:editId="32709A91">
          <wp:extent cx="1382534" cy="497091"/>
          <wp:effectExtent l="0" t="0" r="0" b="0"/>
          <wp:docPr id="1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1CD"/>
    <w:rsid w:val="00302641"/>
    <w:rsid w:val="003E7E51"/>
    <w:rsid w:val="00A0332A"/>
    <w:rsid w:val="00A12123"/>
    <w:rsid w:val="00AA51CD"/>
    <w:rsid w:val="00B0198C"/>
    <w:rsid w:val="00DC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B07027E"/>
  <w15:chartTrackingRefBased/>
  <w15:docId w15:val="{1C3FA9C2-819B-4165-B6FD-B50C43902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51C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21">
    <w:name w:val="Body Text 21"/>
    <w:basedOn w:val="a"/>
    <w:rsid w:val="00AA51CD"/>
    <w:pPr>
      <w:tabs>
        <w:tab w:val="left" w:pos="2520"/>
      </w:tabs>
      <w:overflowPunct w:val="0"/>
      <w:autoSpaceDE w:val="0"/>
      <w:autoSpaceDN w:val="0"/>
      <w:adjustRightInd w:val="0"/>
      <w:spacing w:line="480" w:lineRule="auto"/>
      <w:ind w:right="-58"/>
      <w:jc w:val="both"/>
      <w:textAlignment w:val="baseline"/>
    </w:pPr>
    <w:rPr>
      <w:rFonts w:ascii="Times New Roman" w:eastAsia="新細明體" w:hAnsi="Times New Roman" w:cs="Times New Roman"/>
      <w:i/>
      <w:kern w:val="0"/>
      <w:szCs w:val="20"/>
    </w:rPr>
  </w:style>
  <w:style w:type="paragraph" w:styleId="a3">
    <w:name w:val="header"/>
    <w:basedOn w:val="a"/>
    <w:link w:val="a4"/>
    <w:uiPriority w:val="99"/>
    <w:unhideWhenUsed/>
    <w:rsid w:val="00302641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026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02641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02641"/>
    <w:rPr>
      <w:sz w:val="20"/>
      <w:szCs w:val="20"/>
    </w:rPr>
  </w:style>
  <w:style w:type="paragraph" w:customStyle="1" w:styleId="SupplementaryMaterial">
    <w:name w:val="Supplementary Material"/>
    <w:basedOn w:val="a7"/>
    <w:next w:val="a7"/>
    <w:qFormat/>
    <w:rsid w:val="00302641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a7">
    <w:name w:val="Title"/>
    <w:basedOn w:val="a"/>
    <w:next w:val="a"/>
    <w:link w:val="a8"/>
    <w:uiPriority w:val="10"/>
    <w:qFormat/>
    <w:rsid w:val="0030264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標題 字元"/>
    <w:basedOn w:val="a0"/>
    <w:link w:val="a7"/>
    <w:uiPriority w:val="10"/>
    <w:rsid w:val="00302641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200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kaathyyy1 kaathyyy1</dc:creator>
  <cp:keywords/>
  <dc:description/>
  <cp:lastModifiedBy>Jimmy new</cp:lastModifiedBy>
  <cp:revision>3</cp:revision>
  <dcterms:created xsi:type="dcterms:W3CDTF">2022-04-22T16:40:00Z</dcterms:created>
  <dcterms:modified xsi:type="dcterms:W3CDTF">2022-04-22T16:42:00Z</dcterms:modified>
</cp:coreProperties>
</file>