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8FD0" w14:textId="7255463B" w:rsidR="002248E0" w:rsidRPr="008D75B7" w:rsidRDefault="002248E0" w:rsidP="002248E0">
      <w:pPr>
        <w:spacing w:line="360" w:lineRule="auto"/>
      </w:pPr>
      <w:r w:rsidRPr="008D75B7">
        <w:rPr>
          <w:b/>
          <w:bCs/>
          <w:sz w:val="24"/>
        </w:rPr>
        <w:t>Supplemental Table 1</w:t>
      </w:r>
      <w:r w:rsidRPr="008D75B7">
        <w:rPr>
          <w:b/>
          <w:bCs/>
        </w:rPr>
        <w:t xml:space="preserve"> </w:t>
      </w:r>
      <w:r>
        <w:rPr>
          <w:rFonts w:hint="eastAsia"/>
          <w:b/>
          <w:bCs/>
        </w:rPr>
        <w:t>d</w:t>
      </w:r>
      <w:r w:rsidRPr="008D75B7">
        <w:rPr>
          <w:b/>
          <w:bCs/>
        </w:rPr>
        <w:t>iagnostic criteria for lung disease</w:t>
      </w:r>
    </w:p>
    <w:tbl>
      <w:tblPr>
        <w:tblStyle w:val="a3"/>
        <w:tblW w:w="0" w:type="auto"/>
        <w:tblInd w:w="113" w:type="dxa"/>
        <w:tblLook w:val="04A0" w:firstRow="1" w:lastRow="0" w:firstColumn="1" w:lastColumn="0" w:noHBand="0" w:noVBand="1"/>
      </w:tblPr>
      <w:tblGrid>
        <w:gridCol w:w="2189"/>
        <w:gridCol w:w="2100"/>
        <w:gridCol w:w="3894"/>
      </w:tblGrid>
      <w:tr w:rsidR="002248E0" w:rsidRPr="00BC5DB6" w14:paraId="517AC0B0" w14:textId="77777777" w:rsidTr="00B46C64">
        <w:tc>
          <w:tcPr>
            <w:tcW w:w="2826" w:type="dxa"/>
          </w:tcPr>
          <w:p w14:paraId="00CAC5FB" w14:textId="387311C7" w:rsidR="002248E0" w:rsidRPr="00BC5DB6" w:rsidRDefault="003F486A" w:rsidP="00B46C64">
            <w:pPr>
              <w:autoSpaceDE w:val="0"/>
              <w:autoSpaceDN w:val="0"/>
              <w:adjustRightInd w:val="0"/>
              <w:rPr>
                <w:b/>
                <w:bCs/>
                <w:sz w:val="24"/>
              </w:rPr>
            </w:pPr>
            <w:r>
              <w:rPr>
                <w:rFonts w:hint="eastAsia"/>
                <w:b/>
                <w:bCs/>
                <w:sz w:val="24"/>
              </w:rPr>
              <w:t>d</w:t>
            </w:r>
            <w:r w:rsidR="002248E0" w:rsidRPr="00BC5DB6">
              <w:rPr>
                <w:b/>
                <w:bCs/>
                <w:sz w:val="24"/>
              </w:rPr>
              <w:t>isease</w:t>
            </w:r>
          </w:p>
        </w:tc>
        <w:tc>
          <w:tcPr>
            <w:tcW w:w="2511" w:type="dxa"/>
          </w:tcPr>
          <w:p w14:paraId="7E19D01F" w14:textId="77777777" w:rsidR="002248E0" w:rsidRPr="00BC5DB6" w:rsidRDefault="002248E0" w:rsidP="00B46C64">
            <w:pPr>
              <w:autoSpaceDE w:val="0"/>
              <w:autoSpaceDN w:val="0"/>
              <w:adjustRightInd w:val="0"/>
              <w:rPr>
                <w:b/>
                <w:bCs/>
                <w:sz w:val="24"/>
              </w:rPr>
            </w:pPr>
            <w:r w:rsidRPr="00BC5DB6">
              <w:rPr>
                <w:b/>
                <w:bCs/>
                <w:sz w:val="24"/>
              </w:rPr>
              <w:t>abbreviation</w:t>
            </w:r>
          </w:p>
        </w:tc>
        <w:tc>
          <w:tcPr>
            <w:tcW w:w="5006" w:type="dxa"/>
          </w:tcPr>
          <w:p w14:paraId="3F524055" w14:textId="42399375" w:rsidR="002248E0" w:rsidRPr="00BC5DB6" w:rsidRDefault="003F486A" w:rsidP="00B46C64">
            <w:pPr>
              <w:autoSpaceDE w:val="0"/>
              <w:autoSpaceDN w:val="0"/>
              <w:adjustRightInd w:val="0"/>
              <w:rPr>
                <w:b/>
                <w:bCs/>
                <w:sz w:val="24"/>
              </w:rPr>
            </w:pPr>
            <w:r>
              <w:rPr>
                <w:rFonts w:hint="eastAsia"/>
                <w:b/>
                <w:bCs/>
                <w:sz w:val="24"/>
              </w:rPr>
              <w:t>d</w:t>
            </w:r>
            <w:r w:rsidR="002248E0" w:rsidRPr="00BC5DB6">
              <w:rPr>
                <w:b/>
                <w:bCs/>
                <w:sz w:val="24"/>
              </w:rPr>
              <w:t>iagnostic criteria</w:t>
            </w:r>
          </w:p>
        </w:tc>
      </w:tr>
      <w:tr w:rsidR="002248E0" w:rsidRPr="00BC5DB6" w14:paraId="684D2C4D" w14:textId="77777777" w:rsidTr="00B46C64">
        <w:tc>
          <w:tcPr>
            <w:tcW w:w="2826" w:type="dxa"/>
          </w:tcPr>
          <w:p w14:paraId="6D3F0889" w14:textId="77777777" w:rsidR="002248E0" w:rsidRPr="00BC5DB6" w:rsidRDefault="002248E0" w:rsidP="00B46C64">
            <w:pPr>
              <w:autoSpaceDE w:val="0"/>
              <w:autoSpaceDN w:val="0"/>
              <w:adjustRightInd w:val="0"/>
              <w:rPr>
                <w:b/>
                <w:bCs/>
                <w:sz w:val="24"/>
                <w:u w:val="single"/>
              </w:rPr>
            </w:pPr>
            <w:r w:rsidRPr="00BC5DB6">
              <w:rPr>
                <w:shd w:val="clear" w:color="auto" w:fill="FFFFFF"/>
              </w:rPr>
              <w:t>acute exacerbation of chronic obstructive pulmonary disease</w:t>
            </w:r>
          </w:p>
        </w:tc>
        <w:tc>
          <w:tcPr>
            <w:tcW w:w="2511" w:type="dxa"/>
          </w:tcPr>
          <w:p w14:paraId="26375F7D" w14:textId="77777777" w:rsidR="002248E0" w:rsidRPr="003F486A" w:rsidRDefault="002248E0" w:rsidP="00B46C64">
            <w:pPr>
              <w:autoSpaceDE w:val="0"/>
              <w:autoSpaceDN w:val="0"/>
              <w:adjustRightInd w:val="0"/>
              <w:rPr>
                <w:szCs w:val="21"/>
              </w:rPr>
            </w:pPr>
            <w:r w:rsidRPr="003F486A">
              <w:rPr>
                <w:szCs w:val="21"/>
              </w:rPr>
              <w:t>AECOPD</w:t>
            </w:r>
          </w:p>
        </w:tc>
        <w:tc>
          <w:tcPr>
            <w:tcW w:w="5006" w:type="dxa"/>
          </w:tcPr>
          <w:p w14:paraId="355711A8" w14:textId="77777777" w:rsidR="002248E0" w:rsidRPr="003F486A" w:rsidRDefault="002248E0" w:rsidP="00B46C64">
            <w:pPr>
              <w:autoSpaceDE w:val="0"/>
              <w:autoSpaceDN w:val="0"/>
              <w:adjustRightInd w:val="0"/>
              <w:rPr>
                <w:b/>
                <w:bCs/>
                <w:szCs w:val="21"/>
                <w:u w:val="single"/>
              </w:rPr>
            </w:pPr>
            <w:r w:rsidRPr="003F486A">
              <w:rPr>
                <w:color w:val="231F20"/>
                <w:szCs w:val="21"/>
                <w:shd w:val="clear" w:color="auto" w:fill="FFFFFF"/>
                <w:vertAlign w:val="superscript"/>
              </w:rPr>
              <w:t>1</w:t>
            </w:r>
            <w:r w:rsidRPr="003F486A">
              <w:rPr>
                <w:color w:val="231F20"/>
                <w:szCs w:val="21"/>
                <w:shd w:val="clear" w:color="auto" w:fill="FFFFFF"/>
              </w:rPr>
              <w:t>Global Initiative for Chronic Obstructive Lung Disease (GOLD). Global Strategy for the Diagnosis, Management and Prevention of Chronic Obstructive Pulmonary Disease: http://www.goldcopd.org (Accessed on February 28, 2022)</w:t>
            </w:r>
          </w:p>
        </w:tc>
      </w:tr>
      <w:tr w:rsidR="002248E0" w:rsidRPr="00BC5DB6" w14:paraId="0D25687E" w14:textId="77777777" w:rsidTr="00B46C64">
        <w:tc>
          <w:tcPr>
            <w:tcW w:w="2826" w:type="dxa"/>
          </w:tcPr>
          <w:p w14:paraId="73A970BE" w14:textId="77777777" w:rsidR="002248E0" w:rsidRPr="00BC5DB6" w:rsidRDefault="002248E0" w:rsidP="00B46C64">
            <w:pPr>
              <w:autoSpaceDE w:val="0"/>
              <w:autoSpaceDN w:val="0"/>
              <w:adjustRightInd w:val="0"/>
              <w:rPr>
                <w:b/>
                <w:bCs/>
                <w:sz w:val="24"/>
                <w:u w:val="single"/>
              </w:rPr>
            </w:pPr>
            <w:r w:rsidRPr="00BC5DB6">
              <w:rPr>
                <w:shd w:val="clear" w:color="auto" w:fill="FFFFFF"/>
              </w:rPr>
              <w:t>community-acquired pneumonia</w:t>
            </w:r>
          </w:p>
        </w:tc>
        <w:tc>
          <w:tcPr>
            <w:tcW w:w="2511" w:type="dxa"/>
          </w:tcPr>
          <w:p w14:paraId="46572302" w14:textId="77777777" w:rsidR="002248E0" w:rsidRPr="003F486A" w:rsidRDefault="002248E0" w:rsidP="00B46C64">
            <w:pPr>
              <w:autoSpaceDE w:val="0"/>
              <w:autoSpaceDN w:val="0"/>
              <w:adjustRightInd w:val="0"/>
              <w:rPr>
                <w:szCs w:val="21"/>
              </w:rPr>
            </w:pPr>
            <w:r w:rsidRPr="003F486A">
              <w:rPr>
                <w:szCs w:val="21"/>
              </w:rPr>
              <w:t>CAP</w:t>
            </w:r>
          </w:p>
        </w:tc>
        <w:tc>
          <w:tcPr>
            <w:tcW w:w="5006" w:type="dxa"/>
          </w:tcPr>
          <w:p w14:paraId="17E6D27B" w14:textId="77777777" w:rsidR="002248E0" w:rsidRPr="003F486A" w:rsidRDefault="002248E0" w:rsidP="00B46C64">
            <w:pPr>
              <w:autoSpaceDE w:val="0"/>
              <w:autoSpaceDN w:val="0"/>
              <w:adjustRightInd w:val="0"/>
              <w:rPr>
                <w:szCs w:val="21"/>
                <w:shd w:val="clear" w:color="auto" w:fill="FFFFFF"/>
              </w:rPr>
            </w:pPr>
            <w:r w:rsidRPr="003F486A">
              <w:rPr>
                <w:color w:val="231F20"/>
                <w:szCs w:val="21"/>
                <w:shd w:val="clear" w:color="auto" w:fill="FFFFFF"/>
                <w:vertAlign w:val="superscript"/>
              </w:rPr>
              <w:t>2</w:t>
            </w:r>
            <w:r w:rsidRPr="003F486A">
              <w:rPr>
                <w:color w:val="231F20"/>
                <w:szCs w:val="21"/>
                <w:shd w:val="clear" w:color="auto" w:fill="FFFFFF"/>
              </w:rPr>
              <w:t>Diagnosis and Treatment of Adults with Community-acquired Pneumonia. An Official Clinical Practice Guideline of the American Thoracic Society and Infectious Diseases Society of America</w:t>
            </w:r>
          </w:p>
        </w:tc>
      </w:tr>
      <w:tr w:rsidR="002248E0" w:rsidRPr="00BC5DB6" w14:paraId="173CE218" w14:textId="77777777" w:rsidTr="00B46C64">
        <w:tc>
          <w:tcPr>
            <w:tcW w:w="2826" w:type="dxa"/>
          </w:tcPr>
          <w:p w14:paraId="6F2658E7" w14:textId="77777777" w:rsidR="002248E0" w:rsidRPr="00BC5DB6" w:rsidRDefault="002248E0" w:rsidP="00B46C64">
            <w:pPr>
              <w:autoSpaceDE w:val="0"/>
              <w:autoSpaceDN w:val="0"/>
              <w:adjustRightInd w:val="0"/>
              <w:rPr>
                <w:b/>
                <w:bCs/>
                <w:sz w:val="24"/>
                <w:u w:val="single"/>
              </w:rPr>
            </w:pPr>
            <w:r w:rsidRPr="00BC5DB6">
              <w:rPr>
                <w:shd w:val="clear" w:color="auto" w:fill="FFFFFF"/>
              </w:rPr>
              <w:t>pulmonary embolism</w:t>
            </w:r>
          </w:p>
        </w:tc>
        <w:tc>
          <w:tcPr>
            <w:tcW w:w="2511" w:type="dxa"/>
          </w:tcPr>
          <w:p w14:paraId="2D2D796D" w14:textId="77777777" w:rsidR="002248E0" w:rsidRPr="003F486A" w:rsidRDefault="002248E0" w:rsidP="00B46C64">
            <w:pPr>
              <w:autoSpaceDE w:val="0"/>
              <w:autoSpaceDN w:val="0"/>
              <w:adjustRightInd w:val="0"/>
              <w:rPr>
                <w:szCs w:val="21"/>
              </w:rPr>
            </w:pPr>
            <w:r w:rsidRPr="003F486A">
              <w:rPr>
                <w:szCs w:val="21"/>
              </w:rPr>
              <w:t>PE</w:t>
            </w:r>
          </w:p>
        </w:tc>
        <w:tc>
          <w:tcPr>
            <w:tcW w:w="5006" w:type="dxa"/>
          </w:tcPr>
          <w:p w14:paraId="44980677" w14:textId="77777777" w:rsidR="002248E0" w:rsidRPr="00BC5DB6" w:rsidRDefault="002248E0" w:rsidP="00B46C64">
            <w:pPr>
              <w:autoSpaceDE w:val="0"/>
              <w:autoSpaceDN w:val="0"/>
              <w:adjustRightInd w:val="0"/>
              <w:rPr>
                <w:b/>
                <w:bCs/>
                <w:sz w:val="24"/>
                <w:u w:val="single"/>
              </w:rPr>
            </w:pPr>
            <w:r w:rsidRPr="00BC5DB6">
              <w:rPr>
                <w:color w:val="212121"/>
                <w:shd w:val="clear" w:color="auto" w:fill="FFFFFF"/>
                <w:vertAlign w:val="superscript"/>
              </w:rPr>
              <w:t>3</w:t>
            </w:r>
            <w:r w:rsidRPr="00BC5DB6">
              <w:rPr>
                <w:color w:val="212121"/>
                <w:shd w:val="clear" w:color="auto" w:fill="FFFFFF"/>
              </w:rPr>
              <w:t>The Task Force for the diagnosis and management of acute pulmonary embolism of the European Society of Cardiology (ESC). 2019 ESC Guidelines for the diagnosis and management of acute pulmonary embolism developed in collaboration with the European Respiratory Society (ERS): The Task Force for the diagnosis and management of acute pulmonary embolism of the European Society of Cardiology (ESC)</w:t>
            </w:r>
          </w:p>
        </w:tc>
      </w:tr>
      <w:tr w:rsidR="002248E0" w:rsidRPr="00BC5DB6" w14:paraId="2D4F661E" w14:textId="77777777" w:rsidTr="00B46C64">
        <w:tc>
          <w:tcPr>
            <w:tcW w:w="2826" w:type="dxa"/>
          </w:tcPr>
          <w:p w14:paraId="15BA648D" w14:textId="77777777" w:rsidR="002248E0" w:rsidRPr="00BC5DB6" w:rsidRDefault="002248E0" w:rsidP="00B46C64">
            <w:pPr>
              <w:autoSpaceDE w:val="0"/>
              <w:autoSpaceDN w:val="0"/>
              <w:adjustRightInd w:val="0"/>
              <w:rPr>
                <w:b/>
                <w:bCs/>
                <w:sz w:val="24"/>
                <w:u w:val="single"/>
              </w:rPr>
            </w:pPr>
            <w:r w:rsidRPr="00BC5DB6">
              <w:rPr>
                <w:shd w:val="clear" w:color="auto" w:fill="FFFFFF"/>
              </w:rPr>
              <w:t>pulmonary tuberculosis</w:t>
            </w:r>
          </w:p>
        </w:tc>
        <w:tc>
          <w:tcPr>
            <w:tcW w:w="2511" w:type="dxa"/>
          </w:tcPr>
          <w:p w14:paraId="2AB020AF" w14:textId="77777777" w:rsidR="002248E0" w:rsidRPr="003F486A" w:rsidRDefault="002248E0" w:rsidP="00B46C64">
            <w:pPr>
              <w:autoSpaceDE w:val="0"/>
              <w:autoSpaceDN w:val="0"/>
              <w:adjustRightInd w:val="0"/>
              <w:rPr>
                <w:szCs w:val="21"/>
              </w:rPr>
            </w:pPr>
            <w:r w:rsidRPr="003F486A">
              <w:rPr>
                <w:szCs w:val="21"/>
              </w:rPr>
              <w:t>TB</w:t>
            </w:r>
          </w:p>
        </w:tc>
        <w:tc>
          <w:tcPr>
            <w:tcW w:w="5006" w:type="dxa"/>
          </w:tcPr>
          <w:p w14:paraId="41E29A8A" w14:textId="77777777" w:rsidR="002248E0" w:rsidRPr="00BC5DB6" w:rsidRDefault="002248E0" w:rsidP="00B46C64">
            <w:pPr>
              <w:widowControl/>
              <w:shd w:val="clear" w:color="auto" w:fill="FFFFFF"/>
              <w:jc w:val="left"/>
              <w:textAlignment w:val="baseline"/>
              <w:rPr>
                <w:color w:val="212121"/>
                <w:shd w:val="clear" w:color="auto" w:fill="FFFFFF"/>
              </w:rPr>
            </w:pPr>
            <w:r w:rsidRPr="00BC5DB6">
              <w:rPr>
                <w:color w:val="212121"/>
                <w:shd w:val="clear" w:color="auto" w:fill="FFFFFF"/>
                <w:vertAlign w:val="superscript"/>
              </w:rPr>
              <w:t>4</w:t>
            </w:r>
            <w:r w:rsidRPr="00BC5DB6">
              <w:rPr>
                <w:color w:val="212121"/>
                <w:shd w:val="clear" w:color="auto" w:fill="FFFFFF"/>
              </w:rPr>
              <w:t>Management of Tuberculosis</w:t>
            </w:r>
            <w:r w:rsidRPr="00771E4B">
              <w:rPr>
                <w:rFonts w:hint="eastAsia"/>
                <w:color w:val="212121"/>
                <w:shd w:val="clear" w:color="auto" w:fill="FFFFFF"/>
              </w:rPr>
              <w:t>：</w:t>
            </w:r>
            <w:r w:rsidRPr="00BC5DB6">
              <w:rPr>
                <w:color w:val="212121"/>
                <w:shd w:val="clear" w:color="auto" w:fill="FFFFFF"/>
              </w:rPr>
              <w:t xml:space="preserve"> A Guide to Essential Practice</w:t>
            </w:r>
          </w:p>
        </w:tc>
      </w:tr>
      <w:tr w:rsidR="002248E0" w:rsidRPr="00BC5DB6" w14:paraId="4F6B2133" w14:textId="77777777" w:rsidTr="00B46C64">
        <w:tc>
          <w:tcPr>
            <w:tcW w:w="2826" w:type="dxa"/>
          </w:tcPr>
          <w:p w14:paraId="5A0D5966" w14:textId="77777777" w:rsidR="002248E0" w:rsidRPr="00BC5DB6" w:rsidRDefault="002248E0" w:rsidP="00B46C64">
            <w:pPr>
              <w:autoSpaceDE w:val="0"/>
              <w:autoSpaceDN w:val="0"/>
              <w:adjustRightInd w:val="0"/>
              <w:rPr>
                <w:b/>
                <w:bCs/>
                <w:sz w:val="24"/>
                <w:u w:val="single"/>
              </w:rPr>
            </w:pPr>
            <w:r w:rsidRPr="00BC5DB6">
              <w:rPr>
                <w:shd w:val="clear" w:color="auto" w:fill="FFFFFF"/>
              </w:rPr>
              <w:t>interstitial lung disease</w:t>
            </w:r>
          </w:p>
        </w:tc>
        <w:tc>
          <w:tcPr>
            <w:tcW w:w="2511" w:type="dxa"/>
          </w:tcPr>
          <w:p w14:paraId="4D2B895A" w14:textId="77777777" w:rsidR="002248E0" w:rsidRPr="003F486A" w:rsidRDefault="002248E0" w:rsidP="00B46C64">
            <w:pPr>
              <w:autoSpaceDE w:val="0"/>
              <w:autoSpaceDN w:val="0"/>
              <w:adjustRightInd w:val="0"/>
              <w:rPr>
                <w:szCs w:val="21"/>
                <w:shd w:val="clear" w:color="auto" w:fill="FFFFFF"/>
              </w:rPr>
            </w:pPr>
            <w:r w:rsidRPr="003F486A">
              <w:rPr>
                <w:szCs w:val="21"/>
                <w:shd w:val="clear" w:color="auto" w:fill="FFFFFF"/>
              </w:rPr>
              <w:t>ILD</w:t>
            </w:r>
          </w:p>
        </w:tc>
        <w:tc>
          <w:tcPr>
            <w:tcW w:w="5006" w:type="dxa"/>
          </w:tcPr>
          <w:p w14:paraId="1A411FBC" w14:textId="2FCB573D" w:rsidR="002248E0" w:rsidRPr="00BC5DB6" w:rsidRDefault="002248E0" w:rsidP="00B46C64">
            <w:pPr>
              <w:autoSpaceDE w:val="0"/>
              <w:autoSpaceDN w:val="0"/>
              <w:adjustRightInd w:val="0"/>
              <w:rPr>
                <w:sz w:val="24"/>
                <w:shd w:val="clear" w:color="auto" w:fill="FFFFFF"/>
              </w:rPr>
            </w:pPr>
            <w:r w:rsidRPr="00BC5DB6">
              <w:rPr>
                <w:color w:val="231F20"/>
                <w:shd w:val="clear" w:color="auto" w:fill="FFFFFF"/>
                <w:vertAlign w:val="superscript"/>
              </w:rPr>
              <w:t>5</w:t>
            </w:r>
            <w:r w:rsidRPr="00BC5DB6">
              <w:rPr>
                <w:color w:val="231F20"/>
                <w:shd w:val="clear" w:color="auto" w:fill="FFFFFF"/>
              </w:rPr>
              <w:t xml:space="preserve">Interstitial Lung </w:t>
            </w:r>
            <w:r w:rsidR="003F486A">
              <w:rPr>
                <w:color w:val="231F20"/>
                <w:shd w:val="clear" w:color="auto" w:fill="FFFFFF"/>
              </w:rPr>
              <w:t>D</w:t>
            </w:r>
            <w:r w:rsidRPr="00BC5DB6">
              <w:rPr>
                <w:color w:val="231F20"/>
                <w:shd w:val="clear" w:color="auto" w:fill="FFFFFF"/>
              </w:rPr>
              <w:t>isease, 5th ed</w:t>
            </w:r>
          </w:p>
        </w:tc>
      </w:tr>
      <w:tr w:rsidR="002248E0" w:rsidRPr="00BC5DB6" w14:paraId="5257B199" w14:textId="77777777" w:rsidTr="00B46C64">
        <w:tc>
          <w:tcPr>
            <w:tcW w:w="2826" w:type="dxa"/>
          </w:tcPr>
          <w:p w14:paraId="5BE57A51" w14:textId="77777777" w:rsidR="002248E0" w:rsidRPr="003F486A" w:rsidRDefault="002248E0" w:rsidP="00B46C64">
            <w:pPr>
              <w:autoSpaceDE w:val="0"/>
              <w:autoSpaceDN w:val="0"/>
              <w:adjustRightInd w:val="0"/>
              <w:rPr>
                <w:szCs w:val="21"/>
              </w:rPr>
            </w:pPr>
            <w:r w:rsidRPr="003F486A">
              <w:rPr>
                <w:szCs w:val="21"/>
              </w:rPr>
              <w:t>Asthma</w:t>
            </w:r>
          </w:p>
        </w:tc>
        <w:tc>
          <w:tcPr>
            <w:tcW w:w="2511" w:type="dxa"/>
          </w:tcPr>
          <w:p w14:paraId="0D9258A2" w14:textId="77777777" w:rsidR="002248E0" w:rsidRPr="003F486A" w:rsidRDefault="002248E0" w:rsidP="00B46C64">
            <w:pPr>
              <w:autoSpaceDE w:val="0"/>
              <w:autoSpaceDN w:val="0"/>
              <w:adjustRightInd w:val="0"/>
              <w:rPr>
                <w:szCs w:val="21"/>
              </w:rPr>
            </w:pPr>
            <w:r w:rsidRPr="003F486A">
              <w:rPr>
                <w:szCs w:val="21"/>
              </w:rPr>
              <w:t>Asthma</w:t>
            </w:r>
          </w:p>
        </w:tc>
        <w:tc>
          <w:tcPr>
            <w:tcW w:w="5006" w:type="dxa"/>
          </w:tcPr>
          <w:p w14:paraId="425F0536" w14:textId="77777777" w:rsidR="002248E0" w:rsidRPr="003F486A" w:rsidRDefault="002248E0" w:rsidP="00B46C64">
            <w:pPr>
              <w:autoSpaceDE w:val="0"/>
              <w:autoSpaceDN w:val="0"/>
              <w:adjustRightInd w:val="0"/>
              <w:rPr>
                <w:b/>
                <w:bCs/>
                <w:szCs w:val="21"/>
                <w:u w:val="single"/>
              </w:rPr>
            </w:pPr>
            <w:r w:rsidRPr="003F486A">
              <w:rPr>
                <w:color w:val="231F20"/>
                <w:szCs w:val="21"/>
                <w:shd w:val="clear" w:color="auto" w:fill="FFFFFF"/>
                <w:vertAlign w:val="superscript"/>
              </w:rPr>
              <w:t>6</w:t>
            </w:r>
            <w:r w:rsidRPr="003F486A">
              <w:rPr>
                <w:color w:val="231F20"/>
                <w:szCs w:val="21"/>
                <w:shd w:val="clear" w:color="auto" w:fill="FFFFFF"/>
              </w:rPr>
              <w:t>Global Initiative for Asthma (GINA). Global Strategy for Asthma Management and Prevention. www.ginasthma.org (Accessed on August 24, 2021).</w:t>
            </w:r>
          </w:p>
        </w:tc>
      </w:tr>
    </w:tbl>
    <w:p w14:paraId="09451147" w14:textId="77777777" w:rsidR="002248E0" w:rsidRPr="00BC5DB6" w:rsidRDefault="002248E0" w:rsidP="002248E0">
      <w:pPr>
        <w:autoSpaceDE w:val="0"/>
        <w:autoSpaceDN w:val="0"/>
        <w:adjustRightInd w:val="0"/>
        <w:rPr>
          <w:color w:val="212121"/>
          <w:shd w:val="clear" w:color="auto" w:fill="FFFFFF"/>
        </w:rPr>
      </w:pPr>
      <w:r w:rsidRPr="00BC5DB6">
        <w:rPr>
          <w:sz w:val="18"/>
        </w:rPr>
        <w:t>[1]</w:t>
      </w:r>
      <w:r w:rsidRPr="00BC5DB6">
        <w:rPr>
          <w:color w:val="212121"/>
          <w:shd w:val="clear" w:color="auto" w:fill="FFFFFF"/>
        </w:rPr>
        <w:t>. Global Initiative for Chronic Obstructive Lung Disease (GOLD). Global Strategy for the Diagnosis, Management and Prevention of Chronic Obstructive Pulmonary Disease: http://www.goldcopd.org (Accessed on February 28, 2022).</w:t>
      </w:r>
    </w:p>
    <w:p w14:paraId="39B48A57" w14:textId="77777777" w:rsidR="002248E0" w:rsidRPr="00BC5DB6" w:rsidRDefault="002248E0" w:rsidP="002248E0">
      <w:pPr>
        <w:autoSpaceDE w:val="0"/>
        <w:autoSpaceDN w:val="0"/>
        <w:adjustRightInd w:val="0"/>
        <w:rPr>
          <w:color w:val="212121"/>
          <w:shd w:val="clear" w:color="auto" w:fill="FFFFFF"/>
        </w:rPr>
      </w:pPr>
      <w:r w:rsidRPr="00BC5DB6">
        <w:rPr>
          <w:sz w:val="18"/>
        </w:rPr>
        <w:t>[2]</w:t>
      </w:r>
      <w:r w:rsidRPr="00BC5DB6">
        <w:rPr>
          <w:color w:val="212121"/>
          <w:shd w:val="clear" w:color="auto" w:fill="FFFFFF"/>
        </w:rPr>
        <w:t xml:space="preserve">. </w:t>
      </w:r>
      <w:proofErr w:type="spellStart"/>
      <w:r w:rsidRPr="00BC5DB6">
        <w:rPr>
          <w:color w:val="212121"/>
          <w:shd w:val="clear" w:color="auto" w:fill="FFFFFF"/>
        </w:rPr>
        <w:t>Metlay</w:t>
      </w:r>
      <w:proofErr w:type="spellEnd"/>
      <w:r w:rsidRPr="00BC5DB6">
        <w:rPr>
          <w:color w:val="212121"/>
          <w:shd w:val="clear" w:color="auto" w:fill="FFFFFF"/>
        </w:rPr>
        <w:t xml:space="preserve"> JP, Waterer GW, Long AC, </w:t>
      </w:r>
      <w:proofErr w:type="spellStart"/>
      <w:r w:rsidRPr="00BC5DB6">
        <w:rPr>
          <w:color w:val="212121"/>
          <w:shd w:val="clear" w:color="auto" w:fill="FFFFFF"/>
        </w:rPr>
        <w:t>Anzueto</w:t>
      </w:r>
      <w:proofErr w:type="spellEnd"/>
      <w:r w:rsidRPr="00BC5DB6">
        <w:rPr>
          <w:color w:val="212121"/>
          <w:shd w:val="clear" w:color="auto" w:fill="FFFFFF"/>
        </w:rPr>
        <w:t xml:space="preserve"> A, </w:t>
      </w:r>
      <w:proofErr w:type="spellStart"/>
      <w:r w:rsidRPr="00BC5DB6">
        <w:rPr>
          <w:color w:val="212121"/>
          <w:shd w:val="clear" w:color="auto" w:fill="FFFFFF"/>
        </w:rPr>
        <w:t>Brozek</w:t>
      </w:r>
      <w:proofErr w:type="spellEnd"/>
      <w:r w:rsidRPr="00BC5DB6">
        <w:rPr>
          <w:color w:val="212121"/>
          <w:shd w:val="clear" w:color="auto" w:fill="FFFFFF"/>
        </w:rPr>
        <w:t xml:space="preserve"> J, Crothers K, Cooley LA, Dean NC, Fine MJ, Flanders SA, Griffin MR, </w:t>
      </w:r>
      <w:proofErr w:type="spellStart"/>
      <w:r w:rsidRPr="00BC5DB6">
        <w:rPr>
          <w:color w:val="212121"/>
          <w:shd w:val="clear" w:color="auto" w:fill="FFFFFF"/>
        </w:rPr>
        <w:t>Metersky</w:t>
      </w:r>
      <w:proofErr w:type="spellEnd"/>
      <w:r w:rsidRPr="00BC5DB6">
        <w:rPr>
          <w:color w:val="212121"/>
          <w:shd w:val="clear" w:color="auto" w:fill="FFFFFF"/>
        </w:rPr>
        <w:t xml:space="preserve"> ML, Musher DM, Restrepo MI, Whitney CG. Diagnosis and Treatment of Adults with Community-acquired Pneumonia. An Official Clinical Practice Guideline of the American Thoracic Society and Infectious Diseases Society of America. Am J Respir Crit Care Med. 2019 Oct 1;200(7): e45-e67. </w:t>
      </w:r>
      <w:proofErr w:type="spellStart"/>
      <w:r w:rsidRPr="00BC5DB6">
        <w:rPr>
          <w:color w:val="212121"/>
          <w:shd w:val="clear" w:color="auto" w:fill="FFFFFF"/>
        </w:rPr>
        <w:t>doi</w:t>
      </w:r>
      <w:proofErr w:type="spellEnd"/>
      <w:r w:rsidRPr="00BC5DB6">
        <w:rPr>
          <w:color w:val="212121"/>
          <w:shd w:val="clear" w:color="auto" w:fill="FFFFFF"/>
        </w:rPr>
        <w:t>: 10.1164/rccm.201908-1581ST. PMID: 31573350; PMCID: PMC6812437.</w:t>
      </w:r>
    </w:p>
    <w:p w14:paraId="5E2BF243" w14:textId="77777777" w:rsidR="002248E0" w:rsidRPr="00BC5DB6" w:rsidRDefault="002248E0" w:rsidP="002248E0">
      <w:pPr>
        <w:autoSpaceDE w:val="0"/>
        <w:autoSpaceDN w:val="0"/>
        <w:adjustRightInd w:val="0"/>
        <w:rPr>
          <w:rFonts w:hint="eastAsia"/>
          <w:color w:val="212121"/>
          <w:shd w:val="clear" w:color="auto" w:fill="FFFFFF"/>
        </w:rPr>
      </w:pPr>
      <w:r w:rsidRPr="00BC5DB6">
        <w:rPr>
          <w:sz w:val="18"/>
        </w:rPr>
        <w:t>[3]</w:t>
      </w:r>
      <w:r w:rsidRPr="00BC5DB6">
        <w:rPr>
          <w:color w:val="212121"/>
          <w:shd w:val="clear" w:color="auto" w:fill="FFFFFF"/>
        </w:rPr>
        <w:t xml:space="preserve">. </w:t>
      </w:r>
      <w:proofErr w:type="spellStart"/>
      <w:r w:rsidRPr="00BC5DB6">
        <w:rPr>
          <w:color w:val="212121"/>
          <w:shd w:val="clear" w:color="auto" w:fill="FFFFFF"/>
        </w:rPr>
        <w:t>Konstantinides</w:t>
      </w:r>
      <w:proofErr w:type="spellEnd"/>
      <w:r w:rsidRPr="00BC5DB6">
        <w:rPr>
          <w:color w:val="212121"/>
          <w:shd w:val="clear" w:color="auto" w:fill="FFFFFF"/>
        </w:rPr>
        <w:t xml:space="preserve"> SV, Meyer G, </w:t>
      </w:r>
      <w:proofErr w:type="spellStart"/>
      <w:r w:rsidRPr="00BC5DB6">
        <w:rPr>
          <w:color w:val="212121"/>
          <w:shd w:val="clear" w:color="auto" w:fill="FFFFFF"/>
        </w:rPr>
        <w:t>Becattini</w:t>
      </w:r>
      <w:proofErr w:type="spellEnd"/>
      <w:r w:rsidRPr="00BC5DB6">
        <w:rPr>
          <w:color w:val="212121"/>
          <w:shd w:val="clear" w:color="auto" w:fill="FFFFFF"/>
        </w:rPr>
        <w:t xml:space="preserve"> C, Bueno H, </w:t>
      </w:r>
      <w:proofErr w:type="spellStart"/>
      <w:r w:rsidRPr="00BC5DB6">
        <w:rPr>
          <w:color w:val="212121"/>
          <w:shd w:val="clear" w:color="auto" w:fill="FFFFFF"/>
        </w:rPr>
        <w:t>Geersing</w:t>
      </w:r>
      <w:proofErr w:type="spellEnd"/>
      <w:r w:rsidRPr="00BC5DB6">
        <w:rPr>
          <w:color w:val="212121"/>
          <w:shd w:val="clear" w:color="auto" w:fill="FFFFFF"/>
        </w:rPr>
        <w:t xml:space="preserve"> GJ, </w:t>
      </w:r>
      <w:proofErr w:type="spellStart"/>
      <w:r w:rsidRPr="00BC5DB6">
        <w:rPr>
          <w:color w:val="212121"/>
          <w:shd w:val="clear" w:color="auto" w:fill="FFFFFF"/>
        </w:rPr>
        <w:t>Harjola</w:t>
      </w:r>
      <w:proofErr w:type="spellEnd"/>
      <w:r w:rsidRPr="00BC5DB6">
        <w:rPr>
          <w:color w:val="212121"/>
          <w:shd w:val="clear" w:color="auto" w:fill="FFFFFF"/>
        </w:rPr>
        <w:t xml:space="preserve"> VP, Huisman MV, Humbert M, Jennings CS, Jiménez D, </w:t>
      </w:r>
      <w:proofErr w:type="spellStart"/>
      <w:r w:rsidRPr="00BC5DB6">
        <w:rPr>
          <w:color w:val="212121"/>
          <w:shd w:val="clear" w:color="auto" w:fill="FFFFFF"/>
        </w:rPr>
        <w:t>Kucher</w:t>
      </w:r>
      <w:proofErr w:type="spellEnd"/>
      <w:r w:rsidRPr="00BC5DB6">
        <w:rPr>
          <w:color w:val="212121"/>
          <w:shd w:val="clear" w:color="auto" w:fill="FFFFFF"/>
        </w:rPr>
        <w:t xml:space="preserve"> N, Lang IM, </w:t>
      </w:r>
      <w:proofErr w:type="spellStart"/>
      <w:r w:rsidRPr="00BC5DB6">
        <w:rPr>
          <w:color w:val="212121"/>
          <w:shd w:val="clear" w:color="auto" w:fill="FFFFFF"/>
        </w:rPr>
        <w:t>Lankeit</w:t>
      </w:r>
      <w:proofErr w:type="spellEnd"/>
      <w:r w:rsidRPr="00BC5DB6">
        <w:rPr>
          <w:color w:val="212121"/>
          <w:shd w:val="clear" w:color="auto" w:fill="FFFFFF"/>
        </w:rPr>
        <w:t xml:space="preserve"> M, </w:t>
      </w:r>
      <w:proofErr w:type="spellStart"/>
      <w:r w:rsidRPr="00BC5DB6">
        <w:rPr>
          <w:color w:val="212121"/>
          <w:shd w:val="clear" w:color="auto" w:fill="FFFFFF"/>
        </w:rPr>
        <w:t>Lorusso</w:t>
      </w:r>
      <w:proofErr w:type="spellEnd"/>
      <w:r w:rsidRPr="00BC5DB6">
        <w:rPr>
          <w:color w:val="212121"/>
          <w:shd w:val="clear" w:color="auto" w:fill="FFFFFF"/>
        </w:rPr>
        <w:t xml:space="preserve"> R, </w:t>
      </w:r>
      <w:proofErr w:type="spellStart"/>
      <w:r w:rsidRPr="00BC5DB6">
        <w:rPr>
          <w:color w:val="212121"/>
          <w:shd w:val="clear" w:color="auto" w:fill="FFFFFF"/>
        </w:rPr>
        <w:t>Mazzolai</w:t>
      </w:r>
      <w:proofErr w:type="spellEnd"/>
      <w:r w:rsidRPr="00BC5DB6">
        <w:rPr>
          <w:color w:val="212121"/>
          <w:shd w:val="clear" w:color="auto" w:fill="FFFFFF"/>
        </w:rPr>
        <w:t xml:space="preserve"> L, </w:t>
      </w:r>
      <w:proofErr w:type="spellStart"/>
      <w:r w:rsidRPr="00BC5DB6">
        <w:rPr>
          <w:color w:val="212121"/>
          <w:shd w:val="clear" w:color="auto" w:fill="FFFFFF"/>
        </w:rPr>
        <w:t>Meneveau</w:t>
      </w:r>
      <w:proofErr w:type="spellEnd"/>
      <w:r w:rsidRPr="00BC5DB6">
        <w:rPr>
          <w:color w:val="212121"/>
          <w:shd w:val="clear" w:color="auto" w:fill="FFFFFF"/>
        </w:rPr>
        <w:t xml:space="preserve"> N, </w:t>
      </w:r>
      <w:proofErr w:type="spellStart"/>
      <w:r w:rsidRPr="00BC5DB6">
        <w:rPr>
          <w:color w:val="212121"/>
          <w:shd w:val="clear" w:color="auto" w:fill="FFFFFF"/>
        </w:rPr>
        <w:t>Áinle</w:t>
      </w:r>
      <w:proofErr w:type="spellEnd"/>
      <w:r w:rsidRPr="00BC5DB6">
        <w:rPr>
          <w:color w:val="212121"/>
          <w:shd w:val="clear" w:color="auto" w:fill="FFFFFF"/>
        </w:rPr>
        <w:t xml:space="preserve"> FN, </w:t>
      </w:r>
      <w:proofErr w:type="spellStart"/>
      <w:r w:rsidRPr="00BC5DB6">
        <w:rPr>
          <w:color w:val="212121"/>
          <w:shd w:val="clear" w:color="auto" w:fill="FFFFFF"/>
        </w:rPr>
        <w:t>Prandoni</w:t>
      </w:r>
      <w:proofErr w:type="spellEnd"/>
      <w:r w:rsidRPr="00BC5DB6">
        <w:rPr>
          <w:color w:val="212121"/>
          <w:shd w:val="clear" w:color="auto" w:fill="FFFFFF"/>
        </w:rPr>
        <w:t xml:space="preserve"> P, </w:t>
      </w:r>
      <w:proofErr w:type="spellStart"/>
      <w:r w:rsidRPr="00BC5DB6">
        <w:rPr>
          <w:color w:val="212121"/>
          <w:shd w:val="clear" w:color="auto" w:fill="FFFFFF"/>
        </w:rPr>
        <w:t>Pruszczyk</w:t>
      </w:r>
      <w:proofErr w:type="spellEnd"/>
      <w:r w:rsidRPr="00BC5DB6">
        <w:rPr>
          <w:color w:val="212121"/>
          <w:shd w:val="clear" w:color="auto" w:fill="FFFFFF"/>
        </w:rPr>
        <w:t xml:space="preserve"> P, </w:t>
      </w:r>
      <w:proofErr w:type="spellStart"/>
      <w:r w:rsidRPr="00BC5DB6">
        <w:rPr>
          <w:color w:val="212121"/>
          <w:shd w:val="clear" w:color="auto" w:fill="FFFFFF"/>
        </w:rPr>
        <w:t>Righini</w:t>
      </w:r>
      <w:proofErr w:type="spellEnd"/>
      <w:r w:rsidRPr="00BC5DB6">
        <w:rPr>
          <w:color w:val="212121"/>
          <w:shd w:val="clear" w:color="auto" w:fill="FFFFFF"/>
        </w:rPr>
        <w:t xml:space="preserve"> M, </w:t>
      </w:r>
      <w:proofErr w:type="spellStart"/>
      <w:r w:rsidRPr="00BC5DB6">
        <w:rPr>
          <w:color w:val="212121"/>
          <w:shd w:val="clear" w:color="auto" w:fill="FFFFFF"/>
        </w:rPr>
        <w:t>Torbicki</w:t>
      </w:r>
      <w:proofErr w:type="spellEnd"/>
      <w:r w:rsidRPr="00BC5DB6">
        <w:rPr>
          <w:color w:val="212121"/>
          <w:shd w:val="clear" w:color="auto" w:fill="FFFFFF"/>
        </w:rPr>
        <w:t xml:space="preserve"> A, Van Belle E, Zamorano JL; The Task Force for the diagnosis and management of acute pulmonary embolism of the </w:t>
      </w:r>
      <w:r w:rsidRPr="00BC5DB6">
        <w:rPr>
          <w:color w:val="212121"/>
          <w:shd w:val="clear" w:color="auto" w:fill="FFFFFF"/>
        </w:rPr>
        <w:lastRenderedPageBreak/>
        <w:t xml:space="preserve">European Society of Cardiology (ESC). 2019 ESC Guidelines for the diagnosis and management of acute pulmonary embolism developed in collaboration with the European Respiratory Society (ERS): The Task Force for the diagnosis and management of acute pulmonary embolism of the European Society of Cardiology (ESC). </w:t>
      </w:r>
      <w:proofErr w:type="spellStart"/>
      <w:r w:rsidRPr="00BC5DB6">
        <w:rPr>
          <w:color w:val="212121"/>
          <w:shd w:val="clear" w:color="auto" w:fill="FFFFFF"/>
        </w:rPr>
        <w:t>Eur</w:t>
      </w:r>
      <w:proofErr w:type="spellEnd"/>
      <w:r w:rsidRPr="00BC5DB6">
        <w:rPr>
          <w:color w:val="212121"/>
          <w:shd w:val="clear" w:color="auto" w:fill="FFFFFF"/>
        </w:rPr>
        <w:t xml:space="preserve"> Respir J. 2019 Oct 9;54(3):1901647. </w:t>
      </w:r>
      <w:proofErr w:type="spellStart"/>
      <w:r w:rsidRPr="00BC5DB6">
        <w:rPr>
          <w:color w:val="212121"/>
          <w:shd w:val="clear" w:color="auto" w:fill="FFFFFF"/>
        </w:rPr>
        <w:t>doi</w:t>
      </w:r>
      <w:proofErr w:type="spellEnd"/>
      <w:r w:rsidRPr="00BC5DB6">
        <w:rPr>
          <w:color w:val="212121"/>
          <w:shd w:val="clear" w:color="auto" w:fill="FFFFFF"/>
        </w:rPr>
        <w:t>: 10.1183/13993003.01647-2019. PMID: 31473594.</w:t>
      </w:r>
    </w:p>
    <w:p w14:paraId="56F9D931" w14:textId="26DE90AF" w:rsidR="002248E0" w:rsidRPr="00BC5DB6" w:rsidRDefault="002248E0" w:rsidP="002248E0">
      <w:pPr>
        <w:autoSpaceDE w:val="0"/>
        <w:autoSpaceDN w:val="0"/>
        <w:adjustRightInd w:val="0"/>
        <w:rPr>
          <w:rFonts w:hint="eastAsia"/>
          <w:color w:val="212121"/>
          <w:shd w:val="clear" w:color="auto" w:fill="FFFFFF"/>
        </w:rPr>
      </w:pPr>
      <w:r w:rsidRPr="00BC5DB6">
        <w:rPr>
          <w:sz w:val="18"/>
        </w:rPr>
        <w:t>[4]</w:t>
      </w:r>
      <w:r w:rsidRPr="00BC5DB6">
        <w:rPr>
          <w:color w:val="212121"/>
          <w:shd w:val="clear" w:color="auto" w:fill="FFFFFF"/>
        </w:rPr>
        <w:t>. Management of Tuberculosis</w:t>
      </w:r>
      <w:r w:rsidRPr="00771E4B">
        <w:rPr>
          <w:rFonts w:hint="eastAsia"/>
          <w:color w:val="212121"/>
          <w:shd w:val="clear" w:color="auto" w:fill="FFFFFF"/>
        </w:rPr>
        <w:t>：</w:t>
      </w:r>
      <w:r w:rsidRPr="00BC5DB6">
        <w:rPr>
          <w:color w:val="212121"/>
          <w:shd w:val="clear" w:color="auto" w:fill="FFFFFF"/>
        </w:rPr>
        <w:t xml:space="preserve">A Guide to Essential Practice 2019 </w:t>
      </w:r>
      <w:hyperlink r:id="rId4" w:history="1">
        <w:r w:rsidRPr="00BC5DB6">
          <w:rPr>
            <w:color w:val="212121"/>
          </w:rPr>
          <w:t>https://theunion.org/technical-publications/management-of-tuberculosis-a-guide-to-essential-practice</w:t>
        </w:r>
      </w:hyperlink>
    </w:p>
    <w:p w14:paraId="4A0E195F" w14:textId="77777777" w:rsidR="002248E0" w:rsidRPr="006125E0" w:rsidRDefault="002248E0" w:rsidP="002248E0">
      <w:pPr>
        <w:autoSpaceDE w:val="0"/>
        <w:autoSpaceDN w:val="0"/>
        <w:adjustRightInd w:val="0"/>
        <w:rPr>
          <w:rFonts w:hint="eastAsia"/>
          <w:color w:val="212121"/>
          <w:shd w:val="clear" w:color="auto" w:fill="FFFFFF"/>
        </w:rPr>
      </w:pPr>
      <w:r w:rsidRPr="00B7648E">
        <w:rPr>
          <w:sz w:val="18"/>
          <w:lang w:val="de-DE"/>
        </w:rPr>
        <w:t>[5]</w:t>
      </w:r>
      <w:r w:rsidRPr="00B7648E">
        <w:rPr>
          <w:color w:val="212121"/>
          <w:shd w:val="clear" w:color="auto" w:fill="FFFFFF"/>
          <w:lang w:val="de-DE"/>
        </w:rPr>
        <w:t xml:space="preserve">. Schwartz M, King Jr TE. </w:t>
      </w:r>
      <w:r w:rsidRPr="00BC5DB6">
        <w:rPr>
          <w:color w:val="212121"/>
          <w:shd w:val="clear" w:color="auto" w:fill="FFFFFF"/>
        </w:rPr>
        <w:t>Interstitial Lung disease, 5th ed, People's Medical Clearing House, Shelton, CT 2011</w:t>
      </w:r>
    </w:p>
    <w:p w14:paraId="2341257D" w14:textId="198236A4" w:rsidR="002248E0" w:rsidRDefault="002248E0" w:rsidP="002248E0">
      <w:r w:rsidRPr="00BC5DB6">
        <w:rPr>
          <w:sz w:val="18"/>
        </w:rPr>
        <w:t>[6]</w:t>
      </w:r>
      <w:r w:rsidRPr="00BC5DB6">
        <w:rPr>
          <w:color w:val="212121"/>
          <w:shd w:val="clear" w:color="auto" w:fill="FFFFFF"/>
        </w:rPr>
        <w:t>. Global Initiative for Asthma (GINA). Global Strategy for Asthma Management and Prevention. www.ginasthma.org (Accessed on August 24,</w:t>
      </w:r>
      <w:r>
        <w:rPr>
          <w:color w:val="212121"/>
          <w:shd w:val="clear" w:color="auto" w:fill="FFFFFF"/>
        </w:rPr>
        <w:t>2021</w:t>
      </w:r>
    </w:p>
    <w:sectPr w:rsidR="00224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E0"/>
    <w:rsid w:val="002248E0"/>
    <w:rsid w:val="003F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4812"/>
  <w15:chartTrackingRefBased/>
  <w15:docId w15:val="{8D1E2BAC-DA82-464B-9CC3-A1BAD85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8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2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union.org/technical-publications/management-of-tuberculosis-a-guide-to-essential-practi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秋钰</dc:creator>
  <cp:keywords/>
  <dc:description/>
  <cp:lastModifiedBy>李 秋钰</cp:lastModifiedBy>
  <cp:revision>2</cp:revision>
  <dcterms:created xsi:type="dcterms:W3CDTF">2022-04-28T02:29:00Z</dcterms:created>
  <dcterms:modified xsi:type="dcterms:W3CDTF">2022-04-28T02:33:00Z</dcterms:modified>
</cp:coreProperties>
</file>