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C4" w:rsidRDefault="00906C96" w:rsidP="008043C4">
      <w:r>
        <w:rPr>
          <w:b/>
        </w:rPr>
        <w:t>Supplementary Table S1:</w:t>
      </w:r>
      <w:r>
        <w:t xml:space="preserve"> </w:t>
      </w:r>
      <w:r w:rsidR="008043C4">
        <w:t>The effects of intermittent hypoxia-</w:t>
      </w:r>
      <w:proofErr w:type="spellStart"/>
      <w:r w:rsidR="008043C4">
        <w:t>normoxia</w:t>
      </w:r>
      <w:proofErr w:type="spellEnd"/>
      <w:r w:rsidR="008043C4">
        <w:t xml:space="preserve"> training (IHNT) o</w:t>
      </w:r>
      <w:r w:rsidR="008043C4" w:rsidRPr="008A56CB">
        <w:t>n aging markers and</w:t>
      </w:r>
      <w:r w:rsidR="008043C4">
        <w:t xml:space="preserve"> age related diseases</w:t>
      </w:r>
    </w:p>
    <w:tbl>
      <w:tblPr>
        <w:tblpPr w:leftFromText="142" w:rightFromText="142" w:vertAnchor="text" w:tblpXSpec="center" w:tblpY="1"/>
        <w:tblOverlap w:val="never"/>
        <w:tblW w:w="15020" w:type="dxa"/>
        <w:tblLayout w:type="fixed"/>
        <w:tblLook w:val="04A0" w:firstRow="1" w:lastRow="0" w:firstColumn="1" w:lastColumn="0" w:noHBand="0" w:noVBand="1"/>
      </w:tblPr>
      <w:tblGrid>
        <w:gridCol w:w="846"/>
        <w:gridCol w:w="709"/>
        <w:gridCol w:w="682"/>
        <w:gridCol w:w="622"/>
        <w:gridCol w:w="622"/>
        <w:gridCol w:w="536"/>
        <w:gridCol w:w="1222"/>
        <w:gridCol w:w="663"/>
        <w:gridCol w:w="626"/>
        <w:gridCol w:w="1179"/>
        <w:gridCol w:w="708"/>
        <w:gridCol w:w="536"/>
        <w:gridCol w:w="622"/>
        <w:gridCol w:w="794"/>
        <w:gridCol w:w="1019"/>
        <w:gridCol w:w="1774"/>
        <w:gridCol w:w="1133"/>
        <w:gridCol w:w="727"/>
      </w:tblGrid>
      <w:tr w:rsidR="00F71A16" w:rsidRPr="00A67120" w:rsidTr="009645A2">
        <w:trPr>
          <w:trHeight w:val="624"/>
        </w:trPr>
        <w:tc>
          <w:tcPr>
            <w:tcW w:w="8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Author,</w:t>
            </w:r>
          </w:p>
          <w:p w:rsidR="00F71A16" w:rsidRPr="00A67120" w:rsidRDefault="00F71A16" w:rsidP="00F71A16">
            <w:pPr>
              <w:spacing w:before="0" w:after="0"/>
              <w:rPr>
                <w:rFonts w:eastAsia="Times New Roman" w:cs="Times New Roman"/>
                <w:b/>
                <w:color w:val="000000"/>
                <w:sz w:val="16"/>
                <w:szCs w:val="16"/>
              </w:rPr>
            </w:pPr>
            <w:r w:rsidRPr="00A67120">
              <w:rPr>
                <w:rFonts w:eastAsia="Times New Roman" w:cs="Times New Roman"/>
                <w:b/>
                <w:color w:val="000000"/>
                <w:sz w:val="16"/>
                <w:szCs w:val="16"/>
              </w:rPr>
              <w:t>Year</w:t>
            </w:r>
          </w:p>
          <w:p w:rsidR="00F71A16" w:rsidRPr="00A67120" w:rsidRDefault="00F71A16" w:rsidP="00F71A16">
            <w:pPr>
              <w:spacing w:before="0" w:after="0"/>
              <w:rPr>
                <w:rFonts w:eastAsia="Times New Roman" w:cs="Times New Roman"/>
                <w:b/>
                <w:color w:val="000000"/>
                <w:sz w:val="16"/>
                <w:szCs w:val="16"/>
              </w:rPr>
            </w:pPr>
            <w:r w:rsidRPr="00A67120">
              <w:rPr>
                <w:rFonts w:eastAsia="Times New Roman" w:cs="Times New Roman"/>
                <w:b/>
                <w:color w:val="000000"/>
                <w:sz w:val="16"/>
                <w:szCs w:val="16"/>
              </w:rPr>
              <w:t>(Ref.)</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Country</w:t>
            </w:r>
          </w:p>
        </w:tc>
        <w:tc>
          <w:tcPr>
            <w:tcW w:w="682"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 xml:space="preserve">Condition </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Age in years</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No of cases</w:t>
            </w:r>
          </w:p>
        </w:tc>
        <w:tc>
          <w:tcPr>
            <w:tcW w:w="536"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No of controls</w:t>
            </w:r>
          </w:p>
        </w:tc>
        <w:tc>
          <w:tcPr>
            <w:tcW w:w="1222"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Aim of the study</w:t>
            </w:r>
          </w:p>
        </w:tc>
        <w:tc>
          <w:tcPr>
            <w:tcW w:w="663"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Study design</w:t>
            </w:r>
          </w:p>
        </w:tc>
        <w:tc>
          <w:tcPr>
            <w:tcW w:w="626"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Type of hypoxia</w:t>
            </w:r>
          </w:p>
        </w:tc>
        <w:tc>
          <w:tcPr>
            <w:tcW w:w="1179"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Hypoxia protocol</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Protocol for controls</w:t>
            </w:r>
          </w:p>
        </w:tc>
        <w:tc>
          <w:tcPr>
            <w:tcW w:w="536"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 xml:space="preserve">Organ /tissue/cells </w:t>
            </w:r>
          </w:p>
        </w:tc>
        <w:tc>
          <w:tcPr>
            <w:tcW w:w="622"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 xml:space="preserve">Sample </w:t>
            </w:r>
          </w:p>
        </w:tc>
        <w:tc>
          <w:tcPr>
            <w:tcW w:w="794"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Aging  markers</w:t>
            </w:r>
          </w:p>
        </w:tc>
        <w:tc>
          <w:tcPr>
            <w:tcW w:w="1019"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Method for measurement</w:t>
            </w:r>
          </w:p>
        </w:tc>
        <w:tc>
          <w:tcPr>
            <w:tcW w:w="1774"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Results</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Conclusions</w:t>
            </w:r>
          </w:p>
        </w:tc>
        <w:tc>
          <w:tcPr>
            <w:tcW w:w="727" w:type="dxa"/>
            <w:tcBorders>
              <w:top w:val="single" w:sz="4" w:space="0" w:color="auto"/>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jc w:val="center"/>
              <w:rPr>
                <w:rFonts w:eastAsia="Times New Roman" w:cs="Times New Roman"/>
                <w:b/>
                <w:color w:val="000000"/>
                <w:sz w:val="16"/>
                <w:szCs w:val="16"/>
              </w:rPr>
            </w:pPr>
            <w:r w:rsidRPr="00A67120">
              <w:rPr>
                <w:rFonts w:eastAsia="Times New Roman" w:cs="Times New Roman"/>
                <w:b/>
                <w:color w:val="000000"/>
                <w:sz w:val="16"/>
                <w:szCs w:val="16"/>
              </w:rPr>
              <w:t>Safety issues</w:t>
            </w:r>
          </w:p>
        </w:tc>
      </w:tr>
      <w:tr w:rsidR="00F71A16" w:rsidRPr="00A67120" w:rsidTr="009645A2">
        <w:trPr>
          <w:trHeight w:val="708"/>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Bao</w:t>
            </w:r>
            <w:proofErr w:type="spellEnd"/>
            <w:r w:rsidRPr="00A67120">
              <w:rPr>
                <w:rFonts w:eastAsia="Times New Roman" w:cs="Times New Roman"/>
                <w:color w:val="000000"/>
                <w:sz w:val="16"/>
                <w:szCs w:val="16"/>
              </w:rPr>
              <w:t xml:space="preserve"> et al., 2018</w:t>
            </w:r>
          </w:p>
        </w:tc>
        <w:tc>
          <w:tcPr>
            <w:tcW w:w="709" w:type="dxa"/>
            <w:tcBorders>
              <w:top w:val="nil"/>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China</w:t>
            </w:r>
          </w:p>
        </w:tc>
        <w:tc>
          <w:tcPr>
            <w:tcW w:w="68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Dizziness</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35-62 </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26</w:t>
            </w:r>
          </w:p>
        </w:tc>
        <w:tc>
          <w:tcPr>
            <w:tcW w:w="536" w:type="dxa"/>
            <w:tcBorders>
              <w:top w:val="nil"/>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26</w:t>
            </w:r>
          </w:p>
        </w:tc>
        <w:tc>
          <w:tcPr>
            <w:tcW w:w="12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 study the effect of IHNT for treating dizziness.</w:t>
            </w:r>
          </w:p>
        </w:tc>
        <w:tc>
          <w:tcPr>
            <w:tcW w:w="66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tc>
        <w:tc>
          <w:tcPr>
            <w:tcW w:w="62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tc>
        <w:tc>
          <w:tcPr>
            <w:tcW w:w="1179" w:type="dxa"/>
            <w:tcBorders>
              <w:top w:val="nil"/>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r w:rsidRPr="00A67120">
              <w:rPr>
                <w:rFonts w:eastAsia="Times New Roman" w:cs="Times New Roman"/>
                <w:color w:val="000000"/>
                <w:sz w:val="16"/>
                <w:szCs w:val="16"/>
              </w:rPr>
              <w:t>10% O2 for 50 min , 5 times per week for 4 weeks .Each session has 5 cycles of 10% O2 for 5 min followed by room air for 5 min.</w:t>
            </w:r>
          </w:p>
        </w:tc>
        <w:tc>
          <w:tcPr>
            <w:tcW w:w="708"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No intervention</w:t>
            </w:r>
          </w:p>
        </w:tc>
        <w:tc>
          <w:tcPr>
            <w:tcW w:w="53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Dizziness</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DHI, ABC, and VVAS</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There were significant differences between IHNT group and control group in DHI, ABC, VVAS scores and attack frequencies of dizziness in the end of 4th week.</w:t>
            </w:r>
          </w:p>
        </w:tc>
        <w:tc>
          <w:tcPr>
            <w:tcW w:w="113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 could improve dizziness after intervention in the end of 4th week. IHNT could be the effective method for releasing dizziness.</w:t>
            </w:r>
          </w:p>
        </w:tc>
        <w:tc>
          <w:tcPr>
            <w:tcW w:w="727" w:type="dxa"/>
            <w:tcBorders>
              <w:top w:val="nil"/>
              <w:left w:val="nil"/>
              <w:bottom w:val="single" w:sz="4" w:space="0" w:color="auto"/>
              <w:right w:val="single" w:sz="4" w:space="0" w:color="auto"/>
            </w:tcBorders>
            <w:shd w:val="clear" w:color="auto" w:fill="auto"/>
            <w:vAlign w:val="center"/>
            <w:hideMark/>
          </w:tcPr>
          <w:p w:rsidR="00F71A16" w:rsidRPr="00A67120" w:rsidRDefault="00C81A1A"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Safe</w:t>
            </w:r>
          </w:p>
        </w:tc>
      </w:tr>
      <w:tr w:rsidR="00F71A16" w:rsidRPr="00A67120" w:rsidTr="009645A2">
        <w:trPr>
          <w:trHeight w:val="725"/>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Costalat</w:t>
            </w:r>
            <w:proofErr w:type="spellEnd"/>
            <w:r w:rsidRPr="00A67120">
              <w:rPr>
                <w:rFonts w:eastAsia="Times New Roman" w:cs="Times New Roman"/>
                <w:color w:val="000000"/>
                <w:sz w:val="16"/>
                <w:szCs w:val="16"/>
              </w:rPr>
              <w:t xml:space="preserve"> et al., 2018</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France</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Overweight and obese</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mean, 56.2</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3</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3</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 investigate the effects of moderate</w:t>
            </w:r>
            <w:r w:rsidRPr="00A67120">
              <w:rPr>
                <w:rFonts w:eastAsia="Times New Roman" w:cs="Times New Roman"/>
                <w:color w:val="000000"/>
                <w:sz w:val="16"/>
                <w:szCs w:val="16"/>
              </w:rPr>
              <w:br/>
              <w:t>IHNT on key cardio-metabolic risk factors.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6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10% O2 repeated cycles with </w:t>
            </w:r>
            <w:proofErr w:type="spellStart"/>
            <w:r w:rsidRPr="00A67120">
              <w:rPr>
                <w:rFonts w:eastAsia="Times New Roman" w:cs="Times New Roman"/>
                <w:color w:val="000000"/>
                <w:sz w:val="16"/>
                <w:szCs w:val="16"/>
              </w:rPr>
              <w:t>normoxia</w:t>
            </w:r>
            <w:proofErr w:type="spellEnd"/>
            <w:r w:rsidRPr="00A67120">
              <w:rPr>
                <w:rFonts w:eastAsia="Times New Roman" w:cs="Times New Roman"/>
                <w:color w:val="000000"/>
                <w:sz w:val="16"/>
                <w:szCs w:val="16"/>
              </w:rPr>
              <w:t xml:space="preserve"> for 70min, 10 sessions, 5 days  per week for two weeks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Sham (21% O2)</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Blood</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blood glucose and lactate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Cholestech</w:t>
            </w:r>
            <w:proofErr w:type="spellEnd"/>
            <w:r w:rsidRPr="00A67120">
              <w:rPr>
                <w:rFonts w:eastAsia="Times New Roman" w:cs="Times New Roman"/>
                <w:color w:val="000000"/>
                <w:sz w:val="16"/>
                <w:szCs w:val="16"/>
              </w:rPr>
              <w:t xml:space="preserve"> LDX device for  blood glucose profiles, hand-held portable analyzer for Lactate</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Glucose decreased and Lactate increased following a single IHNT session,  but no sustained change after 10 sessions of IHNT occurred</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 appears to be a safe and effective non-pharmacological method of reducing key cardiovascular risk factors associated with metabolic disorders.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safe</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306"/>
        </w:trPr>
        <w:tc>
          <w:tcPr>
            <w:tcW w:w="846" w:type="dxa"/>
            <w:vMerge/>
            <w:tcBorders>
              <w:left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HDL and LDL</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Cholestech</w:t>
            </w:r>
            <w:proofErr w:type="spellEnd"/>
            <w:r w:rsidRPr="00A67120">
              <w:rPr>
                <w:rFonts w:eastAsia="Times New Roman" w:cs="Times New Roman"/>
                <w:color w:val="000000"/>
                <w:sz w:val="16"/>
                <w:szCs w:val="16"/>
              </w:rPr>
              <w:t xml:space="preserve"> LDX device</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LDL, LDL/HDL were all significantly decreased</w:t>
            </w:r>
            <w:r w:rsidRPr="00A67120">
              <w:rPr>
                <w:rFonts w:eastAsia="Times New Roman" w:cs="Times New Roman"/>
                <w:color w:val="000000"/>
                <w:sz w:val="16"/>
                <w:szCs w:val="16"/>
              </w:rPr>
              <w:br/>
              <w:t>after 10 sessions.</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359"/>
        </w:trPr>
        <w:tc>
          <w:tcPr>
            <w:tcW w:w="846" w:type="dxa"/>
            <w:vMerge/>
            <w:tcBorders>
              <w:left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br/>
              <w:t>SBP and DBP</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Controlled finger </w:t>
            </w:r>
            <w:proofErr w:type="spellStart"/>
            <w:r w:rsidRPr="00A67120">
              <w:rPr>
                <w:rFonts w:eastAsia="Times New Roman" w:cs="Times New Roman"/>
                <w:color w:val="000000"/>
                <w:sz w:val="16"/>
                <w:szCs w:val="16"/>
              </w:rPr>
              <w:t>photoplethysmograph</w:t>
            </w:r>
            <w:proofErr w:type="spellEnd"/>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SBP was significantly decreased after 10 sessions. No significant effects on DBP</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540"/>
        </w:trPr>
        <w:tc>
          <w:tcPr>
            <w:tcW w:w="846" w:type="dxa"/>
            <w:vMerge/>
            <w:tcBorders>
              <w:left w:val="single" w:sz="4" w:space="0" w:color="auto"/>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682"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noWrap/>
            <w:vAlign w:val="bottom"/>
            <w:hideMark/>
          </w:tcPr>
          <w:p w:rsidR="00F71A16" w:rsidRPr="00A67120" w:rsidRDefault="00F71A16" w:rsidP="00F71A16">
            <w:pPr>
              <w:spacing w:before="0" w:after="0"/>
              <w:rPr>
                <w:rFonts w:eastAsia="Times New Roman" w:cs="Times New Roman"/>
                <w:color w:val="000000"/>
                <w:sz w:val="16"/>
                <w:szCs w:val="16"/>
              </w:rPr>
            </w:pPr>
          </w:p>
        </w:tc>
        <w:tc>
          <w:tcPr>
            <w:tcW w:w="1222"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63"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bottom"/>
            <w:hideMark/>
          </w:tcPr>
          <w:p w:rsidR="00F71A16" w:rsidRPr="00A67120" w:rsidRDefault="00F71A16" w:rsidP="00F71A16">
            <w:pPr>
              <w:spacing w:before="0" w:after="0"/>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Cardiac autonomic indices (RMSSD and DFAα1)</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Controlled finger </w:t>
            </w:r>
            <w:proofErr w:type="spellStart"/>
            <w:r w:rsidRPr="00A67120">
              <w:rPr>
                <w:rFonts w:eastAsia="Times New Roman" w:cs="Times New Roman"/>
                <w:color w:val="000000"/>
                <w:sz w:val="16"/>
                <w:szCs w:val="16"/>
              </w:rPr>
              <w:t>photoplethysmograph</w:t>
            </w:r>
            <w:proofErr w:type="spellEnd"/>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br/>
              <w:t xml:space="preserve">No significant effects on  heart </w:t>
            </w:r>
            <w:proofErr w:type="spellStart"/>
            <w:r w:rsidRPr="00A67120">
              <w:rPr>
                <w:rFonts w:eastAsia="Times New Roman" w:cs="Times New Roman"/>
                <w:color w:val="000000"/>
                <w:sz w:val="16"/>
                <w:szCs w:val="16"/>
              </w:rPr>
              <w:t>rate,RMSSD</w:t>
            </w:r>
            <w:proofErr w:type="spellEnd"/>
            <w:r w:rsidRPr="00A67120">
              <w:rPr>
                <w:rFonts w:eastAsia="Times New Roman" w:cs="Times New Roman"/>
                <w:color w:val="000000"/>
                <w:sz w:val="16"/>
                <w:szCs w:val="16"/>
              </w:rPr>
              <w:t>, and DFAα1</w:t>
            </w:r>
          </w:p>
        </w:tc>
        <w:tc>
          <w:tcPr>
            <w:tcW w:w="113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1036"/>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lastRenderedPageBreak/>
              <w:t>Faulhaber</w:t>
            </w:r>
            <w:proofErr w:type="spellEnd"/>
            <w:r w:rsidRPr="00A67120">
              <w:rPr>
                <w:rFonts w:eastAsia="Times New Roman" w:cs="Times New Roman"/>
                <w:color w:val="000000"/>
                <w:sz w:val="16"/>
                <w:szCs w:val="16"/>
              </w:rPr>
              <w:t xml:space="preserve"> et al., 2015</w:t>
            </w:r>
          </w:p>
        </w:tc>
        <w:tc>
          <w:tcPr>
            <w:tcW w:w="709" w:type="dxa"/>
            <w:tcBorders>
              <w:top w:val="nil"/>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Switzerland</w:t>
            </w:r>
          </w:p>
        </w:tc>
        <w:tc>
          <w:tcPr>
            <w:tcW w:w="68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COPD</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mean, 50  (IHHT), 55 (control)</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8</w:t>
            </w:r>
          </w:p>
        </w:tc>
        <w:tc>
          <w:tcPr>
            <w:tcW w:w="536" w:type="dxa"/>
            <w:tcBorders>
              <w:top w:val="nil"/>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8</w:t>
            </w:r>
          </w:p>
        </w:tc>
        <w:tc>
          <w:tcPr>
            <w:tcW w:w="12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 provide information on heart rate and blood pressure responses to IHNT in COPD patients.</w:t>
            </w:r>
          </w:p>
        </w:tc>
        <w:tc>
          <w:tcPr>
            <w:tcW w:w="66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tc>
        <w:tc>
          <w:tcPr>
            <w:tcW w:w="62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tc>
        <w:tc>
          <w:tcPr>
            <w:tcW w:w="117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15%–12% FiO2 for 3 weeks.5 sessions/ week, each consisting of 3 to 5 cycles, each cycle 3–5 min with 3-min breaks between cycles.</w:t>
            </w:r>
          </w:p>
        </w:tc>
        <w:tc>
          <w:tcPr>
            <w:tcW w:w="708"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Sham hypoxia (normal air).</w:t>
            </w:r>
          </w:p>
        </w:tc>
        <w:tc>
          <w:tcPr>
            <w:tcW w:w="53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heart</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SBP and DBP, heart rate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Heart rate and SaO2 by pulse oximeter, SBP and DBP by automatic wrist blood pressure monitor</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cs="Times New Roman"/>
                <w:sz w:val="16"/>
                <w:szCs w:val="16"/>
              </w:rPr>
              <w:t xml:space="preserve">During IHNT, no between-group differences were detected for blood pressure or rate pressure product values. Changes in heart rate were significantly different between groups in the course of the 3 weeks, with post </w:t>
            </w:r>
            <w:proofErr w:type="spellStart"/>
            <w:r w:rsidRPr="00A67120">
              <w:rPr>
                <w:rFonts w:cs="Times New Roman"/>
                <w:sz w:val="16"/>
                <w:szCs w:val="16"/>
              </w:rPr>
              <w:t>hocdifferences</w:t>
            </w:r>
            <w:proofErr w:type="spellEnd"/>
            <w:r w:rsidRPr="00A67120">
              <w:rPr>
                <w:rFonts w:cs="Times New Roman"/>
                <w:sz w:val="16"/>
                <w:szCs w:val="16"/>
              </w:rPr>
              <w:t xml:space="preserve"> only in week 3.</w:t>
            </w:r>
          </w:p>
        </w:tc>
        <w:tc>
          <w:tcPr>
            <w:tcW w:w="113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IHNT resulted in specific and moderate heart rate and blood pressure responses, and did not provoke a progressive increase in blood </w:t>
            </w:r>
            <w:proofErr w:type="gramStart"/>
            <w:r w:rsidRPr="00A67120">
              <w:rPr>
                <w:rFonts w:eastAsia="Times New Roman" w:cs="Times New Roman"/>
                <w:color w:val="000000"/>
                <w:sz w:val="16"/>
                <w:szCs w:val="16"/>
              </w:rPr>
              <w:t>pressure .</w:t>
            </w:r>
            <w:proofErr w:type="gramEnd"/>
          </w:p>
        </w:tc>
        <w:tc>
          <w:tcPr>
            <w:tcW w:w="727"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safe</w:t>
            </w:r>
          </w:p>
        </w:tc>
      </w:tr>
      <w:tr w:rsidR="00F71A16" w:rsidRPr="00A67120" w:rsidTr="009645A2">
        <w:trPr>
          <w:trHeight w:val="549"/>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Muangritdech</w:t>
            </w:r>
            <w:proofErr w:type="spellEnd"/>
            <w:r w:rsidRPr="00A67120">
              <w:rPr>
                <w:rFonts w:eastAsia="Times New Roman" w:cs="Times New Roman"/>
                <w:color w:val="000000"/>
                <w:sz w:val="16"/>
                <w:szCs w:val="16"/>
              </w:rPr>
              <w:t xml:space="preserve"> et al., 2020</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Thailand</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Hypertensive patients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Mean range, 47-51 </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15 (IHR) and 15</w:t>
            </w:r>
          </w:p>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r w:rsidRPr="00A67120">
              <w:rPr>
                <w:rFonts w:eastAsia="Times New Roman" w:cs="Times New Roman"/>
                <w:sz w:val="16"/>
                <w:szCs w:val="16"/>
              </w:rPr>
              <w:t>17</w:t>
            </w: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sz w:val="16"/>
                <w:szCs w:val="16"/>
              </w:rPr>
            </w:pPr>
            <w:r w:rsidRPr="00A67120">
              <w:rPr>
                <w:rFonts w:eastAsia="Times New Roman" w:cs="Times New Roman"/>
                <w:sz w:val="16"/>
                <w:szCs w:val="16"/>
              </w:rPr>
              <w:t>To examine the effects of IHNT at rest (IHR) or during exercise (IHT) on blood pressure, NOx and HIF-1α levels over 6 weeks.</w:t>
            </w: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tc>
        <w:tc>
          <w:tcPr>
            <w:tcW w:w="66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8 events of FIO2 14%, and FIO2 21% for 6 weeks. Each cycle consisted of 8 </w:t>
            </w:r>
            <w:proofErr w:type="gramStart"/>
            <w:r w:rsidRPr="00A67120">
              <w:rPr>
                <w:rFonts w:eastAsia="Times New Roman" w:cs="Times New Roman"/>
                <w:color w:val="000000"/>
                <w:sz w:val="16"/>
                <w:szCs w:val="16"/>
              </w:rPr>
              <w:t>cycles</w:t>
            </w:r>
            <w:proofErr w:type="gramEnd"/>
            <w:r w:rsidRPr="00A67120">
              <w:rPr>
                <w:rFonts w:eastAsia="Times New Roman" w:cs="Times New Roman"/>
                <w:color w:val="000000"/>
                <w:sz w:val="16"/>
                <w:szCs w:val="16"/>
              </w:rPr>
              <w:t xml:space="preserve"> × 3-min hypoxic air alternating with 3 min </w:t>
            </w:r>
            <w:proofErr w:type="spellStart"/>
            <w:r w:rsidRPr="00A67120">
              <w:rPr>
                <w:rFonts w:eastAsia="Times New Roman" w:cs="Times New Roman"/>
                <w:color w:val="000000"/>
                <w:sz w:val="16"/>
                <w:szCs w:val="16"/>
              </w:rPr>
              <w:t>normoxic</w:t>
            </w:r>
            <w:proofErr w:type="spellEnd"/>
            <w:r w:rsidRPr="00A67120">
              <w:rPr>
                <w:rFonts w:eastAsia="Times New Roman" w:cs="Times New Roman"/>
                <w:color w:val="000000"/>
                <w:sz w:val="16"/>
                <w:szCs w:val="16"/>
              </w:rPr>
              <w:t xml:space="preserve"> air).</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No intervention</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Blood</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blood pressure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Automatic blood pressure monitor</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gramStart"/>
            <w:r w:rsidRPr="00A67120">
              <w:rPr>
                <w:rFonts w:eastAsia="Times New Roman" w:cs="Times New Roman"/>
                <w:color w:val="000000"/>
                <w:sz w:val="16"/>
                <w:szCs w:val="16"/>
              </w:rPr>
              <w:t>a</w:t>
            </w:r>
            <w:proofErr w:type="gramEnd"/>
            <w:r w:rsidRPr="00A67120">
              <w:rPr>
                <w:rFonts w:eastAsia="Times New Roman" w:cs="Times New Roman"/>
                <w:color w:val="000000"/>
                <w:sz w:val="16"/>
                <w:szCs w:val="16"/>
              </w:rPr>
              <w:t xml:space="preserve"> significant decrease of the SBP in both IHR and IHT groups  at days 2 and 28 post-intervention, respectively.</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 may act as an alternative therapeutic strategy for hypertension patients probably through elevation of NOx and HIF-1α production.</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not </w:t>
            </w:r>
            <w:proofErr w:type="spellStart"/>
            <w:r w:rsidRPr="00A67120">
              <w:rPr>
                <w:rFonts w:eastAsia="Times New Roman" w:cs="Times New Roman"/>
                <w:color w:val="000000"/>
                <w:sz w:val="16"/>
                <w:szCs w:val="16"/>
              </w:rPr>
              <w:t>metnioned</w:t>
            </w:r>
            <w:proofErr w:type="spellEnd"/>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581"/>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Plasma NOx</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Commercial kits</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IHR and IHT had increased NOx. At 2 days post-intervention, NOx was negatively correlated with SBP in IHT.</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576"/>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HIF-1α</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ELISA</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IHR and IHT had increased HIF-</w:t>
            </w:r>
            <w:proofErr w:type="gramStart"/>
            <w:r w:rsidRPr="00A67120">
              <w:rPr>
                <w:rFonts w:eastAsia="Times New Roman" w:cs="Times New Roman"/>
                <w:color w:val="000000"/>
                <w:sz w:val="16"/>
                <w:szCs w:val="16"/>
              </w:rPr>
              <w:t>1α .</w:t>
            </w:r>
            <w:proofErr w:type="gramEnd"/>
            <w:r w:rsidRPr="00A67120">
              <w:rPr>
                <w:rFonts w:eastAsia="Times New Roman" w:cs="Times New Roman"/>
                <w:color w:val="000000"/>
                <w:sz w:val="16"/>
                <w:szCs w:val="16"/>
              </w:rPr>
              <w:t xml:space="preserve"> At 2 days post-intervention, HIF-1α was negatively correlated with SBP in IHT.</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470"/>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MDA levels</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Spectrophotometer (Draper et al. 1993 method)</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After 6 weeks of IHNT, MDA decreased to similar levels in the IHR and IHT compared to the control.</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300"/>
        </w:trPr>
        <w:tc>
          <w:tcPr>
            <w:tcW w:w="846" w:type="dxa"/>
            <w:vMerge/>
            <w:tcBorders>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12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sz w:val="16"/>
                <w:szCs w:val="16"/>
              </w:rPr>
            </w:pPr>
          </w:p>
        </w:tc>
        <w:tc>
          <w:tcPr>
            <w:tcW w:w="66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 time to complete a 6-min walk.</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 6</w:t>
            </w:r>
            <w:r w:rsidRPr="00A67120">
              <w:rPr>
                <w:rFonts w:eastAsia="Times New Roman" w:cs="Times New Roman"/>
                <w:color w:val="000000"/>
                <w:sz w:val="16"/>
                <w:szCs w:val="16"/>
              </w:rPr>
              <w:noBreakHyphen/>
              <w:t>min walk test (6MWT)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Improved walk distance was maintained at day 28 post-intervention, compared to the control, for both the </w:t>
            </w:r>
            <w:proofErr w:type="gramStart"/>
            <w:r w:rsidRPr="00A67120">
              <w:rPr>
                <w:rFonts w:eastAsia="Times New Roman" w:cs="Times New Roman"/>
                <w:color w:val="000000"/>
                <w:sz w:val="16"/>
                <w:szCs w:val="16"/>
              </w:rPr>
              <w:t>IHR  and</w:t>
            </w:r>
            <w:proofErr w:type="gramEnd"/>
            <w:r w:rsidRPr="00A67120">
              <w:rPr>
                <w:rFonts w:eastAsia="Times New Roman" w:cs="Times New Roman"/>
                <w:color w:val="000000"/>
                <w:sz w:val="16"/>
                <w:szCs w:val="16"/>
              </w:rPr>
              <w:t xml:space="preserve"> IHT.</w:t>
            </w:r>
          </w:p>
        </w:tc>
        <w:tc>
          <w:tcPr>
            <w:tcW w:w="113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327"/>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Schega</w:t>
            </w:r>
            <w:proofErr w:type="spellEnd"/>
            <w:r w:rsidRPr="00A67120">
              <w:rPr>
                <w:rFonts w:eastAsia="Times New Roman" w:cs="Times New Roman"/>
                <w:color w:val="000000"/>
                <w:sz w:val="16"/>
                <w:szCs w:val="16"/>
              </w:rPr>
              <w:t xml:space="preserve"> et al., 2013</w:t>
            </w: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r w:rsidRPr="00A67120">
              <w:rPr>
                <w:rFonts w:eastAsia="Times New Roman" w:cs="Times New Roman"/>
                <w:sz w:val="16"/>
                <w:szCs w:val="16"/>
              </w:rPr>
              <w:t>Germany</w:t>
            </w:r>
          </w:p>
          <w:p w:rsidR="00F71A16" w:rsidRPr="00A67120" w:rsidRDefault="00F71A16" w:rsidP="00F71A16">
            <w:pPr>
              <w:spacing w:before="0" w:after="0"/>
              <w:jc w:val="center"/>
              <w:rPr>
                <w:rFonts w:eastAsia="Times New Roman" w:cs="Times New Roman"/>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Healthy</w:t>
            </w: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60-70</w:t>
            </w: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17</w:t>
            </w: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17</w:t>
            </w:r>
          </w:p>
          <w:p w:rsidR="00F71A16" w:rsidRPr="00A67120" w:rsidRDefault="00F71A16" w:rsidP="00F71A16">
            <w:pPr>
              <w:spacing w:before="0" w:after="0"/>
              <w:jc w:val="center"/>
              <w:rPr>
                <w:rFonts w:eastAsia="Times New Roman" w:cs="Times New Roman"/>
                <w:color w:val="000000"/>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To evaluate to the effect </w:t>
            </w:r>
            <w:proofErr w:type="gramStart"/>
            <w:r w:rsidRPr="00A67120">
              <w:rPr>
                <w:rFonts w:eastAsia="Times New Roman" w:cs="Times New Roman"/>
                <w:color w:val="000000"/>
                <w:sz w:val="16"/>
                <w:szCs w:val="16"/>
              </w:rPr>
              <w:t>of  IHNT</w:t>
            </w:r>
            <w:proofErr w:type="gramEnd"/>
            <w:r w:rsidRPr="00A67120">
              <w:rPr>
                <w:rFonts w:eastAsia="Times New Roman" w:cs="Times New Roman"/>
                <w:color w:val="000000"/>
                <w:sz w:val="16"/>
                <w:szCs w:val="16"/>
              </w:rPr>
              <w:t xml:space="preserve"> with physical activity compared to  </w:t>
            </w:r>
            <w:r w:rsidRPr="00A67120">
              <w:rPr>
                <w:rFonts w:eastAsia="Times New Roman" w:cs="Times New Roman"/>
                <w:color w:val="000000"/>
                <w:sz w:val="16"/>
                <w:szCs w:val="16"/>
              </w:rPr>
              <w:lastRenderedPageBreak/>
              <w:t xml:space="preserve">solely strength-endurance training on cognitive performance and </w:t>
            </w:r>
            <w:proofErr w:type="spellStart"/>
            <w:r w:rsidRPr="00A67120">
              <w:rPr>
                <w:rFonts w:eastAsia="Times New Roman" w:cs="Times New Roman"/>
                <w:color w:val="000000"/>
                <w:sz w:val="16"/>
                <w:szCs w:val="16"/>
              </w:rPr>
              <w:t>QoL</w:t>
            </w:r>
            <w:proofErr w:type="spellEnd"/>
            <w:r w:rsidRPr="00A67120">
              <w:rPr>
                <w:rFonts w:eastAsia="Times New Roman" w:cs="Times New Roman"/>
                <w:color w:val="000000"/>
                <w:sz w:val="16"/>
                <w:szCs w:val="16"/>
              </w:rPr>
              <w:t>.</w:t>
            </w:r>
          </w:p>
          <w:p w:rsidR="00F71A16" w:rsidRPr="00A67120" w:rsidRDefault="00F71A16" w:rsidP="00F71A16">
            <w:pPr>
              <w:spacing w:before="0" w:after="0"/>
              <w:jc w:val="center"/>
              <w:rPr>
                <w:rFonts w:eastAsia="Times New Roman" w:cs="Times New Roman"/>
                <w:color w:val="000000"/>
                <w:sz w:val="16"/>
                <w:szCs w:val="16"/>
              </w:rPr>
            </w:pPr>
          </w:p>
        </w:tc>
        <w:tc>
          <w:tcPr>
            <w:tcW w:w="66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RCT</w:t>
            </w: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3 sessions/ week, one session lasting 1 h, hypoxic air for 10 min and </w:t>
            </w:r>
            <w:proofErr w:type="spellStart"/>
            <w:r w:rsidRPr="00A67120">
              <w:rPr>
                <w:rFonts w:eastAsia="Times New Roman" w:cs="Times New Roman"/>
                <w:color w:val="000000"/>
                <w:sz w:val="16"/>
                <w:szCs w:val="16"/>
              </w:rPr>
              <w:t>normoxia</w:t>
            </w:r>
            <w:proofErr w:type="spellEnd"/>
            <w:r w:rsidRPr="00A67120">
              <w:rPr>
                <w:rFonts w:eastAsia="Times New Roman" w:cs="Times New Roman"/>
                <w:color w:val="000000"/>
                <w:sz w:val="16"/>
                <w:szCs w:val="16"/>
              </w:rPr>
              <w:t xml:space="preserve"> </w:t>
            </w:r>
            <w:r w:rsidRPr="00A67120">
              <w:rPr>
                <w:rFonts w:eastAsia="Times New Roman" w:cs="Times New Roman"/>
                <w:color w:val="000000"/>
                <w:sz w:val="16"/>
                <w:szCs w:val="16"/>
              </w:rPr>
              <w:lastRenderedPageBreak/>
              <w:t xml:space="preserve">for 5 min. In the first 2 weeks, </w:t>
            </w:r>
            <w:proofErr w:type="spellStart"/>
            <w:r w:rsidRPr="00A67120">
              <w:rPr>
                <w:rFonts w:eastAsia="Times New Roman" w:cs="Times New Roman"/>
                <w:color w:val="000000"/>
                <w:sz w:val="16"/>
                <w:szCs w:val="16"/>
              </w:rPr>
              <w:t>SpO</w:t>
            </w:r>
            <w:proofErr w:type="spellEnd"/>
            <w:r w:rsidRPr="00A67120">
              <w:rPr>
                <w:rFonts w:eastAsia="Times New Roman" w:cs="Times New Roman"/>
                <w:color w:val="000000"/>
                <w:sz w:val="16"/>
                <w:szCs w:val="16"/>
              </w:rPr>
              <w:t xml:space="preserve"> </w:t>
            </w:r>
            <w:proofErr w:type="gramStart"/>
            <w:r w:rsidRPr="00A67120">
              <w:rPr>
                <w:rFonts w:eastAsia="Times New Roman" w:cs="Times New Roman"/>
                <w:color w:val="000000"/>
                <w:sz w:val="16"/>
                <w:szCs w:val="16"/>
              </w:rPr>
              <w:t>2  90</w:t>
            </w:r>
            <w:proofErr w:type="gramEnd"/>
            <w:r w:rsidRPr="00A67120">
              <w:rPr>
                <w:rFonts w:eastAsia="Times New Roman" w:cs="Times New Roman"/>
                <w:color w:val="000000"/>
                <w:sz w:val="16"/>
                <w:szCs w:val="16"/>
              </w:rPr>
              <w:t>%. In the third week</w:t>
            </w:r>
            <w:proofErr w:type="gramStart"/>
            <w:r w:rsidRPr="00A67120">
              <w:rPr>
                <w:rFonts w:eastAsia="Times New Roman" w:cs="Times New Roman"/>
                <w:color w:val="000000"/>
                <w:sz w:val="16"/>
                <w:szCs w:val="16"/>
              </w:rPr>
              <w:t>,  85</w:t>
            </w:r>
            <w:proofErr w:type="gramEnd"/>
            <w:r w:rsidRPr="00A67120">
              <w:rPr>
                <w:rFonts w:eastAsia="Times New Roman" w:cs="Times New Roman"/>
                <w:color w:val="000000"/>
                <w:sz w:val="16"/>
                <w:szCs w:val="16"/>
              </w:rPr>
              <w:t xml:space="preserve">%. </w:t>
            </w:r>
            <w:proofErr w:type="gramStart"/>
            <w:r w:rsidRPr="00A67120">
              <w:rPr>
                <w:rFonts w:eastAsia="Times New Roman" w:cs="Times New Roman"/>
                <w:color w:val="000000"/>
                <w:sz w:val="16"/>
                <w:szCs w:val="16"/>
              </w:rPr>
              <w:t>and  80</w:t>
            </w:r>
            <w:proofErr w:type="gramEnd"/>
            <w:r w:rsidRPr="00A67120">
              <w:rPr>
                <w:rFonts w:eastAsia="Times New Roman" w:cs="Times New Roman"/>
                <w:color w:val="000000"/>
                <w:sz w:val="16"/>
                <w:szCs w:val="16"/>
              </w:rPr>
              <w:t xml:space="preserve">% of </w:t>
            </w:r>
            <w:proofErr w:type="spellStart"/>
            <w:r w:rsidRPr="00A67120">
              <w:rPr>
                <w:rFonts w:eastAsia="Times New Roman" w:cs="Times New Roman"/>
                <w:color w:val="000000"/>
                <w:sz w:val="16"/>
                <w:szCs w:val="16"/>
              </w:rPr>
              <w:t>SpO</w:t>
            </w:r>
            <w:proofErr w:type="spellEnd"/>
            <w:r w:rsidRPr="00A67120">
              <w:rPr>
                <w:rFonts w:eastAsia="Times New Roman" w:cs="Times New Roman"/>
                <w:color w:val="000000"/>
                <w:sz w:val="16"/>
                <w:szCs w:val="16"/>
              </w:rPr>
              <w:t xml:space="preserve"> 2 for the remaining 3 weeks.</w:t>
            </w: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gramStart"/>
            <w:r w:rsidRPr="00A67120">
              <w:rPr>
                <w:rFonts w:eastAsia="Times New Roman" w:cs="Times New Roman"/>
                <w:color w:val="000000"/>
                <w:sz w:val="16"/>
                <w:szCs w:val="16"/>
              </w:rPr>
              <w:lastRenderedPageBreak/>
              <w:t>placebo</w:t>
            </w:r>
            <w:proofErr w:type="gramEnd"/>
            <w:r w:rsidRPr="00A67120">
              <w:rPr>
                <w:rFonts w:eastAsia="Times New Roman" w:cs="Times New Roman"/>
                <w:color w:val="000000"/>
                <w:sz w:val="16"/>
                <w:szCs w:val="16"/>
              </w:rPr>
              <w:t xml:space="preserve"> air that provoked Spo2 </w:t>
            </w:r>
            <w:r w:rsidRPr="00A67120">
              <w:rPr>
                <w:rFonts w:eastAsia="Times New Roman" w:cs="Times New Roman"/>
                <w:color w:val="000000"/>
                <w:sz w:val="16"/>
                <w:szCs w:val="16"/>
              </w:rPr>
              <w:lastRenderedPageBreak/>
              <w:t>94–98% in the blood.</w:t>
            </w: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NA</w:t>
            </w: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Cognitive performance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 d2 test and the Number Combination Test(ZVT)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 time × group effect was observed by d2 test. No interaction effect was discovered by ZVT.</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IHNT combined with physical exercise augments the positive </w:t>
            </w:r>
            <w:r w:rsidRPr="00A67120">
              <w:rPr>
                <w:rFonts w:eastAsia="Times New Roman" w:cs="Times New Roman"/>
                <w:color w:val="000000"/>
                <w:sz w:val="16"/>
                <w:szCs w:val="16"/>
              </w:rPr>
              <w:lastRenderedPageBreak/>
              <w:t xml:space="preserve">effects of exercise on cognitive performance and </w:t>
            </w:r>
            <w:proofErr w:type="spellStart"/>
            <w:r w:rsidRPr="00A67120">
              <w:rPr>
                <w:rFonts w:eastAsia="Times New Roman" w:cs="Times New Roman"/>
                <w:color w:val="000000"/>
                <w:sz w:val="16"/>
                <w:szCs w:val="16"/>
              </w:rPr>
              <w:t>QoL</w:t>
            </w:r>
            <w:proofErr w:type="spellEnd"/>
            <w:r w:rsidRPr="00A67120">
              <w:rPr>
                <w:rFonts w:eastAsia="Times New Roman" w:cs="Times New Roman"/>
                <w:color w:val="000000"/>
                <w:sz w:val="16"/>
                <w:szCs w:val="16"/>
              </w:rPr>
              <w:t xml:space="preserve"> in elderly humans.</w:t>
            </w: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 xml:space="preserve">not </w:t>
            </w:r>
            <w:proofErr w:type="spellStart"/>
            <w:r w:rsidRPr="00A67120">
              <w:rPr>
                <w:rFonts w:eastAsia="Times New Roman" w:cs="Times New Roman"/>
                <w:color w:val="000000"/>
                <w:sz w:val="16"/>
                <w:szCs w:val="16"/>
              </w:rPr>
              <w:t>metnioned</w:t>
            </w:r>
            <w:proofErr w:type="spellEnd"/>
          </w:p>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459"/>
        </w:trPr>
        <w:tc>
          <w:tcPr>
            <w:tcW w:w="846" w:type="dxa"/>
            <w:vMerge/>
            <w:tcBorders>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68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quality of life (</w:t>
            </w:r>
            <w:proofErr w:type="spellStart"/>
            <w:r w:rsidRPr="00A67120">
              <w:rPr>
                <w:rFonts w:eastAsia="Times New Roman" w:cs="Times New Roman"/>
                <w:color w:val="000000"/>
                <w:sz w:val="16"/>
                <w:szCs w:val="16"/>
              </w:rPr>
              <w:t>QoL</w:t>
            </w:r>
            <w:proofErr w:type="spellEnd"/>
            <w:r w:rsidRPr="00A67120">
              <w:rPr>
                <w:rFonts w:eastAsia="Times New Roman" w:cs="Times New Roman"/>
                <w:color w:val="000000"/>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SF-12 and PSQI)</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An interaction effect was not found in the SF-12. But, an interaction effect was observed for sleep quality by PSQI.</w:t>
            </w:r>
          </w:p>
        </w:tc>
        <w:tc>
          <w:tcPr>
            <w:tcW w:w="113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893"/>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lastRenderedPageBreak/>
              <w:t>Schega</w:t>
            </w:r>
            <w:proofErr w:type="spellEnd"/>
            <w:r w:rsidRPr="00A67120">
              <w:rPr>
                <w:rFonts w:eastAsia="Times New Roman" w:cs="Times New Roman"/>
                <w:color w:val="000000"/>
                <w:sz w:val="16"/>
                <w:szCs w:val="16"/>
              </w:rPr>
              <w:t xml:space="preserve"> et al., 2016</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r w:rsidRPr="00A67120">
              <w:rPr>
                <w:rFonts w:eastAsia="Times New Roman" w:cs="Times New Roman"/>
                <w:sz w:val="16"/>
                <w:szCs w:val="16"/>
              </w:rPr>
              <w:t>Germany</w:t>
            </w: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Healthy</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60-65 </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18</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18</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To investigate the effect of IHNT combined with aerobic training on hematological parameters and physical performance as well as peripheral levels of the </w:t>
            </w:r>
            <w:proofErr w:type="spellStart"/>
            <w:r w:rsidRPr="00A67120">
              <w:rPr>
                <w:rFonts w:eastAsia="Times New Roman" w:cs="Times New Roman"/>
                <w:color w:val="000000"/>
                <w:sz w:val="16"/>
                <w:szCs w:val="16"/>
              </w:rPr>
              <w:t>neurotrophin</w:t>
            </w:r>
            <w:proofErr w:type="spellEnd"/>
            <w:r w:rsidRPr="00A67120">
              <w:rPr>
                <w:rFonts w:eastAsia="Times New Roman" w:cs="Times New Roman"/>
                <w:color w:val="000000"/>
                <w:sz w:val="16"/>
                <w:szCs w:val="16"/>
              </w:rPr>
              <w:t xml:space="preserve"> BDNF and cognitive function.</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6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Hypoxia for 90 min followed by an aerobic training on bicycle ergometers for 30 min under ambient air. 3 times/ week for 4 weeks.  In the first week,   </w:t>
            </w:r>
            <w:proofErr w:type="gramStart"/>
            <w:r w:rsidRPr="00A67120">
              <w:rPr>
                <w:rFonts w:eastAsia="Times New Roman" w:cs="Times New Roman"/>
                <w:color w:val="000000"/>
                <w:sz w:val="16"/>
                <w:szCs w:val="16"/>
              </w:rPr>
              <w:t>theSpO2  between</w:t>
            </w:r>
            <w:proofErr w:type="gramEnd"/>
            <w:r w:rsidRPr="00A67120">
              <w:rPr>
                <w:rFonts w:eastAsia="Times New Roman" w:cs="Times New Roman"/>
                <w:color w:val="000000"/>
                <w:sz w:val="16"/>
                <w:szCs w:val="16"/>
              </w:rPr>
              <w:t xml:space="preserve"> 90 and 85% and from the second to the fourth week  80%.</w:t>
            </w: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gramStart"/>
            <w:r w:rsidRPr="00A67120">
              <w:rPr>
                <w:rFonts w:eastAsia="Times New Roman" w:cs="Times New Roman"/>
                <w:color w:val="000000"/>
                <w:sz w:val="16"/>
                <w:szCs w:val="16"/>
              </w:rPr>
              <w:t>placebo</w:t>
            </w:r>
            <w:proofErr w:type="gramEnd"/>
            <w:r w:rsidRPr="00A67120">
              <w:rPr>
                <w:rFonts w:eastAsia="Times New Roman" w:cs="Times New Roman"/>
                <w:color w:val="000000"/>
                <w:sz w:val="16"/>
                <w:szCs w:val="16"/>
              </w:rPr>
              <w:t xml:space="preserve"> air  (SpO2: 95–99%).</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Physical performance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spiroergometry</w:t>
            </w:r>
            <w:proofErr w:type="spellEnd"/>
            <w:r w:rsidRPr="00A67120">
              <w:rPr>
                <w:rFonts w:eastAsia="Times New Roman" w:cs="Times New Roman"/>
                <w:color w:val="000000"/>
                <w:sz w:val="16"/>
                <w:szCs w:val="16"/>
              </w:rPr>
              <w:t xml:space="preserve"> and the Stroop test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Increases the time to exhaustion</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gramStart"/>
            <w:r w:rsidRPr="00A67120">
              <w:rPr>
                <w:rFonts w:eastAsia="Times New Roman" w:cs="Times New Roman"/>
                <w:color w:val="000000"/>
                <w:sz w:val="16"/>
                <w:szCs w:val="16"/>
              </w:rPr>
              <w:t>hypoxic</w:t>
            </w:r>
            <w:proofErr w:type="gramEnd"/>
            <w:r w:rsidRPr="00A67120">
              <w:rPr>
                <w:rFonts w:eastAsia="Times New Roman" w:cs="Times New Roman"/>
                <w:color w:val="000000"/>
                <w:sz w:val="16"/>
                <w:szCs w:val="16"/>
              </w:rPr>
              <w:t xml:space="preserve"> training seems to be beneficial to enhance hematological parameters, physical performance and cognitive function in older people. The current hypoxic-dose was not able to enhance the serum BDNF-level or˙VO2 max.</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not </w:t>
            </w:r>
            <w:proofErr w:type="spellStart"/>
            <w:r w:rsidRPr="00A67120">
              <w:rPr>
                <w:rFonts w:eastAsia="Times New Roman" w:cs="Times New Roman"/>
                <w:color w:val="000000"/>
                <w:sz w:val="16"/>
                <w:szCs w:val="16"/>
              </w:rPr>
              <w:t>metnioned</w:t>
            </w:r>
            <w:proofErr w:type="spellEnd"/>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290"/>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cognitive function</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spiroergometry</w:t>
            </w:r>
            <w:proofErr w:type="spellEnd"/>
            <w:r w:rsidRPr="00A67120">
              <w:rPr>
                <w:rFonts w:eastAsia="Times New Roman" w:cs="Times New Roman"/>
                <w:color w:val="000000"/>
                <w:sz w:val="16"/>
                <w:szCs w:val="16"/>
              </w:rPr>
              <w:t xml:space="preserve"> and the Stroop test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an augmented and sustainable improvement in cognitive function</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465"/>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hematological parameters (RBC, </w:t>
            </w:r>
            <w:proofErr w:type="spellStart"/>
            <w:r w:rsidRPr="00A67120">
              <w:rPr>
                <w:rFonts w:eastAsia="Times New Roman" w:cs="Times New Roman"/>
                <w:color w:val="000000"/>
                <w:sz w:val="16"/>
                <w:szCs w:val="16"/>
              </w:rPr>
              <w:t>Hgb</w:t>
            </w:r>
            <w:proofErr w:type="spellEnd"/>
            <w:r w:rsidRPr="00A67120">
              <w:rPr>
                <w:rFonts w:eastAsia="Times New Roman" w:cs="Times New Roman"/>
                <w:color w:val="000000"/>
                <w:sz w:val="16"/>
                <w:szCs w:val="16"/>
              </w:rPr>
              <w:t xml:space="preserve">, </w:t>
            </w:r>
            <w:proofErr w:type="spellStart"/>
            <w:r w:rsidRPr="00A67120">
              <w:rPr>
                <w:rFonts w:eastAsia="Times New Roman" w:cs="Times New Roman"/>
                <w:color w:val="000000"/>
                <w:sz w:val="16"/>
                <w:szCs w:val="16"/>
              </w:rPr>
              <w:t>Hct</w:t>
            </w:r>
            <w:proofErr w:type="spellEnd"/>
            <w:r w:rsidRPr="00A67120">
              <w:rPr>
                <w:rFonts w:eastAsia="Times New Roman" w:cs="Times New Roman"/>
                <w:color w:val="000000"/>
                <w:sz w:val="16"/>
                <w:szCs w:val="16"/>
              </w:rPr>
              <w:t>)</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Standard hematological analyzer</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increases in the values of hematological parameters</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773"/>
        </w:trPr>
        <w:tc>
          <w:tcPr>
            <w:tcW w:w="846" w:type="dxa"/>
            <w:vMerge/>
            <w:tcBorders>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p>
        </w:tc>
        <w:tc>
          <w:tcPr>
            <w:tcW w:w="68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gramStart"/>
            <w:r w:rsidRPr="00A67120">
              <w:rPr>
                <w:rFonts w:eastAsia="Times New Roman" w:cs="Times New Roman"/>
                <w:color w:val="000000"/>
                <w:sz w:val="16"/>
                <w:szCs w:val="16"/>
              </w:rPr>
              <w:t>serum</w:t>
            </w:r>
            <w:proofErr w:type="gramEnd"/>
            <w:r w:rsidRPr="00A67120">
              <w:rPr>
                <w:rFonts w:eastAsia="Times New Roman" w:cs="Times New Roman"/>
                <w:color w:val="000000"/>
                <w:sz w:val="16"/>
                <w:szCs w:val="16"/>
              </w:rPr>
              <w:t xml:space="preserve"> BDNF-level.</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BDNF </w:t>
            </w:r>
            <w:proofErr w:type="spellStart"/>
            <w:r w:rsidRPr="00A67120">
              <w:rPr>
                <w:rFonts w:eastAsia="Times New Roman" w:cs="Times New Roman"/>
                <w:color w:val="000000"/>
                <w:sz w:val="16"/>
                <w:szCs w:val="16"/>
              </w:rPr>
              <w:t>DuoSet</w:t>
            </w:r>
            <w:proofErr w:type="spellEnd"/>
            <w:r w:rsidRPr="00A67120">
              <w:rPr>
                <w:rFonts w:eastAsia="Times New Roman" w:cs="Times New Roman"/>
                <w:color w:val="000000"/>
                <w:sz w:val="16"/>
                <w:szCs w:val="16"/>
              </w:rPr>
              <w:t xml:space="preserve"> ELISA kit.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In both groups, the˙VO2 max and serum BDNF-level did not increase</w:t>
            </w:r>
          </w:p>
        </w:tc>
        <w:tc>
          <w:tcPr>
            <w:tcW w:w="113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1031"/>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Tobin et al.,  2020</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Australia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Healthy</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mean, 67  </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50</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50</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To investigate the effects of intermittent and continuous hypoxia on key markers of </w:t>
            </w:r>
            <w:proofErr w:type="spellStart"/>
            <w:r w:rsidRPr="00A67120">
              <w:rPr>
                <w:rFonts w:eastAsia="Times New Roman" w:cs="Times New Roman"/>
                <w:color w:val="000000"/>
                <w:sz w:val="16"/>
                <w:szCs w:val="16"/>
              </w:rPr>
              <w:t>haematological</w:t>
            </w:r>
            <w:proofErr w:type="spellEnd"/>
            <w:r w:rsidRPr="00A67120">
              <w:rPr>
                <w:rFonts w:eastAsia="Times New Roman" w:cs="Times New Roman"/>
                <w:color w:val="000000"/>
                <w:sz w:val="16"/>
                <w:szCs w:val="16"/>
              </w:rPr>
              <w:t xml:space="preserve"> adaptation, stress and cardiac damage in healthy senior participants.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63" w:type="dxa"/>
            <w:vMerge w:val="restart"/>
            <w:tcBorders>
              <w:top w:val="nil"/>
              <w:left w:val="nil"/>
              <w:right w:val="single" w:sz="4" w:space="0" w:color="auto"/>
            </w:tcBorders>
            <w:shd w:val="clear" w:color="auto" w:fill="auto"/>
            <w:vAlign w:val="center"/>
            <w:hideMark/>
          </w:tcPr>
          <w:p w:rsidR="00D01348" w:rsidRPr="00A67120" w:rsidRDefault="00D01348" w:rsidP="00D01348">
            <w:pPr>
              <w:spacing w:before="0" w:after="0"/>
              <w:jc w:val="center"/>
              <w:rPr>
                <w:rFonts w:eastAsia="Times New Roman" w:cs="Times New Roman"/>
                <w:color w:val="000000"/>
                <w:sz w:val="16"/>
                <w:szCs w:val="16"/>
              </w:rPr>
            </w:pPr>
            <w:r>
              <w:rPr>
                <w:rFonts w:eastAsia="Times New Roman" w:cs="Times New Roman"/>
                <w:color w:val="000000"/>
                <w:sz w:val="16"/>
                <w:szCs w:val="16"/>
              </w:rPr>
              <w:t>Uncontrolled CT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IHNT and </w:t>
            </w:r>
            <w:r w:rsidR="004F40E5">
              <w:rPr>
                <w:rFonts w:eastAsia="Times New Roman" w:cs="Times New Roman"/>
                <w:color w:val="000000"/>
                <w:sz w:val="16"/>
                <w:szCs w:val="16"/>
              </w:rPr>
              <w:t>CHT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3 phases of training for  3 weeks: 2 weeks  normal air and </w:t>
            </w:r>
            <w:proofErr w:type="spellStart"/>
            <w:r w:rsidRPr="00A67120">
              <w:rPr>
                <w:rFonts w:eastAsia="Times New Roman" w:cs="Times New Roman"/>
                <w:color w:val="000000"/>
                <w:sz w:val="16"/>
                <w:szCs w:val="16"/>
              </w:rPr>
              <w:t>normoxia</w:t>
            </w:r>
            <w:proofErr w:type="spellEnd"/>
            <w:r w:rsidRPr="00A67120">
              <w:rPr>
                <w:rFonts w:eastAsia="Times New Roman" w:cs="Times New Roman"/>
                <w:color w:val="000000"/>
                <w:sz w:val="16"/>
                <w:szCs w:val="16"/>
              </w:rPr>
              <w:t>,</w:t>
            </w:r>
          </w:p>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5 </w:t>
            </w:r>
            <w:proofErr w:type="gramStart"/>
            <w:r w:rsidRPr="00A67120">
              <w:rPr>
                <w:rFonts w:eastAsia="Times New Roman" w:cs="Times New Roman"/>
                <w:color w:val="000000"/>
                <w:sz w:val="16"/>
                <w:szCs w:val="16"/>
              </w:rPr>
              <w:t>days  intermittent</w:t>
            </w:r>
            <w:proofErr w:type="gramEnd"/>
            <w:r w:rsidRPr="00A67120">
              <w:rPr>
                <w:rFonts w:eastAsia="Times New Roman" w:cs="Times New Roman"/>
                <w:color w:val="000000"/>
                <w:sz w:val="16"/>
                <w:szCs w:val="16"/>
              </w:rPr>
              <w:t xml:space="preserve"> (IH) hypoxia  (SpO2 of 85% ) for 70 min . After a 5-month washout period, continuous hypoxia (CH) (SpO2= 85%, </w:t>
            </w:r>
            <w:r w:rsidRPr="00A67120">
              <w:rPr>
                <w:rFonts w:eastAsia="Times New Roman" w:cs="Times New Roman"/>
                <w:color w:val="000000"/>
                <w:sz w:val="16"/>
                <w:szCs w:val="16"/>
              </w:rPr>
              <w:lastRenderedPageBreak/>
              <w:t>for 70 min).</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 xml:space="preserve">5 </w:t>
            </w:r>
            <w:proofErr w:type="gramStart"/>
            <w:r w:rsidRPr="00A67120">
              <w:rPr>
                <w:rFonts w:eastAsia="Times New Roman" w:cs="Times New Roman"/>
                <w:color w:val="000000"/>
                <w:sz w:val="16"/>
                <w:szCs w:val="16"/>
              </w:rPr>
              <w:t>days  room</w:t>
            </w:r>
            <w:proofErr w:type="gramEnd"/>
            <w:r w:rsidRPr="00A67120">
              <w:rPr>
                <w:rFonts w:eastAsia="Times New Roman" w:cs="Times New Roman"/>
                <w:color w:val="000000"/>
                <w:sz w:val="16"/>
                <w:szCs w:val="16"/>
              </w:rPr>
              <w:t xml:space="preserve"> air without a mask </w:t>
            </w:r>
            <w:proofErr w:type="spellStart"/>
            <w:r w:rsidRPr="00A67120">
              <w:rPr>
                <w:rFonts w:eastAsia="Times New Roman" w:cs="Times New Roman"/>
                <w:color w:val="000000"/>
                <w:sz w:val="16"/>
                <w:szCs w:val="16"/>
              </w:rPr>
              <w:t>forllowed</w:t>
            </w:r>
            <w:proofErr w:type="spellEnd"/>
            <w:r w:rsidRPr="00A67120">
              <w:rPr>
                <w:rFonts w:eastAsia="Times New Roman" w:cs="Times New Roman"/>
                <w:color w:val="000000"/>
                <w:sz w:val="16"/>
                <w:szCs w:val="16"/>
              </w:rPr>
              <w:t xml:space="preserve"> by 5 days sham (FiO2=21) with mask.</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t>Saliava</w:t>
            </w:r>
            <w:proofErr w:type="spellEnd"/>
            <w:r w:rsidRPr="00A67120">
              <w:rPr>
                <w:rFonts w:eastAsia="Times New Roman" w:cs="Times New Roman"/>
                <w:color w:val="000000"/>
                <w:sz w:val="16"/>
                <w:szCs w:val="16"/>
              </w:rPr>
              <w:t xml:space="preserve"> for S</w:t>
            </w:r>
            <w:r w:rsidRPr="00A67120">
              <w:rPr>
                <w:rFonts w:eastAsia="Times New Roman" w:cs="Times New Roman"/>
                <w:color w:val="000000"/>
                <w:sz w:val="16"/>
                <w:szCs w:val="16"/>
              </w:rPr>
              <w:noBreakHyphen/>
              <w:t>IgA and cortisol and Blood for all other markers</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RBC count, </w:t>
            </w:r>
            <w:proofErr w:type="spellStart"/>
            <w:r w:rsidRPr="00A67120">
              <w:rPr>
                <w:rFonts w:eastAsia="Times New Roman" w:cs="Times New Roman"/>
                <w:color w:val="000000"/>
                <w:sz w:val="16"/>
                <w:szCs w:val="16"/>
              </w:rPr>
              <w:t>Hgb</w:t>
            </w:r>
            <w:proofErr w:type="spellEnd"/>
            <w:r w:rsidRPr="00A67120">
              <w:rPr>
                <w:rFonts w:eastAsia="Times New Roman" w:cs="Times New Roman"/>
                <w:color w:val="000000"/>
                <w:sz w:val="16"/>
                <w:szCs w:val="16"/>
              </w:rPr>
              <w:t xml:space="preserve">  </w:t>
            </w:r>
            <w:proofErr w:type="spellStart"/>
            <w:r w:rsidRPr="00A67120">
              <w:rPr>
                <w:rFonts w:eastAsia="Times New Roman" w:cs="Times New Roman"/>
                <w:color w:val="000000"/>
                <w:sz w:val="16"/>
                <w:szCs w:val="16"/>
              </w:rPr>
              <w:t>Hct</w:t>
            </w:r>
            <w:proofErr w:type="spellEnd"/>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Beckman Coulter® </w:t>
            </w:r>
            <w:proofErr w:type="spellStart"/>
            <w:r w:rsidRPr="00A67120">
              <w:rPr>
                <w:rFonts w:eastAsia="Times New Roman" w:cs="Times New Roman"/>
                <w:color w:val="000000"/>
                <w:sz w:val="16"/>
                <w:szCs w:val="16"/>
              </w:rPr>
              <w:t>Ac·T</w:t>
            </w:r>
            <w:proofErr w:type="spellEnd"/>
            <w:r w:rsidRPr="00A67120">
              <w:rPr>
                <w:rFonts w:eastAsia="Times New Roman" w:cs="Times New Roman"/>
                <w:color w:val="000000"/>
                <w:sz w:val="16"/>
                <w:szCs w:val="16"/>
              </w:rPr>
              <w:t xml:space="preserve"> diff™ Analyzer</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RBC, and </w:t>
            </w:r>
            <w:proofErr w:type="spellStart"/>
            <w:r w:rsidRPr="00A67120">
              <w:rPr>
                <w:rFonts w:eastAsia="Times New Roman" w:cs="Times New Roman"/>
                <w:color w:val="000000"/>
                <w:sz w:val="16"/>
                <w:szCs w:val="16"/>
              </w:rPr>
              <w:t>Hgb</w:t>
            </w:r>
            <w:proofErr w:type="spellEnd"/>
            <w:r w:rsidRPr="00A67120">
              <w:rPr>
                <w:rFonts w:eastAsia="Times New Roman" w:cs="Times New Roman"/>
                <w:color w:val="000000"/>
                <w:sz w:val="16"/>
                <w:szCs w:val="16"/>
              </w:rPr>
              <w:t xml:space="preserve"> only increased by day 5 of IH treatment compared to day 5 baseline values and  day 5 sham values.  </w:t>
            </w:r>
            <w:proofErr w:type="spellStart"/>
            <w:r w:rsidRPr="00A67120">
              <w:rPr>
                <w:rFonts w:eastAsia="Times New Roman" w:cs="Times New Roman"/>
                <w:color w:val="000000"/>
                <w:sz w:val="16"/>
                <w:szCs w:val="16"/>
              </w:rPr>
              <w:t>Hct</w:t>
            </w:r>
            <w:proofErr w:type="spellEnd"/>
            <w:r w:rsidRPr="00A67120">
              <w:rPr>
                <w:rFonts w:eastAsia="Times New Roman" w:cs="Times New Roman"/>
                <w:color w:val="000000"/>
                <w:sz w:val="16"/>
                <w:szCs w:val="16"/>
              </w:rPr>
              <w:t xml:space="preserve"> did not change in either Sham-IH or Sham-CH regardless of the baseline values.</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These results revealed that inherent differences in the IH and CH hypoxic patterns could provide crucial components required to trigger hematological changes in senior individuals, without eliciting </w:t>
            </w:r>
            <w:r w:rsidRPr="00A67120">
              <w:rPr>
                <w:rFonts w:eastAsia="Times New Roman" w:cs="Times New Roman"/>
                <w:color w:val="000000"/>
                <w:sz w:val="16"/>
                <w:szCs w:val="16"/>
              </w:rPr>
              <w:lastRenderedPageBreak/>
              <w:t>immunological stress responses or damaging the myocardium.</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safe</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442"/>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percentage of reticulocytes (% Retics),</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BD </w:t>
            </w:r>
            <w:proofErr w:type="spellStart"/>
            <w:r w:rsidRPr="00A67120">
              <w:rPr>
                <w:rFonts w:eastAsia="Times New Roman" w:cs="Times New Roman"/>
                <w:color w:val="000000"/>
                <w:sz w:val="16"/>
                <w:szCs w:val="16"/>
              </w:rPr>
              <w:t>FACSCalibur</w:t>
            </w:r>
            <w:proofErr w:type="spellEnd"/>
            <w:r w:rsidRPr="00A67120">
              <w:rPr>
                <w:rFonts w:eastAsia="Times New Roman" w:cs="Times New Roman"/>
                <w:color w:val="000000"/>
                <w:sz w:val="16"/>
                <w:szCs w:val="16"/>
              </w:rPr>
              <w:t xml:space="preserve"> ™ Flow Cytometry</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Retics did not change in either Sham-IH or Sham-</w:t>
            </w:r>
            <w:r w:rsidRPr="00A67120">
              <w:rPr>
                <w:rFonts w:eastAsia="Times New Roman" w:cs="Times New Roman"/>
                <w:color w:val="000000"/>
                <w:sz w:val="16"/>
                <w:szCs w:val="16"/>
              </w:rPr>
              <w:br/>
              <w:t xml:space="preserve">CH regardless of the baseline </w:t>
            </w:r>
            <w:proofErr w:type="gramStart"/>
            <w:r w:rsidRPr="00A67120">
              <w:rPr>
                <w:rFonts w:eastAsia="Times New Roman" w:cs="Times New Roman"/>
                <w:color w:val="000000"/>
                <w:sz w:val="16"/>
                <w:szCs w:val="16"/>
              </w:rPr>
              <w:t>values .</w:t>
            </w:r>
            <w:proofErr w:type="gramEnd"/>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274"/>
        </w:trPr>
        <w:tc>
          <w:tcPr>
            <w:tcW w:w="846" w:type="dxa"/>
            <w:vMerge/>
            <w:tcBorders>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 OFF-score</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OFF</w:t>
            </w:r>
            <w:r w:rsidRPr="00A67120">
              <w:rPr>
                <w:rFonts w:eastAsia="Times New Roman" w:cs="Times New Roman"/>
                <w:color w:val="000000"/>
                <w:sz w:val="16"/>
                <w:szCs w:val="16"/>
              </w:rPr>
              <w:noBreakHyphen/>
              <w:t>score= [</w:t>
            </w:r>
            <w:proofErr w:type="spellStart"/>
            <w:r w:rsidRPr="00A67120">
              <w:rPr>
                <w:rFonts w:eastAsia="Times New Roman" w:cs="Times New Roman"/>
                <w:color w:val="000000"/>
                <w:sz w:val="16"/>
                <w:szCs w:val="16"/>
              </w:rPr>
              <w:t>Hb</w:t>
            </w:r>
            <w:proofErr w:type="spellEnd"/>
            <w:r w:rsidRPr="00A67120">
              <w:rPr>
                <w:rFonts w:eastAsia="Times New Roman" w:cs="Times New Roman"/>
                <w:color w:val="000000"/>
                <w:sz w:val="16"/>
                <w:szCs w:val="16"/>
              </w:rPr>
              <w:t xml:space="preserve">] </w:t>
            </w:r>
            <w:r w:rsidRPr="00A67120">
              <w:rPr>
                <w:rFonts w:ascii="Cambria Math" w:eastAsia="Times New Roman" w:hAnsi="Cambria Math" w:cs="Cambria Math"/>
                <w:color w:val="000000"/>
                <w:sz w:val="16"/>
                <w:szCs w:val="16"/>
              </w:rPr>
              <w:t>⋅</w:t>
            </w:r>
            <w:r w:rsidRPr="00A67120">
              <w:rPr>
                <w:rFonts w:eastAsia="Times New Roman" w:cs="Times New Roman"/>
                <w:color w:val="000000"/>
                <w:sz w:val="16"/>
                <w:szCs w:val="16"/>
              </w:rPr>
              <w:t xml:space="preserve"> 10 − 60</w:t>
            </w:r>
            <w:r w:rsidRPr="00A67120">
              <w:rPr>
                <w:rFonts w:ascii="Cambria Math" w:eastAsia="Times New Roman" w:hAnsi="Cambria Math" w:cs="Cambria Math"/>
                <w:color w:val="000000"/>
                <w:sz w:val="16"/>
                <w:szCs w:val="16"/>
              </w:rPr>
              <w:t>⋅</w:t>
            </w:r>
            <w:r w:rsidRPr="00A67120">
              <w:rPr>
                <w:rFonts w:eastAsia="Times New Roman" w:cs="Times New Roman"/>
                <w:color w:val="000000"/>
                <w:sz w:val="16"/>
                <w:szCs w:val="16"/>
              </w:rPr>
              <w:t>√%Retics</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OFF-score value increased only during the final day of IH treatment.</w:t>
            </w:r>
          </w:p>
        </w:tc>
        <w:tc>
          <w:tcPr>
            <w:tcW w:w="1133"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1096"/>
        </w:trPr>
        <w:tc>
          <w:tcPr>
            <w:tcW w:w="846" w:type="dxa"/>
            <w:vMerge/>
            <w:tcBorders>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8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2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6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S-IgA, cortisol, and  </w:t>
            </w:r>
            <w:proofErr w:type="spellStart"/>
            <w:r w:rsidRPr="00A67120">
              <w:rPr>
                <w:rFonts w:eastAsia="Times New Roman" w:cs="Times New Roman"/>
                <w:color w:val="000000"/>
                <w:sz w:val="16"/>
                <w:szCs w:val="16"/>
              </w:rPr>
              <w:t>cTnT</w:t>
            </w:r>
            <w:proofErr w:type="spellEnd"/>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w:t>
            </w:r>
            <w:r w:rsidRPr="00A67120">
              <w:rPr>
                <w:rFonts w:eastAsia="Times New Roman" w:cs="Times New Roman"/>
                <w:color w:val="000000"/>
                <w:sz w:val="16"/>
                <w:szCs w:val="16"/>
              </w:rPr>
              <w:noBreakHyphen/>
              <w:t xml:space="preserve">IgA and cortisol by indirect competitive immunoassay and direct competitive </w:t>
            </w:r>
            <w:proofErr w:type="spellStart"/>
            <w:r w:rsidRPr="00A67120">
              <w:rPr>
                <w:rFonts w:eastAsia="Times New Roman" w:cs="Times New Roman"/>
                <w:color w:val="000000"/>
                <w:sz w:val="16"/>
                <w:szCs w:val="16"/>
              </w:rPr>
              <w:t>immunoassay</w:t>
            </w:r>
            <w:proofErr w:type="gramStart"/>
            <w:r w:rsidRPr="00A67120">
              <w:rPr>
                <w:rFonts w:eastAsia="Times New Roman" w:cs="Times New Roman"/>
                <w:color w:val="000000"/>
                <w:sz w:val="16"/>
                <w:szCs w:val="16"/>
              </w:rPr>
              <w:t>,respectively</w:t>
            </w:r>
            <w:proofErr w:type="spellEnd"/>
            <w:proofErr w:type="gramEnd"/>
            <w:r w:rsidRPr="00A67120">
              <w:rPr>
                <w:rFonts w:eastAsia="Times New Roman" w:cs="Times New Roman"/>
                <w:color w:val="000000"/>
                <w:sz w:val="16"/>
                <w:szCs w:val="16"/>
              </w:rPr>
              <w:t xml:space="preserve">. </w:t>
            </w:r>
            <w:proofErr w:type="spellStart"/>
            <w:proofErr w:type="gramStart"/>
            <w:r w:rsidRPr="00A67120">
              <w:rPr>
                <w:rFonts w:eastAsia="Times New Roman" w:cs="Times New Roman"/>
                <w:color w:val="000000"/>
                <w:sz w:val="16"/>
                <w:szCs w:val="16"/>
              </w:rPr>
              <w:t>cTnT</w:t>
            </w:r>
            <w:proofErr w:type="spellEnd"/>
            <w:proofErr w:type="gramEnd"/>
            <w:r w:rsidRPr="00A67120">
              <w:rPr>
                <w:rFonts w:eastAsia="Times New Roman" w:cs="Times New Roman"/>
                <w:color w:val="000000"/>
                <w:sz w:val="16"/>
                <w:szCs w:val="16"/>
              </w:rPr>
              <w:t xml:space="preserve"> by </w:t>
            </w:r>
            <w:proofErr w:type="spellStart"/>
            <w:r w:rsidRPr="00A67120">
              <w:rPr>
                <w:rFonts w:eastAsia="Times New Roman" w:cs="Times New Roman"/>
                <w:color w:val="000000"/>
                <w:sz w:val="16"/>
                <w:szCs w:val="16"/>
              </w:rPr>
              <w:t>Cobas</w:t>
            </w:r>
            <w:proofErr w:type="spellEnd"/>
            <w:r w:rsidRPr="00A67120">
              <w:rPr>
                <w:rFonts w:eastAsia="Times New Roman" w:cs="Times New Roman"/>
                <w:color w:val="000000"/>
                <w:sz w:val="16"/>
                <w:szCs w:val="16"/>
              </w:rPr>
              <w:t xml:space="preserve"> ® Troponin T STAT kit.</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No difference was observed in S-IgA, cortisol or </w:t>
            </w:r>
            <w:proofErr w:type="spellStart"/>
            <w:r w:rsidRPr="00A67120">
              <w:rPr>
                <w:rFonts w:eastAsia="Times New Roman" w:cs="Times New Roman"/>
                <w:color w:val="000000"/>
                <w:sz w:val="16"/>
                <w:szCs w:val="16"/>
              </w:rPr>
              <w:t>cTnT</w:t>
            </w:r>
            <w:proofErr w:type="spellEnd"/>
            <w:r w:rsidRPr="00A67120">
              <w:rPr>
                <w:rFonts w:eastAsia="Times New Roman" w:cs="Times New Roman"/>
                <w:color w:val="000000"/>
                <w:sz w:val="16"/>
                <w:szCs w:val="16"/>
              </w:rPr>
              <w:t xml:space="preserve"> following IH or CH.</w:t>
            </w:r>
          </w:p>
        </w:tc>
        <w:tc>
          <w:tcPr>
            <w:tcW w:w="1133"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tc>
      </w:tr>
      <w:tr w:rsidR="00F71A16" w:rsidRPr="00A67120" w:rsidTr="009645A2">
        <w:trPr>
          <w:trHeight w:val="259"/>
        </w:trPr>
        <w:tc>
          <w:tcPr>
            <w:tcW w:w="846" w:type="dxa"/>
            <w:tcBorders>
              <w:top w:val="nil"/>
              <w:left w:val="single" w:sz="4" w:space="0" w:color="auto"/>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roofErr w:type="spellStart"/>
            <w:r w:rsidRPr="00A67120">
              <w:rPr>
                <w:rFonts w:eastAsia="Times New Roman" w:cs="Times New Roman"/>
                <w:color w:val="000000"/>
                <w:sz w:val="16"/>
                <w:szCs w:val="16"/>
              </w:rPr>
              <w:lastRenderedPageBreak/>
              <w:t>Törpel</w:t>
            </w:r>
            <w:proofErr w:type="spellEnd"/>
            <w:r w:rsidRPr="00A67120">
              <w:rPr>
                <w:rFonts w:eastAsia="Times New Roman" w:cs="Times New Roman"/>
                <w:color w:val="000000"/>
                <w:sz w:val="16"/>
                <w:szCs w:val="16"/>
              </w:rPr>
              <w:t xml:space="preserve"> et al., 2018</w:t>
            </w:r>
          </w:p>
        </w:tc>
        <w:tc>
          <w:tcPr>
            <w:tcW w:w="709" w:type="dxa"/>
            <w:tcBorders>
              <w:top w:val="nil"/>
              <w:left w:val="nil"/>
              <w:bottom w:val="single" w:sz="4" w:space="0" w:color="auto"/>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Germany</w:t>
            </w:r>
          </w:p>
        </w:tc>
        <w:tc>
          <w:tcPr>
            <w:tcW w:w="68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Healthy</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18-35 (young) and 60-75  (old)</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59</w:t>
            </w:r>
          </w:p>
        </w:tc>
        <w:tc>
          <w:tcPr>
            <w:tcW w:w="53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64</w:t>
            </w:r>
          </w:p>
        </w:tc>
        <w:tc>
          <w:tcPr>
            <w:tcW w:w="12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 investigate the dose–response relationship regarding the duration of hypoxia until an EPO expression and the amount of EPO expression in old vs. young cohorts.</w:t>
            </w:r>
          </w:p>
        </w:tc>
        <w:tc>
          <w:tcPr>
            <w:tcW w:w="66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tc>
        <w:tc>
          <w:tcPr>
            <w:tcW w:w="62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tc>
        <w:tc>
          <w:tcPr>
            <w:tcW w:w="117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The intensity of hypoxia was adjusted for 3 h with </w:t>
            </w:r>
            <w:proofErr w:type="gramStart"/>
            <w:r w:rsidRPr="00A67120">
              <w:rPr>
                <w:rFonts w:eastAsia="Times New Roman" w:cs="Times New Roman"/>
                <w:color w:val="000000"/>
                <w:sz w:val="16"/>
                <w:szCs w:val="16"/>
              </w:rPr>
              <w:t>two  approaches</w:t>
            </w:r>
            <w:proofErr w:type="gramEnd"/>
            <w:r w:rsidRPr="00A67120">
              <w:rPr>
                <w:rFonts w:eastAsia="Times New Roman" w:cs="Times New Roman"/>
                <w:color w:val="000000"/>
                <w:sz w:val="16"/>
                <w:szCs w:val="16"/>
              </w:rPr>
              <w:t>: 1)  FiO2 13.5% (H-</w:t>
            </w:r>
            <w:proofErr w:type="spellStart"/>
            <w:r w:rsidRPr="00A67120">
              <w:rPr>
                <w:rFonts w:eastAsia="Times New Roman" w:cs="Times New Roman"/>
                <w:color w:val="000000"/>
                <w:sz w:val="16"/>
                <w:szCs w:val="16"/>
              </w:rPr>
              <w:t>ext</w:t>
            </w:r>
            <w:proofErr w:type="spellEnd"/>
            <w:r w:rsidRPr="00A67120">
              <w:rPr>
                <w:rFonts w:eastAsia="Times New Roman" w:cs="Times New Roman"/>
                <w:color w:val="000000"/>
                <w:sz w:val="16"/>
                <w:szCs w:val="16"/>
              </w:rPr>
              <w:t>),  and 2) the FiO2 (H-</w:t>
            </w:r>
            <w:proofErr w:type="spellStart"/>
            <w:r w:rsidRPr="00A67120">
              <w:rPr>
                <w:rFonts w:eastAsia="Times New Roman" w:cs="Times New Roman"/>
                <w:color w:val="000000"/>
                <w:sz w:val="16"/>
                <w:szCs w:val="16"/>
              </w:rPr>
              <w:t>int</w:t>
            </w:r>
            <w:proofErr w:type="spellEnd"/>
            <w:r w:rsidRPr="00A67120">
              <w:rPr>
                <w:rFonts w:eastAsia="Times New Roman" w:cs="Times New Roman"/>
                <w:color w:val="000000"/>
                <w:sz w:val="16"/>
                <w:szCs w:val="16"/>
              </w:rPr>
              <w:t>) was individually adjusted to an SaO2 of the blood of 80%.</w:t>
            </w:r>
          </w:p>
        </w:tc>
        <w:tc>
          <w:tcPr>
            <w:tcW w:w="708"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 placebo air (FiO2 21%).</w:t>
            </w:r>
          </w:p>
        </w:tc>
        <w:tc>
          <w:tcPr>
            <w:tcW w:w="536"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Kidney</w:t>
            </w:r>
          </w:p>
        </w:tc>
        <w:tc>
          <w:tcPr>
            <w:tcW w:w="622"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Blood (serum)</w:t>
            </w: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EPO</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two-side sandwich enzyme-enhanced chemiluminescent immunoassay method (CLIA)</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EPO increased significantly after 180 min in both cohorts (young and old) and in both investigations (H-</w:t>
            </w:r>
            <w:proofErr w:type="spellStart"/>
            <w:r w:rsidRPr="00A67120">
              <w:rPr>
                <w:rFonts w:eastAsia="Times New Roman" w:cs="Times New Roman"/>
                <w:color w:val="000000"/>
                <w:sz w:val="16"/>
                <w:szCs w:val="16"/>
              </w:rPr>
              <w:t>ext</w:t>
            </w:r>
            <w:proofErr w:type="spellEnd"/>
            <w:r w:rsidRPr="00A67120">
              <w:rPr>
                <w:rFonts w:eastAsia="Times New Roman" w:cs="Times New Roman"/>
                <w:color w:val="000000"/>
                <w:sz w:val="16"/>
                <w:szCs w:val="16"/>
              </w:rPr>
              <w:t xml:space="preserve"> and H-</w:t>
            </w:r>
            <w:proofErr w:type="spellStart"/>
            <w:proofErr w:type="gramStart"/>
            <w:r w:rsidRPr="00A67120">
              <w:rPr>
                <w:rFonts w:eastAsia="Times New Roman" w:cs="Times New Roman"/>
                <w:color w:val="000000"/>
                <w:sz w:val="16"/>
                <w:szCs w:val="16"/>
              </w:rPr>
              <w:t>int</w:t>
            </w:r>
            <w:proofErr w:type="spellEnd"/>
            <w:r w:rsidRPr="00A67120">
              <w:rPr>
                <w:rFonts w:eastAsia="Times New Roman" w:cs="Times New Roman"/>
                <w:color w:val="000000"/>
                <w:sz w:val="16"/>
                <w:szCs w:val="16"/>
              </w:rPr>
              <w:t xml:space="preserve"> )</w:t>
            </w:r>
            <w:proofErr w:type="gramEnd"/>
            <w:r w:rsidRPr="00A67120">
              <w:rPr>
                <w:rFonts w:eastAsia="Times New Roman" w:cs="Times New Roman"/>
                <w:color w:val="000000"/>
                <w:sz w:val="16"/>
                <w:szCs w:val="16"/>
              </w:rPr>
              <w:t>.</w:t>
            </w:r>
          </w:p>
        </w:tc>
        <w:tc>
          <w:tcPr>
            <w:tcW w:w="1133"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After 180 min hypoxia, EPO increases significantly in both age cohorts. The amount of EPO expression is significantly higher in young people during the same internal intensity of hypoxia than in old people.</w:t>
            </w:r>
          </w:p>
        </w:tc>
        <w:tc>
          <w:tcPr>
            <w:tcW w:w="727"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safe</w:t>
            </w:r>
          </w:p>
        </w:tc>
      </w:tr>
      <w:tr w:rsidR="00F71A16" w:rsidRPr="00A67120" w:rsidTr="009645A2">
        <w:trPr>
          <w:trHeight w:val="494"/>
        </w:trPr>
        <w:tc>
          <w:tcPr>
            <w:tcW w:w="846" w:type="dxa"/>
            <w:vMerge w:val="restart"/>
            <w:tcBorders>
              <w:top w:val="nil"/>
              <w:left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Zhang et al., 2019</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sz w:val="16"/>
                <w:szCs w:val="16"/>
              </w:rPr>
            </w:pPr>
            <w:r w:rsidRPr="00A67120">
              <w:rPr>
                <w:rFonts w:eastAsia="Times New Roman" w:cs="Times New Roman"/>
                <w:sz w:val="16"/>
                <w:szCs w:val="16"/>
              </w:rPr>
              <w:t>China</w:t>
            </w:r>
          </w:p>
          <w:p w:rsidR="00F71A16" w:rsidRPr="00A67120" w:rsidRDefault="00F71A16" w:rsidP="00F71A16">
            <w:pPr>
              <w:spacing w:before="0" w:after="0"/>
              <w:jc w:val="center"/>
              <w:rPr>
                <w:rFonts w:eastAsia="Times New Roman" w:cs="Times New Roman"/>
                <w:sz w:val="16"/>
                <w:szCs w:val="16"/>
              </w:rPr>
            </w:pPr>
          </w:p>
          <w:p w:rsidR="00F71A16" w:rsidRPr="00A67120" w:rsidRDefault="00F71A16" w:rsidP="00F71A16">
            <w:pPr>
              <w:spacing w:before="0" w:after="0"/>
              <w:jc w:val="center"/>
              <w:rPr>
                <w:rFonts w:eastAsia="Times New Roman" w:cs="Times New Roman"/>
                <w:sz w:val="16"/>
                <w:szCs w:val="16"/>
              </w:rPr>
            </w:pPr>
          </w:p>
        </w:tc>
        <w:tc>
          <w:tcPr>
            <w:tcW w:w="68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Lung cancer</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Mean 62 (HPC), 63 (control)</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35</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noWrap/>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35</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2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To test the effect of hypoxic preconditioning (HPC) before surgery in patients with lung cancer.</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6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RCT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IHNT</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1179"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FiO2 was initially set at 60%, and in cases of saturation of pulse oxygenation (SpO2) less than 92%, FiO2 was increased to 100%. Three cycles of 5-min hypoxia and 3-min ventilation applied to the nondependent lung served as the HPC </w:t>
            </w:r>
            <w:r w:rsidRPr="00A67120">
              <w:rPr>
                <w:rFonts w:eastAsia="Times New Roman" w:cs="Times New Roman"/>
                <w:color w:val="000000"/>
                <w:sz w:val="16"/>
                <w:szCs w:val="16"/>
              </w:rPr>
              <w:lastRenderedPageBreak/>
              <w:t>intervention.</w:t>
            </w:r>
          </w:p>
        </w:tc>
        <w:tc>
          <w:tcPr>
            <w:tcW w:w="708"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patients received two-lung ventilation</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536"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lung</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622"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NA</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PaO2/FiO2 ratio, and  pulmonary function</w:t>
            </w:r>
          </w:p>
        </w:tc>
        <w:tc>
          <w:tcPr>
            <w:tcW w:w="1019"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pulmonary function of forced vital capacity (FVC) and forced expiratory volume in 1 s (FEV1) by spirometer</w:t>
            </w:r>
          </w:p>
        </w:tc>
        <w:tc>
          <w:tcPr>
            <w:tcW w:w="1774" w:type="dxa"/>
            <w:tcBorders>
              <w:top w:val="nil"/>
              <w:left w:val="nil"/>
              <w:bottom w:val="single" w:sz="4" w:space="0" w:color="auto"/>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HPC significantly increased the PaO2/FiO2 ratio compared with the control at 30 min after one-lung</w:t>
            </w:r>
            <w:r w:rsidRPr="00A67120">
              <w:rPr>
                <w:rFonts w:eastAsia="Times New Roman" w:cs="Times New Roman"/>
                <w:color w:val="000000"/>
                <w:sz w:val="16"/>
                <w:szCs w:val="16"/>
              </w:rPr>
              <w:br/>
              <w:t>ventilation and 7 days after operation. Compared with the control, it also significantly improved postoperative pulmonary function</w:t>
            </w:r>
          </w:p>
        </w:tc>
        <w:tc>
          <w:tcPr>
            <w:tcW w:w="1133"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HPC improves postoperative oxygenation, enhances the recovery of pulmonary function, and reduces the duration of hospital stay in patients undergoing </w:t>
            </w:r>
            <w:proofErr w:type="spellStart"/>
            <w:r w:rsidRPr="00A67120">
              <w:rPr>
                <w:rFonts w:eastAsia="Times New Roman" w:cs="Times New Roman"/>
                <w:color w:val="000000"/>
                <w:sz w:val="16"/>
                <w:szCs w:val="16"/>
              </w:rPr>
              <w:t>thoracoscopic</w:t>
            </w:r>
            <w:proofErr w:type="spellEnd"/>
            <w:r w:rsidRPr="00A67120">
              <w:rPr>
                <w:rFonts w:eastAsia="Times New Roman" w:cs="Times New Roman"/>
                <w:color w:val="000000"/>
                <w:sz w:val="16"/>
                <w:szCs w:val="16"/>
              </w:rPr>
              <w:t xml:space="preserve"> lobectomy.</w:t>
            </w: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c>
          <w:tcPr>
            <w:tcW w:w="727" w:type="dxa"/>
            <w:vMerge w:val="restart"/>
            <w:tcBorders>
              <w:top w:val="nil"/>
              <w:left w:val="nil"/>
              <w:right w:val="single" w:sz="4" w:space="0" w:color="auto"/>
            </w:tcBorders>
            <w:shd w:val="clear" w:color="auto" w:fill="auto"/>
            <w:vAlign w:val="center"/>
            <w:hideMark/>
          </w:tcPr>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p w:rsidR="00F71A16" w:rsidRPr="00A67120" w:rsidRDefault="00F71A16" w:rsidP="00F71A16">
            <w:pPr>
              <w:spacing w:before="0" w:after="0"/>
              <w:jc w:val="center"/>
              <w:rPr>
                <w:rFonts w:eastAsia="Times New Roman" w:cs="Times New Roman"/>
                <w:color w:val="000000"/>
                <w:sz w:val="16"/>
                <w:szCs w:val="16"/>
              </w:rPr>
            </w:pPr>
          </w:p>
        </w:tc>
      </w:tr>
      <w:tr w:rsidR="008043C4" w:rsidRPr="00A67120" w:rsidTr="009645A2">
        <w:trPr>
          <w:trHeight w:val="649"/>
        </w:trPr>
        <w:tc>
          <w:tcPr>
            <w:tcW w:w="846" w:type="dxa"/>
            <w:vMerge/>
            <w:tcBorders>
              <w:left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82"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1222" w:type="dxa"/>
            <w:vMerge/>
            <w:tcBorders>
              <w:left w:val="nil"/>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63"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6"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1179"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536"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postoperative pulmonary complications</w:t>
            </w:r>
          </w:p>
        </w:tc>
        <w:tc>
          <w:tcPr>
            <w:tcW w:w="1019"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 xml:space="preserve">Postoperative pulmonary complications (pneumonia, atelectasis, </w:t>
            </w:r>
            <w:r w:rsidRPr="00A67120">
              <w:rPr>
                <w:rFonts w:eastAsia="Times New Roman" w:cs="Times New Roman"/>
                <w:color w:val="000000"/>
                <w:sz w:val="16"/>
                <w:szCs w:val="16"/>
              </w:rPr>
              <w:lastRenderedPageBreak/>
              <w:t>pleural effusions, and prolonged air leak &gt; 7 days).</w:t>
            </w:r>
          </w:p>
        </w:tc>
        <w:tc>
          <w:tcPr>
            <w:tcW w:w="1774"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lastRenderedPageBreak/>
              <w:t xml:space="preserve">No significant differences between groups were observed in the incidence of pulmonary complications or overall postoperative </w:t>
            </w:r>
            <w:r w:rsidRPr="00A67120">
              <w:rPr>
                <w:rFonts w:eastAsia="Times New Roman" w:cs="Times New Roman"/>
                <w:color w:val="000000"/>
                <w:sz w:val="16"/>
                <w:szCs w:val="16"/>
              </w:rPr>
              <w:lastRenderedPageBreak/>
              <w:t>morbidity.</w:t>
            </w:r>
          </w:p>
        </w:tc>
        <w:tc>
          <w:tcPr>
            <w:tcW w:w="1133"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27" w:type="dxa"/>
            <w:vMerge/>
            <w:tcBorders>
              <w:left w:val="nil"/>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r>
      <w:tr w:rsidR="008043C4" w:rsidRPr="00A67120" w:rsidTr="009645A2">
        <w:trPr>
          <w:trHeight w:val="629"/>
        </w:trPr>
        <w:tc>
          <w:tcPr>
            <w:tcW w:w="846" w:type="dxa"/>
            <w:vMerge/>
            <w:tcBorders>
              <w:left w:val="single" w:sz="4" w:space="0" w:color="auto"/>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82"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1222" w:type="dxa"/>
            <w:vMerge/>
            <w:tcBorders>
              <w:left w:val="nil"/>
              <w:bottom w:val="single" w:sz="4" w:space="0" w:color="auto"/>
              <w:right w:val="single" w:sz="4" w:space="0" w:color="auto"/>
            </w:tcBorders>
            <w:shd w:val="clear" w:color="auto" w:fill="auto"/>
            <w:noWrap/>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63"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6"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1179"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536"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622"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94"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duration of hospital stay</w:t>
            </w:r>
          </w:p>
        </w:tc>
        <w:tc>
          <w:tcPr>
            <w:tcW w:w="1019"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The duration of hospital stay was counted from the day of</w:t>
            </w:r>
            <w:r w:rsidRPr="00A67120">
              <w:rPr>
                <w:rFonts w:eastAsia="Times New Roman" w:cs="Times New Roman"/>
                <w:color w:val="000000"/>
                <w:sz w:val="16"/>
                <w:szCs w:val="16"/>
              </w:rPr>
              <w:br/>
              <w:t>operation to the day of discharge.</w:t>
            </w:r>
          </w:p>
        </w:tc>
        <w:tc>
          <w:tcPr>
            <w:tcW w:w="1774" w:type="dxa"/>
            <w:tcBorders>
              <w:top w:val="nil"/>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r w:rsidRPr="00A67120">
              <w:rPr>
                <w:rFonts w:eastAsia="Times New Roman" w:cs="Times New Roman"/>
                <w:color w:val="000000"/>
                <w:sz w:val="16"/>
                <w:szCs w:val="16"/>
              </w:rPr>
              <w:t>Markedly reduced the postoperative hospital stay duration.</w:t>
            </w:r>
          </w:p>
        </w:tc>
        <w:tc>
          <w:tcPr>
            <w:tcW w:w="1133"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c>
          <w:tcPr>
            <w:tcW w:w="727" w:type="dxa"/>
            <w:vMerge/>
            <w:tcBorders>
              <w:left w:val="nil"/>
              <w:bottom w:val="single" w:sz="4" w:space="0" w:color="auto"/>
              <w:right w:val="single" w:sz="4" w:space="0" w:color="auto"/>
            </w:tcBorders>
            <w:shd w:val="clear" w:color="auto" w:fill="auto"/>
            <w:vAlign w:val="center"/>
            <w:hideMark/>
          </w:tcPr>
          <w:p w:rsidR="008043C4" w:rsidRPr="00A67120" w:rsidRDefault="008043C4" w:rsidP="009645A2">
            <w:pPr>
              <w:spacing w:before="0" w:after="0"/>
              <w:jc w:val="center"/>
              <w:rPr>
                <w:rFonts w:eastAsia="Times New Roman" w:cs="Times New Roman"/>
                <w:color w:val="000000"/>
                <w:sz w:val="16"/>
                <w:szCs w:val="16"/>
              </w:rPr>
            </w:pPr>
          </w:p>
        </w:tc>
      </w:tr>
    </w:tbl>
    <w:p w:rsidR="008043C4" w:rsidRPr="004A7504" w:rsidRDefault="008043C4" w:rsidP="008043C4">
      <w:pPr>
        <w:jc w:val="both"/>
        <w:rPr>
          <w:sz w:val="22"/>
        </w:rPr>
      </w:pPr>
      <w:r w:rsidRPr="004A7504">
        <w:rPr>
          <w:rFonts w:eastAsia="Times New Roman" w:cs="Times New Roman"/>
          <w:color w:val="000000"/>
          <w:sz w:val="22"/>
        </w:rPr>
        <w:t>IHNT= Intermittent hypoxia-</w:t>
      </w:r>
      <w:proofErr w:type="spellStart"/>
      <w:r w:rsidRPr="004A7504">
        <w:rPr>
          <w:rFonts w:eastAsia="Times New Roman" w:cs="Times New Roman"/>
          <w:color w:val="000000"/>
          <w:sz w:val="22"/>
        </w:rPr>
        <w:t>normoxia</w:t>
      </w:r>
      <w:proofErr w:type="spellEnd"/>
      <w:r w:rsidRPr="004A7504">
        <w:rPr>
          <w:rFonts w:eastAsia="Times New Roman" w:cs="Times New Roman"/>
          <w:color w:val="000000"/>
          <w:sz w:val="22"/>
        </w:rPr>
        <w:t xml:space="preserve"> training; IH=Intermittent hypoxia; RCT= Randomized controlled clinical trial; DHI=The Dizziness Handicap Inventory; ABC= Activities-specific Balance Confidence Scale; VVAS= Vertigo Visual Analog Scale; HDL= High- density lipoprotein; LDL= low-density lipoproteins; SBP=systolic blood pressure; DBP= diastolic blood pressure; RMSSD=[root mean square of successive R-R interval differences; DFAα1=short-term fractal scaling exponent; COPD=  chronic obstructive pulmonary diseases; SaO2= O2 saturation;</w:t>
      </w:r>
      <w:r w:rsidRPr="004A7504">
        <w:rPr>
          <w:rFonts w:eastAsia="Times New Roman" w:cs="Times New Roman"/>
          <w:sz w:val="22"/>
        </w:rPr>
        <w:t xml:space="preserve"> NOx =nitric oxide metabolites; HIF-1α= </w:t>
      </w:r>
      <w:r w:rsidRPr="004A7504">
        <w:rPr>
          <w:rFonts w:eastAsia="Times New Roman" w:cs="Times New Roman"/>
          <w:color w:val="000000"/>
          <w:sz w:val="22"/>
        </w:rPr>
        <w:t>Hypoxia-inducible factor-1alpha</w:t>
      </w:r>
      <w:r w:rsidRPr="004A7504">
        <w:rPr>
          <w:rFonts w:eastAsia="Times New Roman" w:cs="Times New Roman"/>
          <w:sz w:val="22"/>
        </w:rPr>
        <w:t xml:space="preserve">; </w:t>
      </w:r>
      <w:r w:rsidRPr="004A7504">
        <w:rPr>
          <w:rFonts w:eastAsia="Times New Roman" w:cs="Times New Roman"/>
          <w:color w:val="000000"/>
          <w:sz w:val="22"/>
        </w:rPr>
        <w:t xml:space="preserve">MDA= </w:t>
      </w:r>
      <w:proofErr w:type="spellStart"/>
      <w:r w:rsidRPr="004A7504">
        <w:rPr>
          <w:rFonts w:eastAsia="Times New Roman" w:cs="Times New Roman"/>
          <w:color w:val="000000"/>
          <w:sz w:val="22"/>
        </w:rPr>
        <w:t>Malondialdehyde</w:t>
      </w:r>
      <w:proofErr w:type="spellEnd"/>
      <w:r w:rsidRPr="004A7504">
        <w:rPr>
          <w:rFonts w:eastAsia="Times New Roman" w:cs="Times New Roman"/>
          <w:color w:val="000000"/>
          <w:sz w:val="22"/>
        </w:rPr>
        <w:t xml:space="preserve">: </w:t>
      </w:r>
      <w:proofErr w:type="spellStart"/>
      <w:r w:rsidRPr="004A7504">
        <w:rPr>
          <w:rFonts w:eastAsia="Times New Roman" w:cs="Times New Roman"/>
          <w:color w:val="000000"/>
          <w:sz w:val="22"/>
        </w:rPr>
        <w:t>QoL</w:t>
      </w:r>
      <w:proofErr w:type="spellEnd"/>
      <w:r w:rsidRPr="004A7504">
        <w:rPr>
          <w:rFonts w:eastAsia="Times New Roman" w:cs="Times New Roman"/>
          <w:color w:val="000000"/>
          <w:sz w:val="22"/>
        </w:rPr>
        <w:t xml:space="preserve">= Quality of life; SF-12=The Medical Outcomes Study Short-Form 36-Item Health Survey; PSQI= Pittsburgh Sleep Quality Index; BDNF=brain-derived </w:t>
      </w:r>
      <w:proofErr w:type="spellStart"/>
      <w:r w:rsidRPr="004A7504">
        <w:rPr>
          <w:rFonts w:eastAsia="Times New Roman" w:cs="Times New Roman"/>
          <w:color w:val="000000"/>
          <w:sz w:val="22"/>
        </w:rPr>
        <w:t>eurotrophic</w:t>
      </w:r>
      <w:proofErr w:type="spellEnd"/>
      <w:r w:rsidRPr="004A7504">
        <w:rPr>
          <w:rFonts w:eastAsia="Times New Roman" w:cs="Times New Roman"/>
          <w:color w:val="000000"/>
          <w:sz w:val="22"/>
        </w:rPr>
        <w:t xml:space="preserve"> factor; S-IgA= secretory immunoglobulin A; RBC= red blood cells; </w:t>
      </w:r>
      <w:proofErr w:type="spellStart"/>
      <w:r w:rsidRPr="004A7504">
        <w:rPr>
          <w:rFonts w:eastAsia="Times New Roman" w:cs="Times New Roman"/>
          <w:color w:val="000000"/>
          <w:sz w:val="22"/>
        </w:rPr>
        <w:t>Hgb</w:t>
      </w:r>
      <w:proofErr w:type="spellEnd"/>
      <w:r w:rsidRPr="004A7504">
        <w:rPr>
          <w:rFonts w:eastAsia="Times New Roman" w:cs="Times New Roman"/>
          <w:color w:val="000000"/>
          <w:sz w:val="22"/>
        </w:rPr>
        <w:t xml:space="preserve">=hemoglobin; </w:t>
      </w:r>
      <w:proofErr w:type="spellStart"/>
      <w:r w:rsidRPr="004A7504">
        <w:rPr>
          <w:rFonts w:eastAsia="Times New Roman" w:cs="Times New Roman"/>
          <w:color w:val="000000"/>
          <w:sz w:val="22"/>
        </w:rPr>
        <w:t>Hct</w:t>
      </w:r>
      <w:proofErr w:type="spellEnd"/>
      <w:r w:rsidRPr="004A7504">
        <w:rPr>
          <w:rFonts w:eastAsia="Times New Roman" w:cs="Times New Roman"/>
          <w:color w:val="000000"/>
          <w:sz w:val="22"/>
        </w:rPr>
        <w:t xml:space="preserve">= hematocrit; </w:t>
      </w:r>
      <w:proofErr w:type="spellStart"/>
      <w:r w:rsidRPr="004A7504">
        <w:rPr>
          <w:rFonts w:eastAsia="Times New Roman" w:cs="Times New Roman"/>
          <w:color w:val="000000"/>
          <w:sz w:val="22"/>
        </w:rPr>
        <w:t>cTnT</w:t>
      </w:r>
      <w:proofErr w:type="spellEnd"/>
      <w:r w:rsidRPr="004A7504">
        <w:rPr>
          <w:rFonts w:eastAsia="Times New Roman" w:cs="Times New Roman"/>
          <w:color w:val="000000"/>
          <w:sz w:val="22"/>
        </w:rPr>
        <w:t>= cardiac troponin T;</w:t>
      </w:r>
      <w:r>
        <w:rPr>
          <w:rFonts w:eastAsia="Times New Roman" w:cs="Times New Roman"/>
          <w:color w:val="000000"/>
          <w:sz w:val="22"/>
        </w:rPr>
        <w:t xml:space="preserve"> EPO=Erythropoietin</w:t>
      </w:r>
      <w:r w:rsidR="004F40E5">
        <w:rPr>
          <w:rFonts w:eastAsia="Times New Roman" w:cs="Times New Roman"/>
          <w:color w:val="000000"/>
          <w:sz w:val="22"/>
        </w:rPr>
        <w:t xml:space="preserve">; </w:t>
      </w:r>
      <w:r w:rsidR="004F40E5" w:rsidRPr="008C27EE">
        <w:rPr>
          <w:rFonts w:eastAsia="Times New Roman" w:cs="Times New Roman"/>
          <w:color w:val="000000"/>
          <w:sz w:val="22"/>
        </w:rPr>
        <w:t>CHT= Continuous hypoxia training</w:t>
      </w:r>
    </w:p>
    <w:p w:rsidR="008043C4" w:rsidRDefault="008043C4" w:rsidP="008043C4"/>
    <w:p w:rsidR="008043C4" w:rsidRDefault="008043C4" w:rsidP="008043C4"/>
    <w:p w:rsidR="008043C4" w:rsidRDefault="008043C4" w:rsidP="008043C4"/>
    <w:p w:rsidR="008043C4" w:rsidRDefault="008043C4" w:rsidP="008043C4"/>
    <w:p w:rsidR="008043C4" w:rsidRDefault="008043C4" w:rsidP="008043C4"/>
    <w:p w:rsidR="008043C4" w:rsidRDefault="008043C4" w:rsidP="008043C4"/>
    <w:p w:rsidR="008043C4" w:rsidRDefault="008043C4" w:rsidP="008043C4"/>
    <w:p w:rsidR="008043C4" w:rsidRDefault="008043C4" w:rsidP="008043C4"/>
    <w:p w:rsidR="008043C4" w:rsidRDefault="00906C96" w:rsidP="008043C4">
      <w:r>
        <w:rPr>
          <w:b/>
        </w:rPr>
        <w:lastRenderedPageBreak/>
        <w:t>Supplementary Table S2:</w:t>
      </w:r>
      <w:r>
        <w:t xml:space="preserve"> </w:t>
      </w:r>
      <w:r w:rsidR="008043C4" w:rsidRPr="008A56CB">
        <w:t xml:space="preserve">The effects of </w:t>
      </w:r>
      <w:r w:rsidR="008043C4">
        <w:t>intermittent hypoxia-</w:t>
      </w:r>
      <w:proofErr w:type="spellStart"/>
      <w:r w:rsidR="008043C4">
        <w:t>hyperoxia</w:t>
      </w:r>
      <w:proofErr w:type="spellEnd"/>
      <w:r w:rsidR="008043C4">
        <w:t xml:space="preserve"> training (</w:t>
      </w:r>
      <w:r w:rsidR="008043C4" w:rsidRPr="008A56CB">
        <w:t>IHHT</w:t>
      </w:r>
      <w:r w:rsidR="008043C4">
        <w:t>) o</w:t>
      </w:r>
      <w:r w:rsidR="008043C4" w:rsidRPr="008A56CB">
        <w:t>n aging markers and</w:t>
      </w:r>
      <w:r w:rsidR="008043C4">
        <w:t xml:space="preserve"> age related diseases</w:t>
      </w:r>
    </w:p>
    <w:tbl>
      <w:tblPr>
        <w:tblpPr w:leftFromText="187" w:rightFromText="187" w:vertAnchor="text" w:tblpXSpec="center" w:tblpY="1"/>
        <w:tblOverlap w:val="never"/>
        <w:tblW w:w="15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709"/>
        <w:gridCol w:w="619"/>
        <w:gridCol w:w="630"/>
        <w:gridCol w:w="684"/>
        <w:gridCol w:w="1350"/>
        <w:gridCol w:w="618"/>
        <w:gridCol w:w="567"/>
        <w:gridCol w:w="919"/>
        <w:gridCol w:w="641"/>
        <w:gridCol w:w="634"/>
        <w:gridCol w:w="709"/>
        <w:gridCol w:w="851"/>
        <w:gridCol w:w="992"/>
        <w:gridCol w:w="1559"/>
        <w:gridCol w:w="1134"/>
        <w:gridCol w:w="689"/>
      </w:tblGrid>
      <w:tr w:rsidR="00F71A16" w:rsidRPr="003B608E" w:rsidTr="00B27152">
        <w:trPr>
          <w:trHeight w:val="1109"/>
        </w:trPr>
        <w:tc>
          <w:tcPr>
            <w:tcW w:w="988" w:type="dxa"/>
            <w:shd w:val="clear" w:color="auto" w:fill="auto"/>
            <w:vAlign w:val="bottom"/>
            <w:hideMark/>
          </w:tcPr>
          <w:p w:rsidR="00F71A16" w:rsidRPr="000A12DF" w:rsidRDefault="00F71A16" w:rsidP="00F71A16">
            <w:pPr>
              <w:spacing w:before="0" w:after="0"/>
              <w:jc w:val="center"/>
              <w:rPr>
                <w:rFonts w:eastAsia="Times New Roman" w:cs="Times New Roman"/>
                <w:b/>
                <w:color w:val="000000"/>
                <w:sz w:val="16"/>
                <w:szCs w:val="16"/>
              </w:rPr>
            </w:pPr>
            <w:r w:rsidRPr="000A12DF">
              <w:rPr>
                <w:rFonts w:eastAsia="Times New Roman" w:cs="Times New Roman"/>
                <w:b/>
                <w:color w:val="000000"/>
                <w:sz w:val="16"/>
                <w:szCs w:val="16"/>
              </w:rPr>
              <w:t>Author,</w:t>
            </w:r>
          </w:p>
          <w:p w:rsidR="00F71A16" w:rsidRPr="000A12DF" w:rsidRDefault="00F71A16" w:rsidP="00F71A16">
            <w:pPr>
              <w:spacing w:before="0" w:after="0"/>
              <w:rPr>
                <w:rFonts w:eastAsia="Times New Roman" w:cs="Times New Roman"/>
                <w:b/>
                <w:color w:val="000000"/>
                <w:sz w:val="16"/>
                <w:szCs w:val="16"/>
              </w:rPr>
            </w:pPr>
            <w:r w:rsidRPr="000A12DF">
              <w:rPr>
                <w:rFonts w:eastAsia="Times New Roman" w:cs="Times New Roman"/>
                <w:b/>
                <w:color w:val="000000"/>
                <w:sz w:val="16"/>
                <w:szCs w:val="16"/>
              </w:rPr>
              <w:t>Year</w:t>
            </w:r>
          </w:p>
          <w:p w:rsidR="00F71A16" w:rsidRPr="003B608E" w:rsidRDefault="00F71A16" w:rsidP="00F71A16">
            <w:pPr>
              <w:spacing w:before="0" w:after="0"/>
              <w:rPr>
                <w:rFonts w:eastAsia="Times New Roman" w:cs="Times New Roman"/>
                <w:b/>
                <w:color w:val="000000"/>
                <w:sz w:val="16"/>
                <w:szCs w:val="16"/>
              </w:rPr>
            </w:pPr>
            <w:r w:rsidRPr="000A12DF">
              <w:rPr>
                <w:rFonts w:eastAsia="Times New Roman" w:cs="Times New Roman"/>
                <w:b/>
                <w:color w:val="000000"/>
                <w:sz w:val="16"/>
                <w:szCs w:val="16"/>
              </w:rPr>
              <w:t>(Ref.)</w:t>
            </w:r>
          </w:p>
        </w:tc>
        <w:tc>
          <w:tcPr>
            <w:tcW w:w="708"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Country </w:t>
            </w:r>
          </w:p>
        </w:tc>
        <w:tc>
          <w:tcPr>
            <w:tcW w:w="709"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Condition </w:t>
            </w:r>
          </w:p>
        </w:tc>
        <w:tc>
          <w:tcPr>
            <w:tcW w:w="619"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Age </w:t>
            </w:r>
            <w:r>
              <w:rPr>
                <w:rFonts w:eastAsia="Times New Roman" w:cs="Times New Roman"/>
                <w:b/>
                <w:color w:val="000000"/>
                <w:sz w:val="16"/>
                <w:szCs w:val="16"/>
              </w:rPr>
              <w:t>in years</w:t>
            </w:r>
          </w:p>
        </w:tc>
        <w:tc>
          <w:tcPr>
            <w:tcW w:w="630"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No of cases </w:t>
            </w:r>
          </w:p>
        </w:tc>
        <w:tc>
          <w:tcPr>
            <w:tcW w:w="684"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No of controls</w:t>
            </w:r>
          </w:p>
        </w:tc>
        <w:tc>
          <w:tcPr>
            <w:tcW w:w="1350"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Aim of the study</w:t>
            </w:r>
          </w:p>
        </w:tc>
        <w:tc>
          <w:tcPr>
            <w:tcW w:w="618"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Study design </w:t>
            </w:r>
          </w:p>
        </w:tc>
        <w:tc>
          <w:tcPr>
            <w:tcW w:w="567"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Type of hypoxia </w:t>
            </w:r>
          </w:p>
        </w:tc>
        <w:tc>
          <w:tcPr>
            <w:tcW w:w="919"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Hypoxia protocol </w:t>
            </w:r>
          </w:p>
        </w:tc>
        <w:tc>
          <w:tcPr>
            <w:tcW w:w="641"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 Protocol for controls </w:t>
            </w:r>
          </w:p>
        </w:tc>
        <w:tc>
          <w:tcPr>
            <w:tcW w:w="634"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Organ /tissue/cells </w:t>
            </w:r>
          </w:p>
        </w:tc>
        <w:tc>
          <w:tcPr>
            <w:tcW w:w="709"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 xml:space="preserve">Sample  </w:t>
            </w:r>
          </w:p>
        </w:tc>
        <w:tc>
          <w:tcPr>
            <w:tcW w:w="851"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Aging  markers</w:t>
            </w:r>
          </w:p>
        </w:tc>
        <w:tc>
          <w:tcPr>
            <w:tcW w:w="992"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Method for measurement</w:t>
            </w:r>
          </w:p>
        </w:tc>
        <w:tc>
          <w:tcPr>
            <w:tcW w:w="1559"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Results</w:t>
            </w:r>
          </w:p>
        </w:tc>
        <w:tc>
          <w:tcPr>
            <w:tcW w:w="1134" w:type="dxa"/>
            <w:shd w:val="clear" w:color="auto" w:fill="auto"/>
            <w:vAlign w:val="bottom"/>
            <w:hideMark/>
          </w:tcPr>
          <w:p w:rsidR="00F71A16" w:rsidRPr="003B608E" w:rsidRDefault="00F71A16" w:rsidP="00F71A16">
            <w:pPr>
              <w:spacing w:before="0" w:after="0"/>
              <w:rPr>
                <w:rFonts w:eastAsia="Times New Roman" w:cs="Times New Roman"/>
                <w:b/>
                <w:color w:val="000000"/>
                <w:sz w:val="16"/>
                <w:szCs w:val="16"/>
              </w:rPr>
            </w:pPr>
            <w:r w:rsidRPr="003B608E">
              <w:rPr>
                <w:rFonts w:eastAsia="Times New Roman" w:cs="Times New Roman"/>
                <w:b/>
                <w:color w:val="000000"/>
                <w:sz w:val="16"/>
                <w:szCs w:val="16"/>
              </w:rPr>
              <w:t>Conclusions</w:t>
            </w:r>
          </w:p>
        </w:tc>
        <w:tc>
          <w:tcPr>
            <w:tcW w:w="689" w:type="dxa"/>
          </w:tcPr>
          <w:p w:rsidR="00F71A16" w:rsidRPr="003B608E" w:rsidRDefault="00F71A16" w:rsidP="00F71A16">
            <w:pPr>
              <w:spacing w:before="0" w:after="0"/>
              <w:rPr>
                <w:rFonts w:eastAsia="Times New Roman" w:cs="Times New Roman"/>
                <w:b/>
                <w:color w:val="000000"/>
                <w:sz w:val="16"/>
                <w:szCs w:val="16"/>
              </w:rPr>
            </w:pPr>
          </w:p>
          <w:p w:rsidR="00F71A16" w:rsidRPr="003B608E" w:rsidRDefault="00F71A16" w:rsidP="00F71A16">
            <w:pPr>
              <w:spacing w:before="0" w:after="0"/>
              <w:rPr>
                <w:rFonts w:eastAsia="Times New Roman" w:cs="Times New Roman"/>
                <w:b/>
                <w:color w:val="000000"/>
                <w:sz w:val="16"/>
                <w:szCs w:val="16"/>
              </w:rPr>
            </w:pPr>
          </w:p>
          <w:p w:rsidR="00F71A16" w:rsidRPr="003B608E" w:rsidRDefault="00F71A16" w:rsidP="00F71A16">
            <w:pPr>
              <w:pStyle w:val="NoSpacing"/>
              <w:rPr>
                <w:rFonts w:cs="Times New Roman"/>
                <w:b/>
                <w:sz w:val="16"/>
                <w:szCs w:val="16"/>
              </w:rPr>
            </w:pPr>
            <w:r w:rsidRPr="003B608E">
              <w:rPr>
                <w:rFonts w:cs="Times New Roman"/>
                <w:b/>
                <w:sz w:val="16"/>
                <w:szCs w:val="16"/>
              </w:rPr>
              <w:t>Safety</w:t>
            </w:r>
          </w:p>
          <w:p w:rsidR="00F71A16" w:rsidRPr="003B608E" w:rsidRDefault="00F71A16" w:rsidP="00F71A16">
            <w:pPr>
              <w:pStyle w:val="NoSpacing"/>
              <w:rPr>
                <w:rFonts w:cs="Times New Roman"/>
                <w:b/>
                <w:sz w:val="16"/>
                <w:szCs w:val="16"/>
              </w:rPr>
            </w:pPr>
            <w:r w:rsidRPr="003B608E">
              <w:rPr>
                <w:rFonts w:cs="Times New Roman"/>
                <w:b/>
                <w:sz w:val="16"/>
                <w:szCs w:val="16"/>
              </w:rPr>
              <w:t>issues</w:t>
            </w:r>
          </w:p>
        </w:tc>
      </w:tr>
      <w:tr w:rsidR="00F71A16" w:rsidRPr="003B608E" w:rsidTr="00B27152">
        <w:trPr>
          <w:trHeight w:val="1591"/>
        </w:trPr>
        <w:tc>
          <w:tcPr>
            <w:tcW w:w="98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Dudnik et al., 2018</w:t>
            </w:r>
          </w:p>
          <w:p w:rsidR="00F71A16" w:rsidRPr="003B608E" w:rsidRDefault="00F71A16" w:rsidP="00F71A16">
            <w:pPr>
              <w:spacing w:before="0" w:after="0"/>
              <w:jc w:val="center"/>
              <w:rPr>
                <w:rFonts w:eastAsia="Times New Roman" w:cs="Times New Roman"/>
                <w:color w:val="000000"/>
                <w:sz w:val="16"/>
                <w:szCs w:val="16"/>
              </w:rPr>
            </w:pPr>
          </w:p>
        </w:tc>
        <w:tc>
          <w:tcPr>
            <w:tcW w:w="708"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Russia</w:t>
            </w: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F223FA" w:rsidRDefault="00F71A16" w:rsidP="00F71A16">
            <w:pPr>
              <w:spacing w:before="0" w:after="0"/>
              <w:jc w:val="center"/>
              <w:rPr>
                <w:rFonts w:eastAsia="Times New Roman" w:cs="Times New Roman"/>
                <w:color w:val="000000"/>
                <w:sz w:val="16"/>
                <w:szCs w:val="16"/>
              </w:rPr>
            </w:pPr>
            <w:r w:rsidRPr="00F223FA">
              <w:rPr>
                <w:rFonts w:eastAsia="Times New Roman" w:cs="Times New Roman"/>
                <w:color w:val="000000"/>
                <w:sz w:val="16"/>
                <w:szCs w:val="16"/>
              </w:rPr>
              <w:t>Cardiac patients with comorbidities</w:t>
            </w:r>
          </w:p>
          <w:p w:rsidR="00F71A16" w:rsidRPr="00F223FA" w:rsidRDefault="00F71A16" w:rsidP="00F71A16">
            <w:pPr>
              <w:spacing w:before="0" w:after="0"/>
              <w:jc w:val="center"/>
              <w:rPr>
                <w:rFonts w:eastAsia="Times New Roman" w:cs="Times New Roman"/>
                <w:color w:val="000000"/>
                <w:sz w:val="16"/>
                <w:szCs w:val="16"/>
              </w:rPr>
            </w:pPr>
          </w:p>
        </w:tc>
        <w:tc>
          <w:tcPr>
            <w:tcW w:w="6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Mean 66 </w:t>
            </w:r>
            <w:r w:rsidRPr="003B608E">
              <w:rPr>
                <w:rFonts w:eastAsia="Times New Roman" w:cs="Times New Roman"/>
                <w:color w:val="000000"/>
                <w:sz w:val="16"/>
                <w:szCs w:val="16"/>
              </w:rPr>
              <w:t xml:space="preserve">(IHHT), </w:t>
            </w:r>
            <w:r>
              <w:rPr>
                <w:rFonts w:eastAsia="Times New Roman" w:cs="Times New Roman"/>
                <w:color w:val="000000"/>
                <w:sz w:val="16"/>
                <w:szCs w:val="16"/>
              </w:rPr>
              <w:t xml:space="preserve">65 </w:t>
            </w:r>
            <w:r w:rsidRPr="003B608E">
              <w:rPr>
                <w:rFonts w:eastAsia="Times New Roman" w:cs="Times New Roman"/>
                <w:color w:val="000000"/>
                <w:sz w:val="16"/>
                <w:szCs w:val="16"/>
              </w:rPr>
              <w:t>(control)</w:t>
            </w:r>
          </w:p>
          <w:p w:rsidR="00F71A16" w:rsidRPr="003B608E" w:rsidRDefault="00F71A16" w:rsidP="00F71A16">
            <w:pPr>
              <w:spacing w:before="0" w:after="0"/>
              <w:jc w:val="center"/>
              <w:rPr>
                <w:rFonts w:eastAsia="Times New Roman" w:cs="Times New Roman"/>
                <w:color w:val="000000"/>
                <w:sz w:val="16"/>
                <w:szCs w:val="16"/>
              </w:rPr>
            </w:pPr>
          </w:p>
        </w:tc>
        <w:tc>
          <w:tcPr>
            <w:tcW w:w="63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15</w:t>
            </w:r>
          </w:p>
          <w:p w:rsidR="00F71A16" w:rsidRPr="003B608E" w:rsidRDefault="00F71A16" w:rsidP="00F71A16">
            <w:pPr>
              <w:spacing w:before="0" w:after="0"/>
              <w:jc w:val="center"/>
              <w:rPr>
                <w:rFonts w:eastAsia="Times New Roman" w:cs="Times New Roman"/>
                <w:color w:val="000000"/>
                <w:sz w:val="16"/>
                <w:szCs w:val="16"/>
              </w:rPr>
            </w:pPr>
          </w:p>
        </w:tc>
        <w:tc>
          <w:tcPr>
            <w:tcW w:w="684"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14</w:t>
            </w:r>
          </w:p>
          <w:p w:rsidR="00F71A16" w:rsidRPr="003B608E" w:rsidRDefault="00F71A16" w:rsidP="00F71A16">
            <w:pPr>
              <w:spacing w:before="0" w:after="0"/>
              <w:jc w:val="center"/>
              <w:rPr>
                <w:rFonts w:eastAsia="Times New Roman" w:cs="Times New Roman"/>
                <w:color w:val="000000"/>
                <w:sz w:val="16"/>
                <w:szCs w:val="16"/>
              </w:rPr>
            </w:pPr>
          </w:p>
        </w:tc>
        <w:tc>
          <w:tcPr>
            <w:tcW w:w="135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To compare IHHT to a standard exercise-based rehabilitation program with respect</w:t>
            </w:r>
            <w:r>
              <w:rPr>
                <w:rFonts w:eastAsia="Times New Roman" w:cs="Times New Roman"/>
                <w:color w:val="000000"/>
                <w:sz w:val="16"/>
                <w:szCs w:val="16"/>
              </w:rPr>
              <w:t xml:space="preserve"> </w:t>
            </w:r>
            <w:r w:rsidRPr="003B608E">
              <w:rPr>
                <w:rFonts w:eastAsia="Times New Roman" w:cs="Times New Roman"/>
                <w:color w:val="000000"/>
                <w:sz w:val="16"/>
                <w:szCs w:val="16"/>
              </w:rPr>
              <w:t>to cardiorespiratory fitness (CRF) in older cardiac outpatients.</w:t>
            </w:r>
          </w:p>
          <w:p w:rsidR="00F71A16" w:rsidRPr="003B608E" w:rsidRDefault="00F71A16" w:rsidP="00F71A16">
            <w:pPr>
              <w:spacing w:before="0" w:after="0"/>
              <w:jc w:val="center"/>
              <w:rPr>
                <w:rFonts w:eastAsia="Times New Roman" w:cs="Times New Roman"/>
                <w:color w:val="000000"/>
                <w:sz w:val="16"/>
                <w:szCs w:val="16"/>
              </w:rPr>
            </w:pPr>
          </w:p>
        </w:tc>
        <w:tc>
          <w:tcPr>
            <w:tcW w:w="61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RCT</w:t>
            </w:r>
          </w:p>
          <w:p w:rsidR="00F71A16" w:rsidRPr="003B608E" w:rsidRDefault="00F71A16" w:rsidP="00F71A16">
            <w:pPr>
              <w:spacing w:before="0" w:after="0"/>
              <w:jc w:val="center"/>
              <w:rPr>
                <w:rFonts w:eastAsia="Times New Roman" w:cs="Times New Roman"/>
                <w:color w:val="000000"/>
                <w:sz w:val="16"/>
                <w:szCs w:val="16"/>
              </w:rPr>
            </w:pPr>
          </w:p>
        </w:tc>
        <w:tc>
          <w:tcPr>
            <w:tcW w:w="567"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IHHT</w:t>
            </w:r>
          </w:p>
          <w:p w:rsidR="00F71A16" w:rsidRPr="003B608E" w:rsidRDefault="00F71A16" w:rsidP="00F71A16">
            <w:pPr>
              <w:spacing w:before="0" w:after="0"/>
              <w:jc w:val="center"/>
              <w:rPr>
                <w:rFonts w:eastAsia="Times New Roman" w:cs="Times New Roman"/>
                <w:color w:val="000000"/>
                <w:sz w:val="16"/>
                <w:szCs w:val="16"/>
              </w:rPr>
            </w:pPr>
          </w:p>
        </w:tc>
        <w:tc>
          <w:tcPr>
            <w:tcW w:w="9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15 sessions hypoxia (11–12%O2)—</w:t>
            </w:r>
            <w:proofErr w:type="spellStart"/>
            <w:r w:rsidRPr="003B608E">
              <w:rPr>
                <w:rFonts w:eastAsia="Times New Roman" w:cs="Times New Roman"/>
                <w:color w:val="000000"/>
                <w:sz w:val="16"/>
                <w:szCs w:val="16"/>
              </w:rPr>
              <w:t>hyperoxia</w:t>
            </w:r>
            <w:proofErr w:type="spellEnd"/>
            <w:r w:rsidRPr="003B608E">
              <w:rPr>
                <w:rFonts w:eastAsia="Times New Roman" w:cs="Times New Roman"/>
                <w:color w:val="000000"/>
                <w:sz w:val="16"/>
                <w:szCs w:val="16"/>
              </w:rPr>
              <w:t xml:space="preserve"> (30–33%O2) for 5 weeks: 3 sessions/</w:t>
            </w:r>
            <w:r>
              <w:rPr>
                <w:rFonts w:eastAsia="Times New Roman" w:cs="Times New Roman"/>
                <w:color w:val="000000"/>
                <w:sz w:val="16"/>
                <w:szCs w:val="16"/>
              </w:rPr>
              <w:t xml:space="preserve"> </w:t>
            </w:r>
            <w:r w:rsidRPr="003B608E">
              <w:rPr>
                <w:rFonts w:eastAsia="Times New Roman" w:cs="Times New Roman"/>
                <w:color w:val="000000"/>
                <w:sz w:val="16"/>
                <w:szCs w:val="16"/>
              </w:rPr>
              <w:t xml:space="preserve">week, 5–7 hypoxic periods of 4–6 minutes, 3minute </w:t>
            </w:r>
            <w:proofErr w:type="spellStart"/>
            <w:r w:rsidRPr="003B608E">
              <w:rPr>
                <w:rFonts w:eastAsia="Times New Roman" w:cs="Times New Roman"/>
                <w:color w:val="000000"/>
                <w:sz w:val="16"/>
                <w:szCs w:val="16"/>
              </w:rPr>
              <w:t>hyperoxic</w:t>
            </w:r>
            <w:proofErr w:type="spellEnd"/>
            <w:r w:rsidRPr="003B608E">
              <w:rPr>
                <w:rFonts w:eastAsia="Times New Roman" w:cs="Times New Roman"/>
                <w:color w:val="000000"/>
                <w:sz w:val="16"/>
                <w:szCs w:val="16"/>
              </w:rPr>
              <w:t xml:space="preserve"> recovery.</w:t>
            </w:r>
          </w:p>
          <w:p w:rsidR="00F71A16" w:rsidRPr="003B608E" w:rsidRDefault="00F71A16" w:rsidP="00F71A16">
            <w:pPr>
              <w:spacing w:before="0" w:after="0"/>
              <w:jc w:val="center"/>
              <w:rPr>
                <w:rFonts w:eastAsia="Times New Roman" w:cs="Times New Roman"/>
                <w:color w:val="000000"/>
                <w:sz w:val="16"/>
                <w:szCs w:val="16"/>
              </w:rPr>
            </w:pPr>
          </w:p>
        </w:tc>
        <w:tc>
          <w:tcPr>
            <w:tcW w:w="641"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15 sessions sham hypoxia exposure (room air), and   8-week exercise program</w:t>
            </w:r>
          </w:p>
          <w:p w:rsidR="00F71A16" w:rsidRPr="003B608E" w:rsidRDefault="00F71A16" w:rsidP="00F71A16">
            <w:pPr>
              <w:spacing w:before="0" w:after="0"/>
              <w:jc w:val="center"/>
              <w:rPr>
                <w:rFonts w:eastAsia="Times New Roman" w:cs="Times New Roman"/>
                <w:color w:val="000000"/>
                <w:sz w:val="16"/>
                <w:szCs w:val="16"/>
              </w:rPr>
            </w:pPr>
          </w:p>
        </w:tc>
        <w:tc>
          <w:tcPr>
            <w:tcW w:w="6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heart</w:t>
            </w: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w:t>
            </w:r>
          </w:p>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CRF</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Indirect calorimetry (Bruce and M-Bruce protocols).</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CRF in the IHHT group was not significantly different compared with the control group. Systolic and</w:t>
            </w:r>
            <w:r w:rsidRPr="003B608E">
              <w:rPr>
                <w:rFonts w:eastAsia="Times New Roman" w:cs="Times New Roman"/>
                <w:color w:val="000000"/>
                <w:sz w:val="16"/>
                <w:szCs w:val="16"/>
              </w:rPr>
              <w:br/>
              <w:t>diastolic blood pressures were not significantly different between groups after treatment.</w:t>
            </w:r>
          </w:p>
        </w:tc>
        <w:tc>
          <w:tcPr>
            <w:tcW w:w="11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IHHT might be a suitable option for older patients who cannot exercise. A 5-week IHHT is as effective as an 8-week exercise program in improving CRF, without hematological changes.</w:t>
            </w:r>
          </w:p>
        </w:tc>
        <w:tc>
          <w:tcPr>
            <w:tcW w:w="689" w:type="dxa"/>
            <w:vMerge w:val="restart"/>
            <w:vAlign w:val="center"/>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Safe</w:t>
            </w:r>
          </w:p>
        </w:tc>
      </w:tr>
      <w:tr w:rsidR="00F71A16" w:rsidRPr="003B608E" w:rsidTr="00B27152">
        <w:trPr>
          <w:trHeight w:val="1996"/>
        </w:trPr>
        <w:tc>
          <w:tcPr>
            <w:tcW w:w="98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8"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F223FA" w:rsidRDefault="00F71A16" w:rsidP="00F71A16">
            <w:pPr>
              <w:spacing w:before="0" w:after="0"/>
              <w:jc w:val="center"/>
              <w:rPr>
                <w:rFonts w:eastAsia="Times New Roman" w:cs="Times New Roman"/>
                <w:color w:val="000000"/>
                <w:sz w:val="16"/>
                <w:szCs w:val="16"/>
              </w:rPr>
            </w:pPr>
          </w:p>
        </w:tc>
        <w:tc>
          <w:tcPr>
            <w:tcW w:w="6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4"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135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567"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9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41"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Hematological markers</w:t>
            </w:r>
            <w:r>
              <w:rPr>
                <w:rFonts w:eastAsia="Times New Roman" w:cs="Times New Roman"/>
                <w:color w:val="000000"/>
                <w:sz w:val="16"/>
                <w:szCs w:val="16"/>
              </w:rPr>
              <w:t xml:space="preserve"> (</w:t>
            </w:r>
            <w:proofErr w:type="spellStart"/>
            <w:r>
              <w:rPr>
                <w:rFonts w:eastAsia="Times New Roman" w:cs="Times New Roman"/>
                <w:color w:val="000000"/>
                <w:sz w:val="16"/>
                <w:szCs w:val="16"/>
              </w:rPr>
              <w:t>Hgb</w:t>
            </w:r>
            <w:proofErr w:type="spellEnd"/>
            <w:r>
              <w:rPr>
                <w:rFonts w:eastAsia="Times New Roman" w:cs="Times New Roman"/>
                <w:color w:val="000000"/>
                <w:sz w:val="16"/>
                <w:szCs w:val="16"/>
              </w:rPr>
              <w:t>, RBC, reticulocyte</w:t>
            </w:r>
            <w:r w:rsidRPr="003B608E">
              <w:rPr>
                <w:rFonts w:eastAsia="Times New Roman" w:cs="Times New Roman"/>
                <w:color w:val="000000"/>
                <w:sz w:val="16"/>
                <w:szCs w:val="16"/>
              </w:rPr>
              <w:t>)</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 biochemistry analyzers</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Pr>
                <w:rFonts w:eastAsia="Times New Roman" w:cs="Times New Roman"/>
                <w:color w:val="000000"/>
                <w:sz w:val="16"/>
                <w:szCs w:val="16"/>
              </w:rPr>
              <w:t>Hgb</w:t>
            </w:r>
            <w:proofErr w:type="spellEnd"/>
            <w:r w:rsidRPr="003B608E">
              <w:rPr>
                <w:rFonts w:eastAsia="Times New Roman" w:cs="Times New Roman"/>
                <w:color w:val="000000"/>
                <w:sz w:val="16"/>
                <w:szCs w:val="16"/>
              </w:rPr>
              <w:t xml:space="preserve"> content was not significantly different between groups. </w:t>
            </w:r>
            <w:r>
              <w:rPr>
                <w:rFonts w:eastAsia="Times New Roman" w:cs="Times New Roman"/>
                <w:color w:val="000000"/>
                <w:sz w:val="16"/>
                <w:szCs w:val="16"/>
              </w:rPr>
              <w:t>RBC</w:t>
            </w:r>
            <w:r w:rsidRPr="003B608E">
              <w:rPr>
                <w:rFonts w:eastAsia="Times New Roman" w:cs="Times New Roman"/>
                <w:color w:val="000000"/>
                <w:sz w:val="16"/>
                <w:szCs w:val="16"/>
              </w:rPr>
              <w:t xml:space="preserve"> and reticulocytes did not change pre/post interventions in both experimental groups.</w:t>
            </w:r>
          </w:p>
        </w:tc>
        <w:tc>
          <w:tcPr>
            <w:tcW w:w="11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9" w:type="dxa"/>
            <w:vMerge/>
            <w:vAlign w:val="center"/>
          </w:tcPr>
          <w:p w:rsidR="00F71A16" w:rsidRPr="003B608E" w:rsidRDefault="00F71A16" w:rsidP="00F71A16">
            <w:pPr>
              <w:spacing w:before="0" w:after="0"/>
              <w:jc w:val="center"/>
              <w:rPr>
                <w:rFonts w:eastAsia="Times New Roman" w:cs="Times New Roman"/>
                <w:color w:val="000000"/>
                <w:sz w:val="16"/>
                <w:szCs w:val="16"/>
              </w:rPr>
            </w:pPr>
          </w:p>
        </w:tc>
      </w:tr>
      <w:tr w:rsidR="00F71A16" w:rsidRPr="003B608E" w:rsidTr="00B27152">
        <w:trPr>
          <w:trHeight w:val="1289"/>
        </w:trPr>
        <w:tc>
          <w:tcPr>
            <w:tcW w:w="98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t>Glazachev</w:t>
            </w:r>
            <w:proofErr w:type="spellEnd"/>
            <w:r w:rsidRPr="003B608E">
              <w:rPr>
                <w:rFonts w:eastAsia="Times New Roman" w:cs="Times New Roman"/>
                <w:color w:val="000000"/>
                <w:sz w:val="16"/>
                <w:szCs w:val="16"/>
              </w:rPr>
              <w:t xml:space="preserve"> et al.,2017</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8"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Russia</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coronary artery disease (CAD)</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43-83 </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3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27</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84"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19</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135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To investigate the effects </w:t>
            </w:r>
            <w:proofErr w:type="gramStart"/>
            <w:r w:rsidRPr="003B608E">
              <w:rPr>
                <w:rFonts w:eastAsia="Times New Roman" w:cs="Times New Roman"/>
                <w:color w:val="000000"/>
                <w:sz w:val="16"/>
                <w:szCs w:val="16"/>
              </w:rPr>
              <w:t>of  IHHT</w:t>
            </w:r>
            <w:proofErr w:type="gramEnd"/>
            <w:r w:rsidRPr="003B608E">
              <w:rPr>
                <w:rFonts w:eastAsia="Times New Roman" w:cs="Times New Roman"/>
                <w:color w:val="000000"/>
                <w:sz w:val="16"/>
                <w:szCs w:val="16"/>
              </w:rPr>
              <w:t xml:space="preserve"> on exercise tolerance, </w:t>
            </w:r>
            <w:proofErr w:type="spellStart"/>
            <w:r w:rsidRPr="003B608E">
              <w:rPr>
                <w:rFonts w:eastAsia="Times New Roman" w:cs="Times New Roman"/>
                <w:color w:val="000000"/>
                <w:sz w:val="16"/>
                <w:szCs w:val="16"/>
              </w:rPr>
              <w:t>cardiometabolic</w:t>
            </w:r>
            <w:proofErr w:type="spellEnd"/>
            <w:r w:rsidRPr="003B608E">
              <w:rPr>
                <w:rFonts w:eastAsia="Times New Roman" w:cs="Times New Roman"/>
                <w:color w:val="000000"/>
                <w:sz w:val="16"/>
                <w:szCs w:val="16"/>
              </w:rPr>
              <w:t xml:space="preserve"> risk factors, and patient-relevant subjective parameters in CAD patients.</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1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Non RCT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567"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IHHT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9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15 sessions hypoxia (10% O2</w:t>
            </w:r>
            <w:proofErr w:type="gramStart"/>
            <w:r w:rsidRPr="003B608E">
              <w:rPr>
                <w:rFonts w:eastAsia="Times New Roman" w:cs="Times New Roman"/>
                <w:color w:val="000000"/>
                <w:sz w:val="16"/>
                <w:szCs w:val="16"/>
              </w:rPr>
              <w:t>)-</w:t>
            </w:r>
            <w:proofErr w:type="gramEnd"/>
            <w:r w:rsidRPr="003B608E">
              <w:rPr>
                <w:rFonts w:eastAsia="Times New Roman" w:cs="Times New Roman"/>
                <w:color w:val="000000"/>
                <w:sz w:val="16"/>
                <w:szCs w:val="16"/>
              </w:rPr>
              <w:t xml:space="preserve"> </w:t>
            </w:r>
            <w:proofErr w:type="spellStart"/>
            <w:r w:rsidRPr="003B608E">
              <w:rPr>
                <w:rFonts w:eastAsia="Times New Roman" w:cs="Times New Roman"/>
                <w:color w:val="000000"/>
                <w:sz w:val="16"/>
                <w:szCs w:val="16"/>
              </w:rPr>
              <w:t>hyperoxia</w:t>
            </w:r>
            <w:proofErr w:type="spellEnd"/>
            <w:r w:rsidRPr="003B608E">
              <w:rPr>
                <w:rFonts w:eastAsia="Times New Roman" w:cs="Times New Roman"/>
                <w:color w:val="000000"/>
                <w:sz w:val="16"/>
                <w:szCs w:val="16"/>
              </w:rPr>
              <w:t xml:space="preserve"> (30%O2)</w:t>
            </w:r>
            <w:r>
              <w:rPr>
                <w:rFonts w:eastAsia="Times New Roman" w:cs="Times New Roman"/>
                <w:color w:val="000000"/>
                <w:sz w:val="16"/>
                <w:szCs w:val="16"/>
              </w:rPr>
              <w:t>. 3 sessions /</w:t>
            </w:r>
            <w:r w:rsidRPr="003B608E">
              <w:rPr>
                <w:rFonts w:eastAsia="Times New Roman" w:cs="Times New Roman"/>
                <w:color w:val="000000"/>
                <w:sz w:val="16"/>
                <w:szCs w:val="16"/>
              </w:rPr>
              <w:t xml:space="preserve"> week, 5 to</w:t>
            </w:r>
            <w:r w:rsidRPr="003B608E">
              <w:rPr>
                <w:rFonts w:eastAsia="Times New Roman" w:cs="Times New Roman"/>
                <w:color w:val="000000"/>
                <w:sz w:val="16"/>
                <w:szCs w:val="16"/>
              </w:rPr>
              <w:br/>
              <w:t>7 hypoxic periods las</w:t>
            </w:r>
            <w:r>
              <w:rPr>
                <w:rFonts w:eastAsia="Times New Roman" w:cs="Times New Roman"/>
                <w:color w:val="000000"/>
                <w:sz w:val="16"/>
                <w:szCs w:val="16"/>
              </w:rPr>
              <w:t xml:space="preserve">ting 4 to 6 minutes, with 3-min </w:t>
            </w:r>
            <w:proofErr w:type="spellStart"/>
            <w:r w:rsidRPr="003B608E">
              <w:rPr>
                <w:rFonts w:eastAsia="Times New Roman" w:cs="Times New Roman"/>
                <w:color w:val="000000"/>
                <w:sz w:val="16"/>
                <w:szCs w:val="16"/>
              </w:rPr>
              <w:t>hyperoxic</w:t>
            </w:r>
            <w:proofErr w:type="spellEnd"/>
            <w:r w:rsidRPr="003B608E">
              <w:rPr>
                <w:rFonts w:eastAsia="Times New Roman" w:cs="Times New Roman"/>
                <w:color w:val="000000"/>
                <w:sz w:val="16"/>
                <w:szCs w:val="16"/>
              </w:rPr>
              <w:br/>
              <w:t>recovery.</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41"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lastRenderedPageBreak/>
              <w:t>O2 at 21%</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heart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Exercise performance</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A</w:t>
            </w:r>
            <w:r w:rsidRPr="003B608E">
              <w:rPr>
                <w:rFonts w:eastAsia="Times New Roman" w:cs="Times New Roman"/>
                <w:color w:val="000000"/>
                <w:sz w:val="16"/>
                <w:szCs w:val="16"/>
              </w:rPr>
              <w:t>nthropometrics, resting blood pressure and heart rate tests, cardiopulmonary stress test, Echocardiographic study in M-mode.</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The IHHT showed improved exercise capacity, reduced systolic and diastolic blood</w:t>
            </w:r>
            <w:r>
              <w:rPr>
                <w:rFonts w:eastAsia="Times New Roman" w:cs="Times New Roman"/>
                <w:color w:val="000000"/>
                <w:sz w:val="16"/>
                <w:szCs w:val="16"/>
              </w:rPr>
              <w:t xml:space="preserve"> </w:t>
            </w:r>
            <w:r w:rsidRPr="003B608E">
              <w:rPr>
                <w:rFonts w:eastAsia="Times New Roman" w:cs="Times New Roman"/>
                <w:color w:val="000000"/>
                <w:sz w:val="16"/>
                <w:szCs w:val="16"/>
              </w:rPr>
              <w:t>pressures, enhanced left ventricle ejection fraction, but only at 1-month</w:t>
            </w:r>
            <w:r w:rsidRPr="003B608E">
              <w:rPr>
                <w:rFonts w:eastAsia="Times New Roman" w:cs="Times New Roman"/>
                <w:color w:val="000000"/>
                <w:sz w:val="16"/>
                <w:szCs w:val="16"/>
              </w:rPr>
              <w:br/>
              <w:t>follow-up.</w:t>
            </w:r>
          </w:p>
        </w:tc>
        <w:tc>
          <w:tcPr>
            <w:tcW w:w="11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IHHT </w:t>
            </w:r>
            <w:r w:rsidRPr="003B608E">
              <w:rPr>
                <w:rFonts w:eastAsia="Times New Roman" w:cs="Times New Roman"/>
                <w:color w:val="000000"/>
                <w:sz w:val="16"/>
                <w:szCs w:val="16"/>
              </w:rPr>
              <w:t>is</w:t>
            </w:r>
            <w:r>
              <w:rPr>
                <w:rFonts w:eastAsia="Times New Roman" w:cs="Times New Roman"/>
                <w:color w:val="000000"/>
                <w:sz w:val="16"/>
                <w:szCs w:val="16"/>
              </w:rPr>
              <w:t xml:space="preserve"> </w:t>
            </w:r>
            <w:r w:rsidRPr="003B608E">
              <w:rPr>
                <w:rFonts w:eastAsia="Times New Roman" w:cs="Times New Roman"/>
                <w:color w:val="000000"/>
                <w:sz w:val="16"/>
                <w:szCs w:val="16"/>
              </w:rPr>
              <w:t xml:space="preserve">associated with improved exercise tolerance, healthier risks factors profile, and a better quality of life. The study also suggests that IHHT is as effective as an 8-week standard rehabilitation </w:t>
            </w:r>
            <w:r w:rsidRPr="003B608E">
              <w:rPr>
                <w:rFonts w:eastAsia="Times New Roman" w:cs="Times New Roman"/>
                <w:color w:val="000000"/>
                <w:sz w:val="16"/>
                <w:szCs w:val="16"/>
              </w:rPr>
              <w:lastRenderedPageBreak/>
              <w:t>program</w:t>
            </w:r>
            <w:r>
              <w:rPr>
                <w:rFonts w:eastAsia="Times New Roman" w:cs="Times New Roman"/>
                <w:color w:val="000000"/>
                <w:sz w:val="16"/>
                <w:szCs w:val="16"/>
              </w:rPr>
              <w:t xml:space="preserve"> in CAD patients</w:t>
            </w:r>
            <w:r w:rsidRPr="003B608E">
              <w:rPr>
                <w:rFonts w:eastAsia="Times New Roman" w:cs="Times New Roman"/>
                <w:color w:val="000000"/>
                <w:sz w:val="16"/>
                <w:szCs w:val="16"/>
              </w:rPr>
              <w: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89" w:type="dxa"/>
            <w:vMerge w:val="restart"/>
            <w:vAlign w:val="center"/>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lastRenderedPageBreak/>
              <w:t>safe</w:t>
            </w:r>
          </w:p>
        </w:tc>
      </w:tr>
      <w:tr w:rsidR="00F71A16" w:rsidRPr="003B608E" w:rsidTr="00B27152">
        <w:trPr>
          <w:trHeight w:val="52"/>
        </w:trPr>
        <w:tc>
          <w:tcPr>
            <w:tcW w:w="98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8"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4"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135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567"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9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41"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 markers (</w:t>
            </w:r>
            <w:r>
              <w:rPr>
                <w:rFonts w:eastAsia="Times New Roman" w:cs="Times New Roman"/>
                <w:color w:val="000000"/>
                <w:sz w:val="16"/>
                <w:szCs w:val="16"/>
              </w:rPr>
              <w:t>RBC</w:t>
            </w:r>
            <w:r w:rsidRPr="003B608E">
              <w:rPr>
                <w:rFonts w:eastAsia="Times New Roman" w:cs="Times New Roman"/>
                <w:color w:val="000000"/>
                <w:sz w:val="16"/>
                <w:szCs w:val="16"/>
              </w:rPr>
              <w:t xml:space="preserve">, </w:t>
            </w:r>
            <w:proofErr w:type="spellStart"/>
            <w:r w:rsidRPr="003B608E">
              <w:rPr>
                <w:rFonts w:eastAsia="Times New Roman" w:cs="Times New Roman"/>
                <w:color w:val="000000"/>
                <w:sz w:val="16"/>
                <w:szCs w:val="16"/>
              </w:rPr>
              <w:t>Hgb</w:t>
            </w:r>
            <w:proofErr w:type="spellEnd"/>
            <w:r>
              <w:rPr>
                <w:rFonts w:eastAsia="Times New Roman" w:cs="Times New Roman"/>
                <w:color w:val="000000"/>
                <w:sz w:val="16"/>
                <w:szCs w:val="16"/>
              </w:rPr>
              <w:t xml:space="preserve">, </w:t>
            </w:r>
            <w:r>
              <w:rPr>
                <w:rFonts w:eastAsia="Times New Roman" w:cs="Times New Roman"/>
                <w:color w:val="000000"/>
                <w:sz w:val="16"/>
                <w:szCs w:val="16"/>
              </w:rPr>
              <w:lastRenderedPageBreak/>
              <w:t>reticulocyte</w:t>
            </w:r>
            <w:r w:rsidRPr="003B608E">
              <w:rPr>
                <w:rFonts w:eastAsia="Times New Roman" w:cs="Times New Roman"/>
                <w:color w:val="000000"/>
                <w:sz w:val="16"/>
                <w:szCs w:val="16"/>
              </w:rPr>
              <w:t>)</w:t>
            </w:r>
            <w:r>
              <w:rPr>
                <w:rFonts w:eastAsia="Times New Roman" w:cs="Times New Roman"/>
                <w:color w:val="000000"/>
                <w:sz w:val="16"/>
                <w:szCs w:val="16"/>
              </w:rPr>
              <w:t xml:space="preserve">, and </w:t>
            </w:r>
            <w:r w:rsidRPr="003B608E">
              <w:rPr>
                <w:rFonts w:eastAsia="Times New Roman" w:cs="Times New Roman"/>
                <w:color w:val="000000"/>
                <w:sz w:val="16"/>
                <w:szCs w:val="16"/>
              </w:rPr>
              <w:t xml:space="preserve">metabolic profiles  (serum total, </w:t>
            </w:r>
            <w:r>
              <w:rPr>
                <w:rFonts w:eastAsia="Times New Roman" w:cs="Times New Roman"/>
                <w:color w:val="000000"/>
                <w:sz w:val="16"/>
                <w:szCs w:val="16"/>
              </w:rPr>
              <w:t xml:space="preserve">LDL and </w:t>
            </w:r>
            <w:proofErr w:type="spellStart"/>
            <w:r>
              <w:rPr>
                <w:rFonts w:eastAsia="Times New Roman" w:cs="Times New Roman"/>
                <w:color w:val="000000"/>
                <w:sz w:val="16"/>
                <w:szCs w:val="16"/>
              </w:rPr>
              <w:t>HDL,</w:t>
            </w:r>
            <w:r w:rsidRPr="003B608E">
              <w:rPr>
                <w:rFonts w:eastAsia="Times New Roman" w:cs="Times New Roman"/>
                <w:color w:val="000000"/>
                <w:sz w:val="16"/>
                <w:szCs w:val="16"/>
              </w:rPr>
              <w:t>triglycerides</w:t>
            </w:r>
            <w:proofErr w:type="spellEnd"/>
            <w:r w:rsidRPr="003B608E">
              <w:rPr>
                <w:rFonts w:eastAsia="Times New Roman" w:cs="Times New Roman"/>
                <w:color w:val="000000"/>
                <w:sz w:val="16"/>
                <w:szCs w:val="16"/>
              </w:rPr>
              <w:t>, and glucose)</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lastRenderedPageBreak/>
              <w:t xml:space="preserve">Analyzed using standardized analytical </w:t>
            </w:r>
            <w:r w:rsidRPr="003B608E">
              <w:rPr>
                <w:rFonts w:eastAsia="Times New Roman" w:cs="Times New Roman"/>
                <w:color w:val="000000"/>
                <w:sz w:val="16"/>
                <w:szCs w:val="16"/>
              </w:rPr>
              <w:lastRenderedPageBreak/>
              <w:t>methods.</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Pr>
                <w:rFonts w:eastAsia="Times New Roman" w:cs="Times New Roman"/>
                <w:color w:val="000000"/>
                <w:sz w:val="16"/>
                <w:szCs w:val="16"/>
              </w:rPr>
              <w:lastRenderedPageBreak/>
              <w:t>Hgb</w:t>
            </w:r>
            <w:proofErr w:type="spellEnd"/>
            <w:r w:rsidRPr="003B608E">
              <w:rPr>
                <w:rFonts w:eastAsia="Times New Roman" w:cs="Times New Roman"/>
                <w:color w:val="000000"/>
                <w:sz w:val="16"/>
                <w:szCs w:val="16"/>
              </w:rPr>
              <w:t xml:space="preserve"> and </w:t>
            </w:r>
            <w:proofErr w:type="spellStart"/>
            <w:r w:rsidRPr="003B608E">
              <w:rPr>
                <w:rFonts w:eastAsia="Times New Roman" w:cs="Times New Roman"/>
                <w:color w:val="000000"/>
                <w:sz w:val="16"/>
                <w:szCs w:val="16"/>
              </w:rPr>
              <w:t>glycemia</w:t>
            </w:r>
            <w:proofErr w:type="spellEnd"/>
            <w:r w:rsidRPr="003B608E">
              <w:rPr>
                <w:rFonts w:eastAsia="Times New Roman" w:cs="Times New Roman"/>
                <w:color w:val="000000"/>
                <w:sz w:val="16"/>
                <w:szCs w:val="16"/>
              </w:rPr>
              <w:t xml:space="preserve"> were unchanged after IHHT, but </w:t>
            </w:r>
            <w:proofErr w:type="spellStart"/>
            <w:r w:rsidRPr="003B608E">
              <w:rPr>
                <w:rFonts w:eastAsia="Times New Roman" w:cs="Times New Roman"/>
                <w:color w:val="000000"/>
                <w:sz w:val="16"/>
                <w:szCs w:val="16"/>
              </w:rPr>
              <w:t>glycemia</w:t>
            </w:r>
            <w:proofErr w:type="spellEnd"/>
            <w:r w:rsidRPr="003B608E">
              <w:rPr>
                <w:rFonts w:eastAsia="Times New Roman" w:cs="Times New Roman"/>
                <w:color w:val="000000"/>
                <w:sz w:val="16"/>
                <w:szCs w:val="16"/>
              </w:rPr>
              <w:t xml:space="preserve"> was </w:t>
            </w:r>
            <w:r w:rsidRPr="003B608E">
              <w:rPr>
                <w:rFonts w:eastAsia="Times New Roman" w:cs="Times New Roman"/>
                <w:color w:val="000000"/>
                <w:sz w:val="16"/>
                <w:szCs w:val="16"/>
              </w:rPr>
              <w:lastRenderedPageBreak/>
              <w:t xml:space="preserve">significantly lower at the 1-month follow-up. Total cholesterol and </w:t>
            </w:r>
            <w:r>
              <w:rPr>
                <w:rFonts w:eastAsia="Times New Roman" w:cs="Times New Roman"/>
                <w:color w:val="000000"/>
                <w:sz w:val="16"/>
                <w:szCs w:val="16"/>
              </w:rPr>
              <w:t>LDL</w:t>
            </w:r>
            <w:r w:rsidRPr="003B608E">
              <w:rPr>
                <w:rFonts w:eastAsia="Times New Roman" w:cs="Times New Roman"/>
                <w:color w:val="000000"/>
                <w:sz w:val="16"/>
                <w:szCs w:val="16"/>
              </w:rPr>
              <w:t xml:space="preserve"> were lower after IHHT. At the 1-month follow-up total cholesterol was similar to pretreatment.  Reticulocytes were significantly higher in the IHHT at the end of treatment and at 1-month follow-up.</w:t>
            </w:r>
          </w:p>
        </w:tc>
        <w:tc>
          <w:tcPr>
            <w:tcW w:w="11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9" w:type="dxa"/>
            <w:vMerge/>
            <w:vAlign w:val="center"/>
          </w:tcPr>
          <w:p w:rsidR="00F71A16" w:rsidRPr="003B608E" w:rsidRDefault="00F71A16" w:rsidP="00F71A16">
            <w:pPr>
              <w:spacing w:before="0" w:after="0"/>
              <w:jc w:val="center"/>
              <w:rPr>
                <w:rFonts w:eastAsia="Times New Roman" w:cs="Times New Roman"/>
                <w:color w:val="000000"/>
                <w:sz w:val="16"/>
                <w:szCs w:val="16"/>
              </w:rPr>
            </w:pPr>
          </w:p>
        </w:tc>
      </w:tr>
      <w:tr w:rsidR="00F71A16" w:rsidRPr="003B608E" w:rsidTr="00B27152">
        <w:trPr>
          <w:trHeight w:val="1289"/>
        </w:trPr>
        <w:tc>
          <w:tcPr>
            <w:tcW w:w="98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8"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4"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135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567"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9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41"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Q</w:t>
            </w:r>
            <w:r w:rsidRPr="003B608E">
              <w:rPr>
                <w:rFonts w:eastAsia="Times New Roman" w:cs="Times New Roman"/>
                <w:color w:val="000000"/>
                <w:sz w:val="16"/>
                <w:szCs w:val="16"/>
              </w:rPr>
              <w:t>uality of life</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Seattle Angina Questionnaire [SAQ].</w:t>
            </w:r>
          </w:p>
        </w:tc>
        <w:tc>
          <w:tcPr>
            <w:tcW w:w="1559" w:type="dxa"/>
            <w:shd w:val="clear" w:color="auto" w:fill="auto"/>
            <w:vAlign w:val="center"/>
            <w:hideMark/>
          </w:tcPr>
          <w:p w:rsidR="00F71A16"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The </w:t>
            </w:r>
            <w:r w:rsidRPr="003B608E">
              <w:rPr>
                <w:rFonts w:eastAsia="Times New Roman" w:cs="Times New Roman"/>
                <w:color w:val="000000"/>
                <w:sz w:val="16"/>
                <w:szCs w:val="16"/>
              </w:rPr>
              <w:t xml:space="preserve">SAQ profile was improved and not significantly different to the control after standard rehabilitation. </w:t>
            </w:r>
          </w:p>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The IHHT was compared to the</w:t>
            </w:r>
            <w:r w:rsidRPr="003B608E">
              <w:rPr>
                <w:rFonts w:eastAsia="Times New Roman" w:cs="Times New Roman"/>
                <w:color w:val="000000"/>
                <w:sz w:val="16"/>
                <w:szCs w:val="16"/>
              </w:rPr>
              <w:br/>
              <w:t>control at 1-month follow-up, and no differences were found.</w:t>
            </w:r>
          </w:p>
        </w:tc>
        <w:tc>
          <w:tcPr>
            <w:tcW w:w="11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9" w:type="dxa"/>
            <w:vMerge/>
            <w:vAlign w:val="center"/>
          </w:tcPr>
          <w:p w:rsidR="00F71A16" w:rsidRPr="003B608E" w:rsidRDefault="00F71A16" w:rsidP="00F71A16">
            <w:pPr>
              <w:spacing w:before="0" w:after="0"/>
              <w:jc w:val="center"/>
              <w:rPr>
                <w:rFonts w:eastAsia="Times New Roman" w:cs="Times New Roman"/>
                <w:color w:val="000000"/>
                <w:sz w:val="16"/>
                <w:szCs w:val="16"/>
              </w:rPr>
            </w:pPr>
          </w:p>
        </w:tc>
      </w:tr>
      <w:tr w:rsidR="00F71A16" w:rsidRPr="003B608E" w:rsidTr="00B27152">
        <w:trPr>
          <w:trHeight w:val="2054"/>
        </w:trPr>
        <w:tc>
          <w:tcPr>
            <w:tcW w:w="98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t>Serebrovska</w:t>
            </w:r>
            <w:proofErr w:type="spellEnd"/>
            <w:r w:rsidRPr="003B608E">
              <w:rPr>
                <w:rFonts w:eastAsia="Times New Roman" w:cs="Times New Roman"/>
                <w:color w:val="000000"/>
                <w:sz w:val="16"/>
                <w:szCs w:val="16"/>
              </w:rPr>
              <w:t xml:space="preserve"> et al., 2019</w:t>
            </w:r>
          </w:p>
          <w:p w:rsidR="00F71A16" w:rsidRPr="003B608E" w:rsidRDefault="00F71A16" w:rsidP="00F71A16">
            <w:pPr>
              <w:spacing w:before="0" w:after="0"/>
              <w:jc w:val="center"/>
              <w:rPr>
                <w:rFonts w:eastAsia="Times New Roman" w:cs="Times New Roman"/>
                <w:color w:val="000000"/>
                <w:sz w:val="16"/>
                <w:szCs w:val="16"/>
              </w:rPr>
            </w:pPr>
          </w:p>
        </w:tc>
        <w:tc>
          <w:tcPr>
            <w:tcW w:w="708"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Ukraine</w:t>
            </w: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t>Prediabetic</w:t>
            </w:r>
            <w:proofErr w:type="spellEnd"/>
            <w:r w:rsidRPr="003B608E">
              <w:rPr>
                <w:rFonts w:eastAsia="Times New Roman" w:cs="Times New Roman"/>
                <w:color w:val="000000"/>
                <w:sz w:val="16"/>
                <w:szCs w:val="16"/>
              </w:rPr>
              <w:t xml:space="preserve"> patients</w:t>
            </w:r>
          </w:p>
          <w:p w:rsidR="00F71A16" w:rsidRPr="003B608E" w:rsidRDefault="00F71A16" w:rsidP="00F71A16">
            <w:pPr>
              <w:spacing w:before="0" w:after="0"/>
              <w:jc w:val="center"/>
              <w:rPr>
                <w:rFonts w:eastAsia="Times New Roman" w:cs="Times New Roman"/>
                <w:color w:val="000000"/>
                <w:sz w:val="16"/>
                <w:szCs w:val="16"/>
              </w:rPr>
            </w:pPr>
          </w:p>
        </w:tc>
        <w:tc>
          <w:tcPr>
            <w:tcW w:w="6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51-74 </w:t>
            </w:r>
          </w:p>
          <w:p w:rsidR="00F71A16" w:rsidRPr="003B608E" w:rsidRDefault="00F71A16" w:rsidP="00F71A16">
            <w:pPr>
              <w:spacing w:before="0" w:after="0"/>
              <w:jc w:val="center"/>
              <w:rPr>
                <w:rFonts w:eastAsia="Times New Roman" w:cs="Times New Roman"/>
                <w:color w:val="000000"/>
                <w:sz w:val="16"/>
                <w:szCs w:val="16"/>
              </w:rPr>
            </w:pPr>
          </w:p>
        </w:tc>
        <w:tc>
          <w:tcPr>
            <w:tcW w:w="630" w:type="dxa"/>
            <w:vMerge w:val="restart"/>
            <w:shd w:val="clear" w:color="auto" w:fill="auto"/>
            <w:vAlign w:val="center"/>
            <w:hideMark/>
          </w:tcPr>
          <w:p w:rsidR="00F71A16"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17</w:t>
            </w:r>
          </w:p>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(IHHT)</w:t>
            </w:r>
            <w:r w:rsidRPr="003B608E">
              <w:rPr>
                <w:rFonts w:eastAsia="Times New Roman" w:cs="Times New Roman"/>
                <w:color w:val="000000"/>
                <w:sz w:val="16"/>
                <w:szCs w:val="16"/>
              </w:rPr>
              <w:t>, 22 (IHNT)</w:t>
            </w:r>
          </w:p>
          <w:p w:rsidR="00F71A16" w:rsidRPr="003B608E" w:rsidRDefault="00F71A16" w:rsidP="00F71A16">
            <w:pPr>
              <w:spacing w:before="0" w:after="0"/>
              <w:jc w:val="center"/>
              <w:rPr>
                <w:rFonts w:eastAsia="Times New Roman" w:cs="Times New Roman"/>
                <w:color w:val="000000"/>
                <w:sz w:val="16"/>
                <w:szCs w:val="16"/>
              </w:rPr>
            </w:pPr>
          </w:p>
        </w:tc>
        <w:tc>
          <w:tcPr>
            <w:tcW w:w="684"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16</w:t>
            </w:r>
          </w:p>
          <w:p w:rsidR="00F71A16" w:rsidRPr="003B608E" w:rsidRDefault="00F71A16" w:rsidP="00F71A16">
            <w:pPr>
              <w:spacing w:before="0" w:after="0"/>
              <w:jc w:val="center"/>
              <w:rPr>
                <w:rFonts w:eastAsia="Times New Roman" w:cs="Times New Roman"/>
                <w:color w:val="000000"/>
                <w:sz w:val="16"/>
                <w:szCs w:val="16"/>
              </w:rPr>
            </w:pPr>
          </w:p>
        </w:tc>
        <w:tc>
          <w:tcPr>
            <w:tcW w:w="135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To compare the impact of adaptation to IHHT versus IHN</w:t>
            </w:r>
            <w:r>
              <w:rPr>
                <w:rFonts w:eastAsia="Times New Roman" w:cs="Times New Roman"/>
                <w:color w:val="000000"/>
                <w:sz w:val="16"/>
                <w:szCs w:val="16"/>
              </w:rPr>
              <w:t xml:space="preserve">T on some </w:t>
            </w:r>
            <w:r w:rsidRPr="003B608E">
              <w:rPr>
                <w:rFonts w:eastAsia="Times New Roman" w:cs="Times New Roman"/>
                <w:color w:val="000000"/>
                <w:sz w:val="16"/>
                <w:szCs w:val="16"/>
              </w:rPr>
              <w:t xml:space="preserve">metabolic variables in </w:t>
            </w:r>
            <w:proofErr w:type="spellStart"/>
            <w:r w:rsidRPr="003B608E">
              <w:rPr>
                <w:rFonts w:eastAsia="Times New Roman" w:cs="Times New Roman"/>
                <w:color w:val="000000"/>
                <w:sz w:val="16"/>
                <w:szCs w:val="16"/>
              </w:rPr>
              <w:t>prediabetic</w:t>
            </w:r>
            <w:proofErr w:type="spellEnd"/>
            <w:r w:rsidRPr="003B608E">
              <w:rPr>
                <w:rFonts w:eastAsia="Times New Roman" w:cs="Times New Roman"/>
                <w:color w:val="000000"/>
                <w:sz w:val="16"/>
                <w:szCs w:val="16"/>
              </w:rPr>
              <w:t xml:space="preserve"> patients.</w:t>
            </w:r>
          </w:p>
          <w:p w:rsidR="00F71A16" w:rsidRPr="003B608E" w:rsidRDefault="00F71A16" w:rsidP="00F71A16">
            <w:pPr>
              <w:spacing w:before="0" w:after="0"/>
              <w:jc w:val="center"/>
              <w:rPr>
                <w:rFonts w:eastAsia="Times New Roman" w:cs="Times New Roman"/>
                <w:color w:val="000000"/>
                <w:sz w:val="16"/>
                <w:szCs w:val="16"/>
              </w:rPr>
            </w:pPr>
          </w:p>
        </w:tc>
        <w:tc>
          <w:tcPr>
            <w:tcW w:w="61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RCT</w:t>
            </w:r>
          </w:p>
          <w:p w:rsidR="00F71A16" w:rsidRPr="003B608E" w:rsidRDefault="00F71A16" w:rsidP="00F71A16">
            <w:pPr>
              <w:spacing w:before="0" w:after="0"/>
              <w:jc w:val="center"/>
              <w:rPr>
                <w:rFonts w:eastAsia="Times New Roman" w:cs="Times New Roman"/>
                <w:color w:val="000000"/>
                <w:sz w:val="16"/>
                <w:szCs w:val="16"/>
              </w:rPr>
            </w:pPr>
          </w:p>
        </w:tc>
        <w:tc>
          <w:tcPr>
            <w:tcW w:w="567"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IHHT and IHNT</w:t>
            </w:r>
          </w:p>
          <w:p w:rsidR="00F71A16" w:rsidRPr="003B608E" w:rsidRDefault="00F71A16" w:rsidP="00F71A16">
            <w:pPr>
              <w:spacing w:before="0" w:after="0"/>
              <w:jc w:val="center"/>
              <w:rPr>
                <w:rFonts w:eastAsia="Times New Roman" w:cs="Times New Roman"/>
                <w:color w:val="000000"/>
                <w:sz w:val="16"/>
                <w:szCs w:val="16"/>
              </w:rPr>
            </w:pPr>
          </w:p>
        </w:tc>
        <w:tc>
          <w:tcPr>
            <w:tcW w:w="9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15 sessions </w:t>
            </w:r>
            <w:r>
              <w:rPr>
                <w:rFonts w:eastAsia="Times New Roman" w:cs="Times New Roman"/>
                <w:color w:val="000000"/>
                <w:sz w:val="16"/>
                <w:szCs w:val="16"/>
              </w:rPr>
              <w:t>IHHT and IHNT, 5 times/ week for 3 weeks.</w:t>
            </w:r>
            <w:r w:rsidRPr="003B608E">
              <w:rPr>
                <w:rFonts w:eastAsia="Times New Roman" w:cs="Times New Roman"/>
                <w:color w:val="000000"/>
                <w:sz w:val="16"/>
                <w:szCs w:val="16"/>
              </w:rPr>
              <w:t xml:space="preserve"> Each session consisted of 4 </w:t>
            </w:r>
            <w:r>
              <w:rPr>
                <w:rFonts w:eastAsia="Times New Roman" w:cs="Times New Roman"/>
                <w:color w:val="000000"/>
                <w:sz w:val="16"/>
                <w:szCs w:val="16"/>
              </w:rPr>
              <w:t>cycles of 5 min of 12%Fi</w:t>
            </w:r>
            <w:r w:rsidRPr="003B608E">
              <w:rPr>
                <w:rFonts w:eastAsia="Times New Roman" w:cs="Times New Roman"/>
                <w:color w:val="000000"/>
                <w:sz w:val="16"/>
                <w:szCs w:val="16"/>
              </w:rPr>
              <w:t>O2</w:t>
            </w:r>
            <w:r>
              <w:rPr>
                <w:rFonts w:eastAsia="Times New Roman" w:cs="Times New Roman"/>
                <w:color w:val="000000"/>
                <w:sz w:val="16"/>
                <w:szCs w:val="16"/>
              </w:rPr>
              <w:t xml:space="preserve"> </w:t>
            </w:r>
            <w:r w:rsidRPr="003B608E">
              <w:rPr>
                <w:rFonts w:eastAsia="Times New Roman" w:cs="Times New Roman"/>
                <w:color w:val="000000"/>
                <w:sz w:val="16"/>
                <w:szCs w:val="16"/>
              </w:rPr>
              <w:t>followe</w:t>
            </w:r>
            <w:r>
              <w:rPr>
                <w:rFonts w:eastAsia="Times New Roman" w:cs="Times New Roman"/>
                <w:color w:val="000000"/>
                <w:sz w:val="16"/>
                <w:szCs w:val="16"/>
              </w:rPr>
              <w:t xml:space="preserve">d </w:t>
            </w:r>
            <w:r>
              <w:rPr>
                <w:rFonts w:eastAsia="Times New Roman" w:cs="Times New Roman"/>
                <w:color w:val="000000"/>
                <w:sz w:val="16"/>
                <w:szCs w:val="16"/>
              </w:rPr>
              <w:lastRenderedPageBreak/>
              <w:t xml:space="preserve">by 3 min of 33% O2 in nitrogen or 5 minutes of </w:t>
            </w:r>
            <w:proofErr w:type="spellStart"/>
            <w:r>
              <w:rPr>
                <w:rFonts w:eastAsia="Times New Roman" w:cs="Times New Roman"/>
                <w:color w:val="000000"/>
                <w:sz w:val="16"/>
                <w:szCs w:val="16"/>
              </w:rPr>
              <w:t>normoxia</w:t>
            </w:r>
            <w:proofErr w:type="spellEnd"/>
          </w:p>
          <w:p w:rsidR="00F71A16" w:rsidRPr="003B608E" w:rsidRDefault="00F71A16" w:rsidP="00F71A16">
            <w:pPr>
              <w:spacing w:before="0" w:after="0"/>
              <w:jc w:val="center"/>
              <w:rPr>
                <w:rFonts w:eastAsia="Times New Roman" w:cs="Times New Roman"/>
                <w:color w:val="000000"/>
                <w:sz w:val="16"/>
                <w:szCs w:val="16"/>
              </w:rPr>
            </w:pPr>
          </w:p>
        </w:tc>
        <w:tc>
          <w:tcPr>
            <w:tcW w:w="641"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lastRenderedPageBreak/>
              <w:t xml:space="preserve">IHHT </w:t>
            </w:r>
            <w:proofErr w:type="gramStart"/>
            <w:r w:rsidRPr="003B608E">
              <w:rPr>
                <w:rFonts w:eastAsia="Times New Roman" w:cs="Times New Roman"/>
                <w:color w:val="000000"/>
                <w:sz w:val="16"/>
                <w:szCs w:val="16"/>
              </w:rPr>
              <w:t>placebo  without</w:t>
            </w:r>
            <w:proofErr w:type="gramEnd"/>
            <w:r w:rsidRPr="003B608E">
              <w:rPr>
                <w:rFonts w:eastAsia="Times New Roman" w:cs="Times New Roman"/>
                <w:color w:val="000000"/>
                <w:sz w:val="16"/>
                <w:szCs w:val="16"/>
              </w:rPr>
              <w:t xml:space="preserve"> switching to the supply of hypoxic gas mixture.</w:t>
            </w:r>
          </w:p>
          <w:p w:rsidR="00F71A16" w:rsidRPr="003B608E" w:rsidRDefault="00F71A16" w:rsidP="00F71A16">
            <w:pPr>
              <w:spacing w:before="0" w:after="0"/>
              <w:jc w:val="center"/>
              <w:rPr>
                <w:rFonts w:eastAsia="Times New Roman" w:cs="Times New Roman"/>
                <w:color w:val="000000"/>
                <w:sz w:val="16"/>
                <w:szCs w:val="16"/>
              </w:rPr>
            </w:pPr>
          </w:p>
        </w:tc>
        <w:tc>
          <w:tcPr>
            <w:tcW w:w="6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NA</w:t>
            </w: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 (Serum and plasma)</w:t>
            </w:r>
          </w:p>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Serum total cholesterol, </w:t>
            </w:r>
            <w:r>
              <w:rPr>
                <w:rFonts w:eastAsia="Times New Roman" w:cs="Times New Roman"/>
                <w:color w:val="000000"/>
                <w:sz w:val="16"/>
                <w:szCs w:val="16"/>
              </w:rPr>
              <w:t xml:space="preserve">HDL, LDL, and </w:t>
            </w:r>
            <w:r w:rsidRPr="003B608E">
              <w:rPr>
                <w:rFonts w:eastAsia="Times New Roman" w:cs="Times New Roman"/>
                <w:color w:val="000000"/>
                <w:sz w:val="16"/>
                <w:szCs w:val="16"/>
              </w:rPr>
              <w:t>triglycerides</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t>Cholestech</w:t>
            </w:r>
            <w:proofErr w:type="spellEnd"/>
            <w:r w:rsidRPr="003B608E">
              <w:rPr>
                <w:rFonts w:eastAsia="Times New Roman" w:cs="Times New Roman"/>
                <w:color w:val="000000"/>
                <w:sz w:val="16"/>
                <w:szCs w:val="16"/>
              </w:rPr>
              <w:t xml:space="preserve"> </w:t>
            </w:r>
            <w:proofErr w:type="spellStart"/>
            <w:r w:rsidRPr="003B608E">
              <w:rPr>
                <w:rFonts w:eastAsia="Times New Roman" w:cs="Times New Roman"/>
                <w:color w:val="000000"/>
                <w:sz w:val="16"/>
                <w:szCs w:val="16"/>
              </w:rPr>
              <w:t>LDXdevice</w:t>
            </w:r>
            <w:proofErr w:type="spellEnd"/>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The study showed the same positive effect of IHNT and IHHT: decreased total blood cholesterol and </w:t>
            </w:r>
            <w:r>
              <w:rPr>
                <w:rFonts w:eastAsia="Times New Roman" w:cs="Times New Roman"/>
                <w:color w:val="000000"/>
                <w:sz w:val="16"/>
                <w:szCs w:val="16"/>
              </w:rPr>
              <w:t>LDL</w:t>
            </w:r>
            <w:r w:rsidRPr="003B608E">
              <w:rPr>
                <w:rFonts w:eastAsia="Times New Roman" w:cs="Times New Roman"/>
                <w:color w:val="000000"/>
                <w:sz w:val="16"/>
                <w:szCs w:val="16"/>
              </w:rPr>
              <w:t>; and an equally smaller drop in SpO2 during acute hypoxic test. Improved parameters persisted 1 month after training termination in both groups.</w:t>
            </w:r>
          </w:p>
        </w:tc>
        <w:tc>
          <w:tcPr>
            <w:tcW w:w="11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One of the advantages of IHHT over IHT observed in this study could be some reduction in the duration of the sessions due to shortening </w:t>
            </w:r>
            <w:proofErr w:type="spellStart"/>
            <w:r w:rsidRPr="003B608E">
              <w:rPr>
                <w:rFonts w:eastAsia="Times New Roman" w:cs="Times New Roman"/>
                <w:color w:val="000000"/>
                <w:sz w:val="16"/>
                <w:szCs w:val="16"/>
              </w:rPr>
              <w:t>reoxygenation</w:t>
            </w:r>
            <w:proofErr w:type="spellEnd"/>
            <w:r w:rsidRPr="003B608E">
              <w:rPr>
                <w:rFonts w:eastAsia="Times New Roman" w:cs="Times New Roman"/>
                <w:color w:val="000000"/>
                <w:sz w:val="16"/>
                <w:szCs w:val="16"/>
              </w:rPr>
              <w:t xml:space="preserve"> periods.</w:t>
            </w:r>
          </w:p>
          <w:p w:rsidR="00F71A16" w:rsidRPr="003B608E" w:rsidRDefault="00F71A16" w:rsidP="00F71A16">
            <w:pPr>
              <w:spacing w:before="0" w:after="0"/>
              <w:jc w:val="center"/>
              <w:rPr>
                <w:rFonts w:eastAsia="Times New Roman" w:cs="Times New Roman"/>
                <w:color w:val="000000"/>
                <w:sz w:val="16"/>
                <w:szCs w:val="16"/>
              </w:rPr>
            </w:pPr>
          </w:p>
        </w:tc>
        <w:tc>
          <w:tcPr>
            <w:tcW w:w="689" w:type="dxa"/>
            <w:vMerge w:val="restart"/>
            <w:vAlign w:val="center"/>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Not mentioned</w:t>
            </w:r>
          </w:p>
        </w:tc>
      </w:tr>
      <w:tr w:rsidR="00F71A16" w:rsidRPr="003B608E" w:rsidTr="00B27152">
        <w:trPr>
          <w:trHeight w:val="2054"/>
        </w:trPr>
        <w:tc>
          <w:tcPr>
            <w:tcW w:w="98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8"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4" w:type="dxa"/>
            <w:vMerge/>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1350"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18"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567"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91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41"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Plasma glucose concentrations</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glucose oxidase method on a </w:t>
            </w:r>
            <w:r w:rsidRPr="003B608E">
              <w:rPr>
                <w:rFonts w:eastAsia="Times New Roman" w:cs="Times New Roman"/>
                <w:color w:val="000000"/>
                <w:sz w:val="16"/>
                <w:szCs w:val="16"/>
              </w:rPr>
              <w:t>semiautomatic biochemical analyzer</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The study showed the same positive effect of </w:t>
            </w:r>
            <w:r>
              <w:rPr>
                <w:rFonts w:eastAsia="Times New Roman" w:cs="Times New Roman"/>
                <w:color w:val="000000"/>
                <w:sz w:val="16"/>
                <w:szCs w:val="16"/>
              </w:rPr>
              <w:t>IHHT and IHNT</w:t>
            </w:r>
            <w:r w:rsidRPr="003B608E">
              <w:rPr>
                <w:rFonts w:eastAsia="Times New Roman" w:cs="Times New Roman"/>
                <w:color w:val="000000"/>
                <w:sz w:val="16"/>
                <w:szCs w:val="16"/>
              </w:rPr>
              <w:t>: equal reduction of serum glucose concentrations, both fasting and 2 hours of OGTT. Improved parameters persisted 1 month after training termination in both groups.</w:t>
            </w:r>
          </w:p>
        </w:tc>
        <w:tc>
          <w:tcPr>
            <w:tcW w:w="1134" w:type="dxa"/>
            <w:vMerge/>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
        </w:tc>
        <w:tc>
          <w:tcPr>
            <w:tcW w:w="689" w:type="dxa"/>
            <w:vMerge/>
            <w:vAlign w:val="center"/>
          </w:tcPr>
          <w:p w:rsidR="00F71A16" w:rsidRPr="003B608E" w:rsidRDefault="00F71A16" w:rsidP="00F71A16">
            <w:pPr>
              <w:spacing w:before="0" w:after="0"/>
              <w:jc w:val="center"/>
              <w:rPr>
                <w:rFonts w:eastAsia="Times New Roman" w:cs="Times New Roman"/>
                <w:color w:val="000000"/>
                <w:sz w:val="16"/>
                <w:szCs w:val="16"/>
              </w:rPr>
            </w:pPr>
          </w:p>
        </w:tc>
      </w:tr>
      <w:tr w:rsidR="00F71A16" w:rsidRPr="003B608E" w:rsidTr="00B27152">
        <w:trPr>
          <w:trHeight w:val="1289"/>
        </w:trPr>
        <w:tc>
          <w:tcPr>
            <w:tcW w:w="988"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lastRenderedPageBreak/>
              <w:t>Susta</w:t>
            </w:r>
            <w:proofErr w:type="spellEnd"/>
            <w:r w:rsidRPr="003B608E">
              <w:rPr>
                <w:rFonts w:eastAsia="Times New Roman" w:cs="Times New Roman"/>
                <w:color w:val="000000"/>
                <w:sz w:val="16"/>
                <w:szCs w:val="16"/>
              </w:rPr>
              <w:t xml:space="preserve"> et al., 2020</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8" w:type="dxa"/>
            <w:vMerge w:val="restart"/>
            <w:shd w:val="clear" w:color="auto" w:fill="auto"/>
            <w:noWrap/>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Russia</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Healthy</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18-24 </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3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21</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8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spellStart"/>
            <w:r w:rsidRPr="003B608E">
              <w:rPr>
                <w:rFonts w:eastAsia="Times New Roman" w:cs="Times New Roman"/>
                <w:color w:val="000000"/>
                <w:sz w:val="16"/>
                <w:szCs w:val="16"/>
              </w:rPr>
              <w:t>Cobared</w:t>
            </w:r>
            <w:proofErr w:type="spellEnd"/>
            <w:r w:rsidRPr="003B608E">
              <w:rPr>
                <w:rFonts w:eastAsia="Times New Roman" w:cs="Times New Roman"/>
                <w:color w:val="000000"/>
                <w:sz w:val="16"/>
                <w:szCs w:val="16"/>
              </w:rPr>
              <w:t xml:space="preserve"> with baseline</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1350"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To measure oxidative stress and antioxidant capacity in healthy humans after being acutely exposed to both IHN and IHH.</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18" w:type="dxa"/>
            <w:vMerge w:val="restart"/>
            <w:shd w:val="clear" w:color="auto" w:fill="auto"/>
            <w:vAlign w:val="center"/>
            <w:hideMark/>
          </w:tcPr>
          <w:p w:rsidR="00D01348" w:rsidRPr="00A67120" w:rsidRDefault="00D01348" w:rsidP="00D01348">
            <w:pPr>
              <w:spacing w:before="0" w:after="0"/>
              <w:jc w:val="center"/>
              <w:rPr>
                <w:rFonts w:eastAsia="Times New Roman" w:cs="Times New Roman"/>
                <w:color w:val="000000"/>
                <w:sz w:val="16"/>
                <w:szCs w:val="16"/>
              </w:rPr>
            </w:pPr>
            <w:r>
              <w:rPr>
                <w:rFonts w:eastAsia="Times New Roman" w:cs="Times New Roman"/>
                <w:color w:val="000000"/>
                <w:sz w:val="16"/>
                <w:szCs w:val="16"/>
              </w:rPr>
              <w:t>Uncontrolled CT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567"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IHHT and IHNT</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91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FIO2 11% for up to 7 min  followed by 3–5 min of exposure to </w:t>
            </w:r>
            <w:proofErr w:type="spellStart"/>
            <w:r w:rsidRPr="003B608E">
              <w:rPr>
                <w:rFonts w:eastAsia="Times New Roman" w:cs="Times New Roman"/>
                <w:color w:val="000000"/>
                <w:sz w:val="16"/>
                <w:szCs w:val="16"/>
              </w:rPr>
              <w:t>normoxia</w:t>
            </w:r>
            <w:proofErr w:type="spellEnd"/>
            <w:r>
              <w:rPr>
                <w:rFonts w:eastAsia="Times New Roman" w:cs="Times New Roman"/>
                <w:color w:val="000000"/>
                <w:sz w:val="16"/>
                <w:szCs w:val="16"/>
              </w:rPr>
              <w:t xml:space="preserve"> (room air) or </w:t>
            </w:r>
            <w:proofErr w:type="spellStart"/>
            <w:r>
              <w:rPr>
                <w:rFonts w:eastAsia="Times New Roman" w:cs="Times New Roman"/>
                <w:color w:val="000000"/>
                <w:sz w:val="16"/>
                <w:szCs w:val="16"/>
              </w:rPr>
              <w:t>hyperoxia</w:t>
            </w:r>
            <w:proofErr w:type="spellEnd"/>
            <w:r>
              <w:rPr>
                <w:rFonts w:eastAsia="Times New Roman" w:cs="Times New Roman"/>
                <w:color w:val="000000"/>
                <w:sz w:val="16"/>
                <w:szCs w:val="16"/>
              </w:rPr>
              <w:t>, FIO2 30%-</w:t>
            </w:r>
            <w:r w:rsidRPr="003B608E">
              <w:rPr>
                <w:rFonts w:eastAsia="Times New Roman" w:cs="Times New Roman"/>
                <w:color w:val="000000"/>
                <w:sz w:val="16"/>
                <w:szCs w:val="16"/>
              </w:rPr>
              <w:t>35%</w:t>
            </w:r>
          </w:p>
          <w:p w:rsidR="00F71A16" w:rsidRPr="003B608E" w:rsidRDefault="00F71A16" w:rsidP="00F71A16">
            <w:pPr>
              <w:spacing w:before="0" w:after="0"/>
              <w:jc w:val="center"/>
              <w:rPr>
                <w:rFonts w:eastAsia="Times New Roman" w:cs="Times New Roman"/>
                <w:color w:val="000000"/>
                <w:sz w:val="16"/>
                <w:szCs w:val="16"/>
              </w:rPr>
            </w:pPr>
          </w:p>
        </w:tc>
        <w:tc>
          <w:tcPr>
            <w:tcW w:w="641"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before exposure to IHHT or IHNT (baseline results)</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NA</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709"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Blood (plasma)</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851"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 xml:space="preserve">oxidative stress(concentration of </w:t>
            </w:r>
            <w:proofErr w:type="spellStart"/>
            <w:r w:rsidRPr="003B608E">
              <w:rPr>
                <w:rFonts w:eastAsia="Times New Roman" w:cs="Times New Roman"/>
                <w:color w:val="000000"/>
                <w:sz w:val="16"/>
                <w:szCs w:val="16"/>
              </w:rPr>
              <w:t>hydroperoxides</w:t>
            </w:r>
            <w:proofErr w:type="spellEnd"/>
            <w:r w:rsidRPr="003B608E">
              <w:rPr>
                <w:rFonts w:eastAsia="Times New Roman" w:cs="Times New Roman"/>
                <w:color w:val="000000"/>
                <w:sz w:val="16"/>
                <w:szCs w:val="16"/>
              </w:rPr>
              <w:t>)</w:t>
            </w:r>
          </w:p>
        </w:tc>
        <w:tc>
          <w:tcPr>
            <w:tcW w:w="992"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Pr>
                <w:rFonts w:eastAsia="Times New Roman" w:cs="Times New Roman"/>
                <w:color w:val="000000"/>
                <w:sz w:val="16"/>
                <w:szCs w:val="16"/>
              </w:rPr>
              <w:t>T</w:t>
            </w:r>
            <w:r w:rsidRPr="003B608E">
              <w:rPr>
                <w:rFonts w:eastAsia="Times New Roman" w:cs="Times New Roman"/>
                <w:color w:val="000000"/>
                <w:sz w:val="16"/>
                <w:szCs w:val="16"/>
              </w:rPr>
              <w:t>he d-ROMs fast test</w:t>
            </w:r>
          </w:p>
        </w:tc>
        <w:tc>
          <w:tcPr>
            <w:tcW w:w="1559" w:type="dxa"/>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Oxidative stress was similar after IHN and IHH exposures compared with baseline values.</w:t>
            </w:r>
          </w:p>
        </w:tc>
        <w:tc>
          <w:tcPr>
            <w:tcW w:w="1134" w:type="dxa"/>
            <w:vMerge w:val="restart"/>
            <w:shd w:val="clear" w:color="auto" w:fill="auto"/>
            <w:vAlign w:val="center"/>
            <w:hideMark/>
          </w:tcPr>
          <w:p w:rsidR="00F71A16" w:rsidRPr="003B608E" w:rsidRDefault="00F71A16" w:rsidP="00F71A16">
            <w:pPr>
              <w:spacing w:before="0" w:after="0"/>
              <w:jc w:val="center"/>
              <w:rPr>
                <w:rFonts w:eastAsia="Times New Roman" w:cs="Times New Roman"/>
                <w:color w:val="000000"/>
                <w:sz w:val="16"/>
                <w:szCs w:val="16"/>
              </w:rPr>
            </w:pPr>
            <w:proofErr w:type="gramStart"/>
            <w:r w:rsidRPr="003B608E">
              <w:rPr>
                <w:rFonts w:eastAsia="Times New Roman" w:cs="Times New Roman"/>
                <w:color w:val="000000"/>
                <w:sz w:val="16"/>
                <w:szCs w:val="16"/>
              </w:rPr>
              <w:t>hypoxia</w:t>
            </w:r>
            <w:proofErr w:type="gramEnd"/>
            <w:r w:rsidRPr="003B608E">
              <w:rPr>
                <w:rFonts w:eastAsia="Times New Roman" w:cs="Times New Roman"/>
                <w:color w:val="000000"/>
                <w:sz w:val="16"/>
                <w:szCs w:val="16"/>
              </w:rPr>
              <w:t xml:space="preserve"> (IHN and IHH) cause neither pronounced oxidative stress nor antioxidant capacity impairment in healthy humans.</w:t>
            </w:r>
          </w:p>
          <w:p w:rsidR="00F71A16" w:rsidRPr="003B608E" w:rsidRDefault="00F71A16" w:rsidP="00F71A16">
            <w:pPr>
              <w:spacing w:before="0" w:after="0"/>
              <w:jc w:val="center"/>
              <w:rPr>
                <w:rFonts w:eastAsia="Times New Roman" w:cs="Times New Roman"/>
                <w:color w:val="000000"/>
                <w:sz w:val="16"/>
                <w:szCs w:val="16"/>
              </w:rPr>
            </w:pPr>
          </w:p>
          <w:p w:rsidR="00F71A16" w:rsidRPr="003B608E" w:rsidRDefault="00F71A16" w:rsidP="00F71A16">
            <w:pPr>
              <w:spacing w:before="0" w:after="0"/>
              <w:jc w:val="center"/>
              <w:rPr>
                <w:rFonts w:eastAsia="Times New Roman" w:cs="Times New Roman"/>
                <w:color w:val="000000"/>
                <w:sz w:val="16"/>
                <w:szCs w:val="16"/>
              </w:rPr>
            </w:pPr>
          </w:p>
        </w:tc>
        <w:tc>
          <w:tcPr>
            <w:tcW w:w="689" w:type="dxa"/>
            <w:vMerge w:val="restart"/>
            <w:vAlign w:val="center"/>
          </w:tcPr>
          <w:p w:rsidR="00F71A16" w:rsidRPr="003B608E" w:rsidRDefault="00F71A16" w:rsidP="00F71A16">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safe</w:t>
            </w:r>
          </w:p>
        </w:tc>
      </w:tr>
      <w:tr w:rsidR="008043C4" w:rsidRPr="003B608E" w:rsidTr="00B27152">
        <w:trPr>
          <w:trHeight w:val="1154"/>
        </w:trPr>
        <w:tc>
          <w:tcPr>
            <w:tcW w:w="988"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708" w:type="dxa"/>
            <w:vMerge/>
            <w:shd w:val="clear" w:color="auto" w:fill="auto"/>
            <w:noWrap/>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709"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19"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30"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84" w:type="dxa"/>
            <w:vMerge/>
            <w:shd w:val="clear" w:color="auto" w:fill="auto"/>
            <w:noWrap/>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1350" w:type="dxa"/>
            <w:vMerge/>
            <w:shd w:val="clear" w:color="auto" w:fill="auto"/>
            <w:noWrap/>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18"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567"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919"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41"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34"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709" w:type="dxa"/>
            <w:vMerge/>
            <w:shd w:val="clear" w:color="auto" w:fill="auto"/>
            <w:noWrap/>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851" w:type="dxa"/>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antioxidant capacity</w:t>
            </w:r>
          </w:p>
        </w:tc>
        <w:tc>
          <w:tcPr>
            <w:tcW w:w="992" w:type="dxa"/>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r>
              <w:rPr>
                <w:rFonts w:eastAsia="Times New Roman" w:cs="Times New Roman"/>
                <w:color w:val="000000"/>
                <w:sz w:val="16"/>
                <w:szCs w:val="16"/>
              </w:rPr>
              <w:t>T</w:t>
            </w:r>
            <w:r w:rsidRPr="003B608E">
              <w:rPr>
                <w:rFonts w:eastAsia="Times New Roman" w:cs="Times New Roman"/>
                <w:color w:val="000000"/>
                <w:sz w:val="16"/>
                <w:szCs w:val="16"/>
              </w:rPr>
              <w:t>he PAT test</w:t>
            </w:r>
          </w:p>
        </w:tc>
        <w:tc>
          <w:tcPr>
            <w:tcW w:w="1559" w:type="dxa"/>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r w:rsidRPr="003B608E">
              <w:rPr>
                <w:rFonts w:eastAsia="Times New Roman" w:cs="Times New Roman"/>
                <w:color w:val="000000"/>
                <w:sz w:val="16"/>
                <w:szCs w:val="16"/>
              </w:rPr>
              <w:t>The antioxidant capacity was also similar between experimental groups after both modalities of exposure.</w:t>
            </w:r>
          </w:p>
        </w:tc>
        <w:tc>
          <w:tcPr>
            <w:tcW w:w="1134" w:type="dxa"/>
            <w:vMerge/>
            <w:shd w:val="clear" w:color="auto" w:fill="auto"/>
            <w:vAlign w:val="center"/>
            <w:hideMark/>
          </w:tcPr>
          <w:p w:rsidR="008043C4" w:rsidRPr="003B608E" w:rsidRDefault="008043C4" w:rsidP="009645A2">
            <w:pPr>
              <w:spacing w:before="0" w:after="0"/>
              <w:jc w:val="center"/>
              <w:rPr>
                <w:rFonts w:eastAsia="Times New Roman" w:cs="Times New Roman"/>
                <w:color w:val="000000"/>
                <w:sz w:val="16"/>
                <w:szCs w:val="16"/>
              </w:rPr>
            </w:pPr>
          </w:p>
        </w:tc>
        <w:tc>
          <w:tcPr>
            <w:tcW w:w="689" w:type="dxa"/>
            <w:vMerge/>
            <w:vAlign w:val="center"/>
          </w:tcPr>
          <w:p w:rsidR="008043C4" w:rsidRPr="003B608E" w:rsidRDefault="008043C4" w:rsidP="009645A2">
            <w:pPr>
              <w:spacing w:before="0" w:after="0"/>
              <w:jc w:val="center"/>
              <w:rPr>
                <w:rFonts w:eastAsia="Times New Roman" w:cs="Times New Roman"/>
                <w:color w:val="000000"/>
                <w:sz w:val="16"/>
                <w:szCs w:val="16"/>
              </w:rPr>
            </w:pPr>
          </w:p>
        </w:tc>
      </w:tr>
    </w:tbl>
    <w:p w:rsidR="008043C4" w:rsidRDefault="008043C4" w:rsidP="008043C4">
      <w:pPr>
        <w:rPr>
          <w:sz w:val="22"/>
        </w:rPr>
      </w:pPr>
      <w:r w:rsidRPr="004A7504">
        <w:rPr>
          <w:rFonts w:eastAsia="Times New Roman" w:cs="Times New Roman"/>
          <w:color w:val="000000"/>
          <w:sz w:val="22"/>
        </w:rPr>
        <w:t>IHHT= Intermittent hypoxia-</w:t>
      </w:r>
      <w:proofErr w:type="spellStart"/>
      <w:r w:rsidRPr="004A7504">
        <w:rPr>
          <w:rFonts w:eastAsia="Times New Roman" w:cs="Times New Roman"/>
          <w:color w:val="000000"/>
          <w:sz w:val="22"/>
        </w:rPr>
        <w:t>hyperoxia</w:t>
      </w:r>
      <w:proofErr w:type="spellEnd"/>
      <w:r w:rsidRPr="004A7504">
        <w:rPr>
          <w:rFonts w:eastAsia="Times New Roman" w:cs="Times New Roman"/>
          <w:color w:val="000000"/>
          <w:sz w:val="22"/>
        </w:rPr>
        <w:t>; IHNT= Intermittent hypoxia-</w:t>
      </w:r>
      <w:proofErr w:type="spellStart"/>
      <w:r w:rsidRPr="004A7504">
        <w:rPr>
          <w:rFonts w:eastAsia="Times New Roman" w:cs="Times New Roman"/>
          <w:color w:val="000000"/>
          <w:sz w:val="22"/>
        </w:rPr>
        <w:t>normoxia</w:t>
      </w:r>
      <w:proofErr w:type="spellEnd"/>
      <w:r w:rsidRPr="004A7504">
        <w:rPr>
          <w:rFonts w:eastAsia="Times New Roman" w:cs="Times New Roman"/>
          <w:color w:val="000000"/>
          <w:sz w:val="22"/>
        </w:rPr>
        <w:t xml:space="preserve"> training</w:t>
      </w:r>
      <w:r w:rsidRPr="004A7504">
        <w:rPr>
          <w:sz w:val="22"/>
        </w:rPr>
        <w:t xml:space="preserve">; </w:t>
      </w:r>
      <w:r w:rsidRPr="004A7504">
        <w:rPr>
          <w:rFonts w:eastAsia="Times New Roman" w:cs="Times New Roman"/>
          <w:color w:val="000000"/>
          <w:sz w:val="22"/>
        </w:rPr>
        <w:t xml:space="preserve">RCT= Randomized controlled clinical trial; CRF= cardiorespiratory fitness; RBC= red blood cells; </w:t>
      </w:r>
      <w:proofErr w:type="spellStart"/>
      <w:r w:rsidRPr="004A7504">
        <w:rPr>
          <w:rFonts w:eastAsia="Times New Roman" w:cs="Times New Roman"/>
          <w:color w:val="000000"/>
          <w:sz w:val="22"/>
        </w:rPr>
        <w:t>Hgb</w:t>
      </w:r>
      <w:proofErr w:type="spellEnd"/>
      <w:r w:rsidRPr="004A7504">
        <w:rPr>
          <w:rFonts w:eastAsia="Times New Roman" w:cs="Times New Roman"/>
          <w:color w:val="000000"/>
          <w:sz w:val="22"/>
        </w:rPr>
        <w:t xml:space="preserve">=hemoglobin; </w:t>
      </w:r>
      <w:proofErr w:type="spellStart"/>
      <w:r w:rsidRPr="004A7504">
        <w:rPr>
          <w:rFonts w:eastAsia="Times New Roman" w:cs="Times New Roman"/>
          <w:color w:val="000000"/>
          <w:sz w:val="22"/>
        </w:rPr>
        <w:t>Hct</w:t>
      </w:r>
      <w:proofErr w:type="spellEnd"/>
      <w:r w:rsidRPr="004A7504">
        <w:rPr>
          <w:rFonts w:eastAsia="Times New Roman" w:cs="Times New Roman"/>
          <w:color w:val="000000"/>
          <w:sz w:val="22"/>
        </w:rPr>
        <w:t>= hematocrit</w:t>
      </w:r>
      <w:r w:rsidR="000B68FB">
        <w:rPr>
          <w:rFonts w:eastAsia="Times New Roman" w:cs="Times New Roman"/>
          <w:color w:val="000000"/>
          <w:sz w:val="22"/>
        </w:rPr>
        <w:t>;</w:t>
      </w:r>
      <w:r w:rsidR="00D10CBE" w:rsidRPr="00D10CBE">
        <w:rPr>
          <w:rFonts w:cs="Times New Roman"/>
          <w:szCs w:val="24"/>
        </w:rPr>
        <w:t xml:space="preserve"> </w:t>
      </w:r>
      <w:r w:rsidR="00D10CBE">
        <w:rPr>
          <w:rFonts w:cs="Times New Roman"/>
          <w:szCs w:val="24"/>
        </w:rPr>
        <w:t>SAQ=</w:t>
      </w:r>
      <w:r w:rsidR="00D10CBE" w:rsidRPr="003B5247">
        <w:rPr>
          <w:rFonts w:cs="Times New Roman"/>
          <w:szCs w:val="24"/>
        </w:rPr>
        <w:t>Se</w:t>
      </w:r>
      <w:r w:rsidR="00D10CBE">
        <w:rPr>
          <w:rFonts w:cs="Times New Roman"/>
          <w:szCs w:val="24"/>
        </w:rPr>
        <w:t>attle Angina Questionnaire</w:t>
      </w:r>
    </w:p>
    <w:p w:rsidR="008043C4" w:rsidRDefault="008043C4" w:rsidP="008043C4">
      <w:pPr>
        <w:rPr>
          <w:sz w:val="22"/>
        </w:rPr>
      </w:pPr>
    </w:p>
    <w:p w:rsidR="00624208" w:rsidRDefault="00624208" w:rsidP="008043C4">
      <w:pPr>
        <w:rPr>
          <w:sz w:val="22"/>
        </w:rPr>
      </w:pPr>
    </w:p>
    <w:p w:rsidR="00624208" w:rsidRDefault="00624208" w:rsidP="008043C4">
      <w:pPr>
        <w:rPr>
          <w:sz w:val="22"/>
        </w:rPr>
      </w:pPr>
    </w:p>
    <w:p w:rsidR="00624208" w:rsidRDefault="00624208" w:rsidP="008043C4">
      <w:pPr>
        <w:rPr>
          <w:sz w:val="22"/>
        </w:rPr>
      </w:pPr>
    </w:p>
    <w:p w:rsidR="00624208" w:rsidRDefault="00624208" w:rsidP="008043C4">
      <w:pPr>
        <w:rPr>
          <w:sz w:val="22"/>
        </w:rPr>
      </w:pPr>
    </w:p>
    <w:p w:rsidR="00624208" w:rsidRPr="00F04B53" w:rsidRDefault="00624208" w:rsidP="008043C4">
      <w:pPr>
        <w:rPr>
          <w:sz w:val="22"/>
        </w:rPr>
      </w:pPr>
    </w:p>
    <w:p w:rsidR="008043C4" w:rsidRDefault="00906C96" w:rsidP="008043C4">
      <w:r>
        <w:rPr>
          <w:b/>
        </w:rPr>
        <w:lastRenderedPageBreak/>
        <w:t>Supplementary Table S3:</w:t>
      </w:r>
      <w:r>
        <w:t xml:space="preserve"> </w:t>
      </w:r>
      <w:r w:rsidR="008043C4" w:rsidRPr="008A56CB">
        <w:t xml:space="preserve">The effects of </w:t>
      </w:r>
      <w:r w:rsidR="008043C4">
        <w:t>continuous hypoxia training and intermittent hypoxia-</w:t>
      </w:r>
      <w:proofErr w:type="spellStart"/>
      <w:r w:rsidR="008043C4">
        <w:t>normoxia</w:t>
      </w:r>
      <w:proofErr w:type="spellEnd"/>
      <w:r w:rsidR="008043C4">
        <w:t xml:space="preserve"> training (IHN</w:t>
      </w:r>
      <w:r w:rsidR="008043C4" w:rsidRPr="008A56CB">
        <w:t>T</w:t>
      </w:r>
      <w:r w:rsidR="008043C4">
        <w:t>) o</w:t>
      </w:r>
      <w:r w:rsidR="008043C4" w:rsidRPr="008A56CB">
        <w:t>n aging markers and</w:t>
      </w:r>
      <w:r w:rsidR="008043C4">
        <w:t xml:space="preserve"> age related diseases using cell culture model</w:t>
      </w:r>
    </w:p>
    <w:tbl>
      <w:tblPr>
        <w:tblStyle w:val="TableGrid"/>
        <w:tblpPr w:leftFromText="142" w:rightFromText="142" w:vertAnchor="text" w:tblpXSpec="center" w:tblpY="1"/>
        <w:tblOverlap w:val="never"/>
        <w:tblW w:w="14847" w:type="dxa"/>
        <w:tblInd w:w="0" w:type="dxa"/>
        <w:tblLayout w:type="fixed"/>
        <w:tblLook w:val="04A0" w:firstRow="1" w:lastRow="0" w:firstColumn="1" w:lastColumn="0" w:noHBand="0" w:noVBand="1"/>
      </w:tblPr>
      <w:tblGrid>
        <w:gridCol w:w="846"/>
        <w:gridCol w:w="567"/>
        <w:gridCol w:w="850"/>
        <w:gridCol w:w="851"/>
        <w:gridCol w:w="1318"/>
        <w:gridCol w:w="850"/>
        <w:gridCol w:w="851"/>
        <w:gridCol w:w="992"/>
        <w:gridCol w:w="850"/>
        <w:gridCol w:w="1418"/>
        <w:gridCol w:w="1314"/>
        <w:gridCol w:w="1904"/>
        <w:gridCol w:w="1418"/>
        <w:gridCol w:w="818"/>
      </w:tblGrid>
      <w:tr w:rsidR="008043C4" w:rsidTr="009645A2">
        <w:trPr>
          <w:trHeight w:val="625"/>
        </w:trPr>
        <w:tc>
          <w:tcPr>
            <w:tcW w:w="846"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Author, year (Ref.)</w:t>
            </w:r>
          </w:p>
        </w:tc>
        <w:tc>
          <w:tcPr>
            <w:tcW w:w="567"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 xml:space="preserve">Country </w:t>
            </w:r>
          </w:p>
        </w:tc>
        <w:tc>
          <w:tcPr>
            <w:tcW w:w="850"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Targeted conditions</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Cell line</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Aim of the study</w:t>
            </w:r>
          </w:p>
        </w:tc>
        <w:tc>
          <w:tcPr>
            <w:tcW w:w="850"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 xml:space="preserve">Study design </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 xml:space="preserve">Type of hypoxia </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Hypoxia protocol (for cases)</w:t>
            </w:r>
          </w:p>
        </w:tc>
        <w:tc>
          <w:tcPr>
            <w:tcW w:w="850"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Protocol (controls)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Aging  markers</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Method for measurement</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Results</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Conclusions</w:t>
            </w:r>
          </w:p>
        </w:tc>
        <w:tc>
          <w:tcPr>
            <w:tcW w:w="8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b/>
                <w:sz w:val="16"/>
                <w:szCs w:val="16"/>
              </w:rPr>
            </w:pPr>
            <w:r>
              <w:rPr>
                <w:rFonts w:cs="Times New Roman"/>
                <w:b/>
                <w:sz w:val="16"/>
                <w:szCs w:val="16"/>
              </w:rPr>
              <w:t xml:space="preserve">Safety issues </w:t>
            </w:r>
          </w:p>
        </w:tc>
      </w:tr>
      <w:tr w:rsidR="008043C4" w:rsidTr="009645A2">
        <w:trPr>
          <w:trHeight w:val="1434"/>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Casciaro et al., 2020</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t>Italy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Cellular aging</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hAFSCs</w:t>
            </w:r>
            <w:proofErr w:type="spellEnd"/>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To evaluate various</w:t>
            </w:r>
            <w:r>
              <w:rPr>
                <w:rFonts w:cs="Times New Roman"/>
                <w:sz w:val="16"/>
                <w:szCs w:val="16"/>
              </w:rPr>
              <w:br/>
              <w:t xml:space="preserve">aging features of </w:t>
            </w:r>
            <w:proofErr w:type="spellStart"/>
            <w:r>
              <w:rPr>
                <w:rFonts w:cs="Times New Roman"/>
                <w:sz w:val="16"/>
                <w:szCs w:val="16"/>
              </w:rPr>
              <w:t>hAFSCs</w:t>
            </w:r>
            <w:proofErr w:type="spellEnd"/>
            <w:r>
              <w:rPr>
                <w:rFonts w:cs="Times New Roman"/>
                <w:sz w:val="16"/>
                <w:szCs w:val="16"/>
              </w:rPr>
              <w:t xml:space="preserve">   cultured at different oxygen concentrations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non RCT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CHT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1% oxygen for 5 weeks </w:t>
            </w:r>
            <w:proofErr w:type="spellStart"/>
            <w:r>
              <w:rPr>
                <w:rFonts w:cs="Times New Roman"/>
                <w:sz w:val="16"/>
                <w:szCs w:val="16"/>
              </w:rPr>
              <w:t>upto</w:t>
            </w:r>
            <w:proofErr w:type="spellEnd"/>
            <w:r>
              <w:rPr>
                <w:rFonts w:cs="Times New Roman"/>
                <w:sz w:val="16"/>
                <w:szCs w:val="16"/>
              </w:rPr>
              <w:t xml:space="preserve"> 8-9 passages.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20% oxygen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Stemness</w:t>
            </w:r>
            <w:proofErr w:type="spellEnd"/>
            <w:r>
              <w:rPr>
                <w:rFonts w:cs="Times New Roman"/>
                <w:sz w:val="16"/>
                <w:szCs w:val="16"/>
              </w:rPr>
              <w:t xml:space="preserve"> properties (mRNA levels of Oct4  upregulation and protein expression of SSEA4)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mRNA levels of Oct4 by  RT- PCR, protein expression of SSEA4 by SDS PAGE and western blot</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1% O2 extends</w:t>
            </w:r>
            <w:r>
              <w:rPr>
                <w:rFonts w:cs="Times New Roman"/>
                <w:sz w:val="16"/>
                <w:szCs w:val="16"/>
              </w:rPr>
              <w:br/>
            </w:r>
            <w:proofErr w:type="spellStart"/>
            <w:r>
              <w:rPr>
                <w:rFonts w:cs="Times New Roman"/>
                <w:sz w:val="16"/>
                <w:szCs w:val="16"/>
              </w:rPr>
              <w:t>stemness</w:t>
            </w:r>
            <w:proofErr w:type="spellEnd"/>
            <w:r>
              <w:rPr>
                <w:rFonts w:cs="Times New Roman"/>
                <w:sz w:val="16"/>
                <w:szCs w:val="16"/>
              </w:rPr>
              <w:t xml:space="preserve">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Low oxygen concentrations might improve the generation of functional </w:t>
            </w:r>
            <w:proofErr w:type="spellStart"/>
            <w:r>
              <w:rPr>
                <w:rFonts w:cs="Times New Roman"/>
                <w:sz w:val="16"/>
                <w:szCs w:val="16"/>
              </w:rPr>
              <w:t>hAFSCs</w:t>
            </w:r>
            <w:proofErr w:type="spellEnd"/>
            <w:r>
              <w:rPr>
                <w:rFonts w:cs="Times New Roman"/>
                <w:sz w:val="16"/>
                <w:szCs w:val="16"/>
              </w:rPr>
              <w:t xml:space="preserve"> for therapeutic use by delaying the onset of cellular aging.</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Not reported</w:t>
            </w:r>
          </w:p>
        </w:tc>
      </w:tr>
      <w:tr w:rsidR="008043C4" w:rsidTr="009645A2">
        <w:trPr>
          <w:trHeight w:val="44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Proliferative ability</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EdU</w:t>
            </w:r>
            <w:proofErr w:type="spellEnd"/>
            <w:r>
              <w:rPr>
                <w:rFonts w:cs="Times New Roman"/>
                <w:sz w:val="16"/>
                <w:szCs w:val="16"/>
              </w:rPr>
              <w:t xml:space="preserve"> method</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1% O2 extends proliferative features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845"/>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Induction of senescence-associated markers</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processed as reported by </w:t>
            </w:r>
            <w:proofErr w:type="spellStart"/>
            <w:r>
              <w:rPr>
                <w:rFonts w:cs="Times New Roman"/>
                <w:sz w:val="16"/>
                <w:szCs w:val="16"/>
              </w:rPr>
              <w:t>Dimri</w:t>
            </w:r>
            <w:proofErr w:type="spellEnd"/>
            <w:r>
              <w:rPr>
                <w:rFonts w:cs="Times New Roman"/>
                <w:sz w:val="16"/>
                <w:szCs w:val="16"/>
              </w:rPr>
              <w:t xml:space="preserve"> et al. 1995</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1% O2 delays induction of senescence-associated markers.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88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Changes in metabolism and  resistance to stress</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SDS PAGE and western blot</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Hypoxic </w:t>
            </w:r>
            <w:proofErr w:type="spellStart"/>
            <w:r>
              <w:rPr>
                <w:rFonts w:cs="Times New Roman"/>
                <w:sz w:val="16"/>
                <w:szCs w:val="16"/>
              </w:rPr>
              <w:t>hAFSCs</w:t>
            </w:r>
            <w:proofErr w:type="spellEnd"/>
            <w:r>
              <w:rPr>
                <w:rFonts w:cs="Times New Roman"/>
                <w:sz w:val="16"/>
                <w:szCs w:val="16"/>
              </w:rPr>
              <w:t xml:space="preserve"> activate a metabolic shift and increase resistance to pro-apoptotic stimuli.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70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Osteogenic differentiation</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Differentiation assays</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cells at low oxygen remain capable of osteogenesis for prolonged periods of time</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841"/>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Damiani</w:t>
            </w:r>
            <w:proofErr w:type="spellEnd"/>
            <w:r>
              <w:rPr>
                <w:rFonts w:cs="Times New Roman"/>
                <w:sz w:val="16"/>
                <w:szCs w:val="16"/>
              </w:rPr>
              <w:t xml:space="preserve"> et al., 2018</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t>Italy</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Skin aging</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HDF</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To  examine the influence of oxygen tension on cell aging in HDF and how this impacted ROS production, the enzymatic and non-enzymatic antioxidant response system, and the efficacy of this defense </w:t>
            </w:r>
            <w:r>
              <w:rPr>
                <w:rFonts w:cs="Times New Roman"/>
                <w:sz w:val="16"/>
                <w:szCs w:val="16"/>
              </w:rPr>
              <w:lastRenderedPageBreak/>
              <w:t>system in limiting DNA damage and in modulating gene expression of proteins involved in the extracellular matrix, linked to skin aging.</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lastRenderedPageBreak/>
              <w:t>non RCT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CHT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5% O2. HDF were </w:t>
            </w:r>
            <w:proofErr w:type="gramStart"/>
            <w:r>
              <w:rPr>
                <w:rFonts w:cs="Times New Roman"/>
                <w:sz w:val="16"/>
                <w:szCs w:val="16"/>
              </w:rPr>
              <w:t>passaged  at</w:t>
            </w:r>
            <w:proofErr w:type="gramEnd"/>
            <w:r>
              <w:rPr>
                <w:rFonts w:cs="Times New Roman"/>
                <w:sz w:val="16"/>
                <w:szCs w:val="16"/>
              </w:rPr>
              <w:t xml:space="preserve"> 80% confluence. Cells were serially cultured until enough cells were obtained for all experiment</w:t>
            </w:r>
            <w:r>
              <w:rPr>
                <w:rFonts w:cs="Times New Roman"/>
                <w:sz w:val="16"/>
                <w:szCs w:val="16"/>
              </w:rPr>
              <w:lastRenderedPageBreak/>
              <w:t>s.</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lastRenderedPageBreak/>
              <w:t>21% O2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cellular proliferation rate</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Flow cytometry</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increased cell proliferation under 21% O2 compared to 5% O2</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The 21% O2 impose a mild oxidative stress on dermal fibroblasts which accelerates the aging process in culture </w:t>
            </w:r>
            <w:proofErr w:type="gramStart"/>
            <w:r>
              <w:rPr>
                <w:rFonts w:cs="Times New Roman"/>
                <w:sz w:val="16"/>
                <w:szCs w:val="16"/>
              </w:rPr>
              <w:t>compared  to</w:t>
            </w:r>
            <w:proofErr w:type="gramEnd"/>
            <w:r>
              <w:rPr>
                <w:rFonts w:cs="Times New Roman"/>
                <w:sz w:val="16"/>
                <w:szCs w:val="16"/>
              </w:rPr>
              <w:t xml:space="preserve"> 5% O2 where the underlying</w:t>
            </w:r>
            <w:r>
              <w:rPr>
                <w:rFonts w:cs="Times New Roman"/>
                <w:sz w:val="16"/>
                <w:szCs w:val="16"/>
              </w:rPr>
              <w:br/>
              <w:t xml:space="preserve">level of oxidative stress is reduced. </w:t>
            </w:r>
            <w:proofErr w:type="gramStart"/>
            <w:r>
              <w:rPr>
                <w:rFonts w:cs="Times New Roman"/>
                <w:sz w:val="16"/>
                <w:szCs w:val="16"/>
              </w:rPr>
              <w:t>cells</w:t>
            </w:r>
            <w:proofErr w:type="gramEnd"/>
            <w:r>
              <w:rPr>
                <w:rFonts w:cs="Times New Roman"/>
                <w:sz w:val="16"/>
                <w:szCs w:val="16"/>
              </w:rPr>
              <w:t xml:space="preserve"> grown under </w:t>
            </w:r>
            <w:proofErr w:type="spellStart"/>
            <w:r>
              <w:rPr>
                <w:rFonts w:cs="Times New Roman"/>
                <w:sz w:val="16"/>
                <w:szCs w:val="16"/>
              </w:rPr>
              <w:t>normoxia</w:t>
            </w:r>
            <w:proofErr w:type="spellEnd"/>
            <w:r>
              <w:rPr>
                <w:rFonts w:cs="Times New Roman"/>
                <w:sz w:val="16"/>
                <w:szCs w:val="16"/>
              </w:rPr>
              <w:t xml:space="preserve"> undergo</w:t>
            </w:r>
            <w:r>
              <w:rPr>
                <w:rFonts w:cs="Times New Roman"/>
                <w:sz w:val="16"/>
                <w:szCs w:val="16"/>
              </w:rPr>
              <w:br/>
            </w:r>
            <w:r>
              <w:rPr>
                <w:rFonts w:cs="Times New Roman"/>
                <w:sz w:val="16"/>
                <w:szCs w:val="16"/>
              </w:rPr>
              <w:lastRenderedPageBreak/>
              <w:t>a “stress-induced premature senescence” when compared to</w:t>
            </w:r>
            <w:r>
              <w:rPr>
                <w:rFonts w:cs="Times New Roman"/>
                <w:sz w:val="16"/>
                <w:szCs w:val="16"/>
              </w:rPr>
              <w:br/>
              <w:t xml:space="preserve">their matched counterparts grown under hypoxia. </w:t>
            </w:r>
          </w:p>
          <w:p w:rsidR="008043C4" w:rsidRDefault="008043C4" w:rsidP="009645A2">
            <w:pPr>
              <w:spacing w:after="0"/>
              <w:rPr>
                <w:rFonts w:cs="Times New Roman"/>
                <w:sz w:val="16"/>
                <w:szCs w:val="16"/>
              </w:rPr>
            </w:pPr>
            <w:r>
              <w:rPr>
                <w:rFonts w:cs="Times New Roman"/>
                <w:sz w:val="16"/>
                <w:szCs w:val="16"/>
              </w:rPr>
              <w:t>The modulation of miR-181a to different oxygen</w:t>
            </w:r>
            <w:r>
              <w:rPr>
                <w:rFonts w:cs="Times New Roman"/>
                <w:sz w:val="16"/>
                <w:szCs w:val="16"/>
              </w:rPr>
              <w:br/>
              <w:t>tensions and its potential role in altering the expression</w:t>
            </w:r>
            <w:r>
              <w:rPr>
                <w:rFonts w:cs="Times New Roman"/>
                <w:sz w:val="16"/>
                <w:szCs w:val="16"/>
              </w:rPr>
              <w:br/>
              <w:t>of antioxidant genes could represent an important molecular</w:t>
            </w:r>
            <w:r>
              <w:rPr>
                <w:rFonts w:cs="Times New Roman"/>
                <w:sz w:val="16"/>
                <w:szCs w:val="16"/>
              </w:rPr>
              <w:br/>
              <w:t>event in skin aging that may be addressed as a target</w:t>
            </w:r>
            <w:r>
              <w:rPr>
                <w:rFonts w:cs="Times New Roman"/>
                <w:sz w:val="16"/>
                <w:szCs w:val="16"/>
              </w:rPr>
              <w:br/>
              <w:t>for antiaging strategies.</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lastRenderedPageBreak/>
              <w:t>not reported</w:t>
            </w:r>
          </w:p>
        </w:tc>
      </w:tr>
      <w:tr w:rsidR="008043C4" w:rsidTr="009645A2">
        <w:trPr>
          <w:trHeight w:val="19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Intracellular ROS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The </w:t>
            </w:r>
            <w:proofErr w:type="spellStart"/>
            <w:r>
              <w:rPr>
                <w:rFonts w:cs="Times New Roman"/>
                <w:sz w:val="16"/>
                <w:szCs w:val="16"/>
              </w:rPr>
              <w:t>leuco</w:t>
            </w:r>
            <w:proofErr w:type="spellEnd"/>
            <w:r>
              <w:rPr>
                <w:rFonts w:cs="Times New Roman"/>
                <w:sz w:val="16"/>
                <w:szCs w:val="16"/>
              </w:rPr>
              <w:t xml:space="preserve"> dye carboxy-2,7-dichlorofluorescein diacetate (carboxy-H2DCFDA)</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Lower levels of intracellular ROS in cells at 21% O2 compared to those at 5% O2.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98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mitochondrial superoxide anion generation</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w:t>
            </w:r>
            <w:proofErr w:type="spellStart"/>
            <w:r>
              <w:rPr>
                <w:rFonts w:cs="Times New Roman"/>
                <w:sz w:val="16"/>
                <w:szCs w:val="16"/>
              </w:rPr>
              <w:t>FlowCellect</w:t>
            </w:r>
            <w:proofErr w:type="spellEnd"/>
            <w:r>
              <w:rPr>
                <w:rFonts w:cs="Times New Roman"/>
                <w:sz w:val="16"/>
                <w:szCs w:val="16"/>
              </w:rPr>
              <w:t xml:space="preserve">™ </w:t>
            </w:r>
            <w:proofErr w:type="spellStart"/>
            <w:r>
              <w:rPr>
                <w:rFonts w:cs="Times New Roman"/>
                <w:sz w:val="16"/>
                <w:szCs w:val="16"/>
              </w:rPr>
              <w:t>MitoStress</w:t>
            </w:r>
            <w:proofErr w:type="spellEnd"/>
            <w:r>
              <w:rPr>
                <w:rFonts w:cs="Times New Roman"/>
                <w:sz w:val="16"/>
                <w:szCs w:val="16"/>
              </w:rPr>
              <w:t xml:space="preserve"> Kit</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Higher levels of mitochondrial superoxide anion in cells at 21% O2 compared to </w:t>
            </w:r>
            <w:proofErr w:type="spellStart"/>
            <w:r>
              <w:rPr>
                <w:rFonts w:cs="Times New Roman"/>
                <w:sz w:val="16"/>
                <w:szCs w:val="16"/>
              </w:rPr>
              <w:t>at</w:t>
            </w:r>
            <w:proofErr w:type="spellEnd"/>
            <w:r>
              <w:rPr>
                <w:rFonts w:cs="Times New Roman"/>
                <w:sz w:val="16"/>
                <w:szCs w:val="16"/>
              </w:rPr>
              <w:t xml:space="preserve"> 5% O2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854"/>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CoQ10 level and oxidative status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HPLC </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Total Coenzyme Q10 levels decrease with cell passages</w:t>
            </w:r>
            <w:r>
              <w:rPr>
                <w:rFonts w:cs="Times New Roman"/>
                <w:sz w:val="16"/>
                <w:szCs w:val="16"/>
              </w:rPr>
              <w:br/>
              <w:t>and increase with oxygen tension.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746"/>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Total glutathione</w:t>
            </w:r>
            <w:r>
              <w:rPr>
                <w:rFonts w:cs="Times New Roman"/>
                <w:sz w:val="16"/>
                <w:szCs w:val="16"/>
              </w:rPr>
              <w:br/>
              <w:t xml:space="preserve">(GSH + GSSG)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spectrophotometry</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Total Glutathione levels reduce under Low oxygen</w:t>
            </w:r>
            <w:r>
              <w:rPr>
                <w:rFonts w:cs="Times New Roman"/>
                <w:sz w:val="16"/>
                <w:szCs w:val="16"/>
              </w:rPr>
              <w:br/>
              <w:t>tension</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683"/>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single and double-strand DNA damage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Comet assay</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DNA damage increased under 21% O2 vs 5% O2.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143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β-galactosidase activity, p16, CAT, SOD1, SOD3,</w:t>
            </w:r>
            <w:r>
              <w:rPr>
                <w:rFonts w:cs="Times New Roman"/>
                <w:sz w:val="16"/>
                <w:szCs w:val="16"/>
              </w:rPr>
              <w:br/>
              <w:t>MMP1, and COL1A1 genes expression</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qPCR</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gramStart"/>
            <w:r>
              <w:rPr>
                <w:rFonts w:cs="Times New Roman"/>
                <w:sz w:val="16"/>
                <w:szCs w:val="16"/>
              </w:rPr>
              <w:t>higher</w:t>
            </w:r>
            <w:proofErr w:type="gramEnd"/>
            <w:r>
              <w:rPr>
                <w:rFonts w:cs="Times New Roman"/>
                <w:sz w:val="16"/>
                <w:szCs w:val="16"/>
              </w:rPr>
              <w:t xml:space="preserve"> levels of SOD1 and SOD3, upregulation</w:t>
            </w:r>
            <w:r>
              <w:rPr>
                <w:rFonts w:cs="Times New Roman"/>
                <w:sz w:val="16"/>
                <w:szCs w:val="16"/>
              </w:rPr>
              <w:br/>
              <w:t>of MMP1 and downregulation of COL1A1 under 21% O2 vs 5% O2.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698"/>
        </w:trPr>
        <w:tc>
          <w:tcPr>
            <w:tcW w:w="846"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Minamino</w:t>
            </w:r>
            <w:proofErr w:type="spellEnd"/>
            <w:r>
              <w:rPr>
                <w:rFonts w:cs="Times New Roman"/>
                <w:sz w:val="16"/>
                <w:szCs w:val="16"/>
              </w:rPr>
              <w:t xml:space="preserve"> et al., 2001</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t>USA</w:t>
            </w:r>
          </w:p>
        </w:tc>
        <w:tc>
          <w:tcPr>
            <w:tcW w:w="850"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Vascular disorder</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VSMC</w:t>
            </w:r>
          </w:p>
        </w:tc>
        <w:tc>
          <w:tcPr>
            <w:tcW w:w="13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To demonstrate the causal role of telomerase activation and telomere function for the long-term growth and viability of VSMC under conditions of hypoxia.</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t>non RCT</w:t>
            </w:r>
          </w:p>
        </w:tc>
        <w:tc>
          <w:tcPr>
            <w:tcW w:w="851"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CHT</w:t>
            </w:r>
          </w:p>
        </w:tc>
        <w:tc>
          <w:tcPr>
            <w:tcW w:w="992"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1% O2 until 10 passages.</w:t>
            </w:r>
          </w:p>
        </w:tc>
        <w:tc>
          <w:tcPr>
            <w:tcW w:w="850"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21 % O2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telomerase activity</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stretch PCR  and modified </w:t>
            </w:r>
            <w:proofErr w:type="spellStart"/>
            <w:r>
              <w:rPr>
                <w:rFonts w:cs="Times New Roman"/>
                <w:sz w:val="16"/>
                <w:szCs w:val="16"/>
              </w:rPr>
              <w:t>telomeric</w:t>
            </w:r>
            <w:proofErr w:type="spellEnd"/>
            <w:r>
              <w:rPr>
                <w:rFonts w:cs="Times New Roman"/>
                <w:sz w:val="16"/>
                <w:szCs w:val="16"/>
              </w:rPr>
              <w:t xml:space="preserve"> repeat amplification assays</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Chronic hypoxia can prolong the growth of human VSMC by inducing telomerase activity and telomere stabilization. Hypoxia induced phosphorylation of the telomerase catalytic component (TERT) and sustained high levels of TERT protein expression in VSMC compared to </w:t>
            </w:r>
            <w:proofErr w:type="spellStart"/>
            <w:r>
              <w:rPr>
                <w:rFonts w:cs="Times New Roman"/>
                <w:sz w:val="16"/>
                <w:szCs w:val="16"/>
              </w:rPr>
              <w:t>normoxia</w:t>
            </w:r>
            <w:proofErr w:type="spellEnd"/>
            <w:r>
              <w:rPr>
                <w:rFonts w:cs="Times New Roman"/>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Hypoxic induction of telomerase activity could be involved in</w:t>
            </w:r>
            <w:r>
              <w:rPr>
                <w:rFonts w:cs="Times New Roman"/>
                <w:sz w:val="16"/>
                <w:szCs w:val="16"/>
              </w:rPr>
              <w:br/>
              <w:t>long-term growth of VSMC and may thus contribute to human vascular disorders.</w:t>
            </w:r>
          </w:p>
        </w:tc>
        <w:tc>
          <w:tcPr>
            <w:tcW w:w="8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Not reported</w:t>
            </w:r>
          </w:p>
        </w:tc>
      </w:tr>
      <w:tr w:rsidR="008043C4" w:rsidTr="009645A2">
        <w:trPr>
          <w:trHeight w:val="944"/>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roofErr w:type="spellStart"/>
            <w:r>
              <w:rPr>
                <w:rFonts w:cs="Times New Roman"/>
                <w:sz w:val="16"/>
                <w:szCs w:val="16"/>
              </w:rPr>
              <w:t>Tantingco</w:t>
            </w:r>
            <w:proofErr w:type="spellEnd"/>
            <w:r>
              <w:rPr>
                <w:rFonts w:cs="Times New Roman"/>
                <w:sz w:val="16"/>
                <w:szCs w:val="16"/>
              </w:rPr>
              <w:t xml:space="preserve"> et al., 2020</w:t>
            </w:r>
          </w:p>
        </w:tc>
        <w:tc>
          <w:tcPr>
            <w:tcW w:w="567" w:type="dxa"/>
            <w:vMerge w:val="restart"/>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t>USA</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Ischemic stroke</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mice microglia, EOC20 cells</w:t>
            </w:r>
          </w:p>
        </w:tc>
        <w:tc>
          <w:tcPr>
            <w:tcW w:w="13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To examine the role of intermittent hypoxic training in the regulation </w:t>
            </w:r>
            <w:r>
              <w:rPr>
                <w:rFonts w:cs="Times New Roman"/>
                <w:sz w:val="16"/>
                <w:szCs w:val="16"/>
              </w:rPr>
              <w:lastRenderedPageBreak/>
              <w:t>of microglia polarization that occurs in the in vitro model of oxygen–</w:t>
            </w:r>
            <w:r>
              <w:rPr>
                <w:rFonts w:cs="Times New Roman"/>
                <w:sz w:val="16"/>
                <w:szCs w:val="16"/>
              </w:rPr>
              <w:br/>
              <w:t>glucose deprivation –</w:t>
            </w:r>
            <w:proofErr w:type="spellStart"/>
            <w:r>
              <w:rPr>
                <w:rFonts w:cs="Times New Roman"/>
                <w:sz w:val="16"/>
                <w:szCs w:val="16"/>
              </w:rPr>
              <w:t>reoxygenation</w:t>
            </w:r>
            <w:proofErr w:type="spellEnd"/>
            <w:r>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noWrap/>
            <w:vAlign w:val="center"/>
            <w:hideMark/>
          </w:tcPr>
          <w:p w:rsidR="008043C4" w:rsidRDefault="008043C4" w:rsidP="009645A2">
            <w:pPr>
              <w:spacing w:after="0"/>
              <w:rPr>
                <w:rFonts w:cs="Times New Roman"/>
                <w:sz w:val="16"/>
                <w:szCs w:val="16"/>
              </w:rPr>
            </w:pPr>
            <w:r>
              <w:rPr>
                <w:rFonts w:cs="Times New Roman"/>
                <w:sz w:val="16"/>
                <w:szCs w:val="16"/>
              </w:rPr>
              <w:lastRenderedPageBreak/>
              <w:t>non RCT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IHNT</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Three days IHT consisting of five to eight daily, </w:t>
            </w:r>
            <w:r>
              <w:rPr>
                <w:rFonts w:cs="Times New Roman"/>
                <w:sz w:val="16"/>
                <w:szCs w:val="16"/>
              </w:rPr>
              <w:lastRenderedPageBreak/>
              <w:t xml:space="preserve">5- to 10-min cycles of hypoxia (4–3.5% O2) with intervening 4-min </w:t>
            </w:r>
            <w:proofErr w:type="spellStart"/>
            <w:r>
              <w:rPr>
                <w:rFonts w:cs="Times New Roman"/>
                <w:sz w:val="16"/>
                <w:szCs w:val="16"/>
              </w:rPr>
              <w:t>reoxygenation</w:t>
            </w:r>
            <w:proofErr w:type="spellEnd"/>
            <w:r>
              <w:rPr>
                <w:rFonts w:cs="Times New Roman"/>
                <w:sz w:val="16"/>
                <w:szCs w:val="16"/>
              </w:rPr>
              <w: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lastRenderedPageBreak/>
              <w:t>21 % O2</w:t>
            </w: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cell viability</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w:t>
            </w:r>
            <w:proofErr w:type="spellStart"/>
            <w:r>
              <w:rPr>
                <w:rFonts w:cs="Times New Roman"/>
                <w:sz w:val="16"/>
                <w:szCs w:val="16"/>
              </w:rPr>
              <w:t>Calcein</w:t>
            </w:r>
            <w:proofErr w:type="spellEnd"/>
            <w:r>
              <w:rPr>
                <w:rFonts w:cs="Times New Roman"/>
                <w:sz w:val="16"/>
                <w:szCs w:val="16"/>
              </w:rPr>
              <w:t xml:space="preserve"> AM and LDH activity assay</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Intermittent hypoxic training protects the microglia from oxygen–glucose deprivation /</w:t>
            </w:r>
            <w:proofErr w:type="spellStart"/>
            <w:r>
              <w:rPr>
                <w:rFonts w:cs="Times New Roman"/>
                <w:sz w:val="16"/>
                <w:szCs w:val="16"/>
              </w:rPr>
              <w:t>reoxygenation</w:t>
            </w:r>
            <w:proofErr w:type="spellEnd"/>
            <w:r>
              <w:rPr>
                <w:rFonts w:cs="Times New Roman"/>
                <w:sz w:val="16"/>
                <w:szCs w:val="16"/>
              </w:rPr>
              <w:t xml:space="preserve"> stress.</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Due to the effect of intermittent hypoxic training on the microglia phenotype, </w:t>
            </w:r>
            <w:r>
              <w:rPr>
                <w:rFonts w:cs="Times New Roman"/>
                <w:sz w:val="16"/>
                <w:szCs w:val="16"/>
              </w:rPr>
              <w:lastRenderedPageBreak/>
              <w:t>intermittent hypoxic training could be considered as an effective intervention in the treatment or rehabilitation program for the ischemic stroke victims.</w:t>
            </w:r>
          </w:p>
        </w:tc>
        <w:tc>
          <w:tcPr>
            <w:tcW w:w="818" w:type="dxa"/>
            <w:vMerge w:val="restart"/>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lastRenderedPageBreak/>
              <w:t>Not reported</w:t>
            </w:r>
          </w:p>
        </w:tc>
      </w:tr>
      <w:tr w:rsidR="008043C4" w:rsidTr="009645A2">
        <w:trPr>
          <w:trHeight w:val="118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TLR2 proteins content</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Western blot </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The TLR2 protein content was significantly elevated in the oxygen–glucose deprivation and </w:t>
            </w:r>
            <w:proofErr w:type="spellStart"/>
            <w:r>
              <w:rPr>
                <w:rFonts w:cs="Times New Roman"/>
                <w:sz w:val="16"/>
                <w:szCs w:val="16"/>
              </w:rPr>
              <w:t>reoxygenation</w:t>
            </w:r>
            <w:proofErr w:type="spellEnd"/>
            <w:r>
              <w:rPr>
                <w:rFonts w:cs="Times New Roman"/>
                <w:sz w:val="16"/>
                <w:szCs w:val="16"/>
              </w:rPr>
              <w:t xml:space="preserve"> group, and intermittent hypoxic training lowered it to </w:t>
            </w:r>
            <w:proofErr w:type="spellStart"/>
            <w:r>
              <w:rPr>
                <w:rFonts w:cs="Times New Roman"/>
                <w:sz w:val="16"/>
                <w:szCs w:val="16"/>
              </w:rPr>
              <w:t>normoxia</w:t>
            </w:r>
            <w:proofErr w:type="spellEnd"/>
            <w:r>
              <w:rPr>
                <w:rFonts w:cs="Times New Roman"/>
                <w:sz w:val="16"/>
                <w:szCs w:val="16"/>
              </w:rPr>
              <w:t xml:space="preserve"> level.</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79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anti-inflammatory cytokines (IL-10 and IL-4)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ELISA </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IL-10 and IL-4 were significantly increased in the intermittent hypoxic training groups.</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692"/>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reactive oxygen species (ROS)</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H2DCFDA assays</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intermittent hypoxic training lowers the ROS generation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791"/>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phagocytic activity </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 latex beads coated with FITC</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Intermittent hypoxic training increases phagocytic activity (about 12 folds) vs. </w:t>
            </w:r>
            <w:proofErr w:type="spellStart"/>
            <w:r>
              <w:rPr>
                <w:rFonts w:cs="Times New Roman"/>
                <w:sz w:val="16"/>
                <w:szCs w:val="16"/>
              </w:rPr>
              <w:t>normoxia</w:t>
            </w:r>
            <w:proofErr w:type="spellEnd"/>
            <w:r>
              <w:rPr>
                <w:rFonts w:cs="Times New Roman"/>
                <w:sz w:val="16"/>
                <w:szCs w:val="16"/>
              </w:rPr>
              <w:t xml:space="preserve">.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1187"/>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cell phenotype</w:t>
            </w:r>
          </w:p>
        </w:tc>
        <w:tc>
          <w:tcPr>
            <w:tcW w:w="131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Immunocytochemistry, flow cytometric analysis, and immunoblot CD206 (M2).</w:t>
            </w:r>
          </w:p>
        </w:tc>
        <w:tc>
          <w:tcPr>
            <w:tcW w:w="1904" w:type="dxa"/>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r>
              <w:rPr>
                <w:rFonts w:cs="Times New Roman"/>
                <w:sz w:val="16"/>
                <w:szCs w:val="16"/>
              </w:rPr>
              <w:t xml:space="preserve">Intermittent hypoxic training regulates the polarization of the microglial phenotype toward anti-inflammatory type M2.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c>
          <w:tcPr>
            <w:tcW w:w="818" w:type="dxa"/>
            <w:vMerge/>
            <w:tcBorders>
              <w:top w:val="single" w:sz="4" w:space="0" w:color="auto"/>
              <w:left w:val="single" w:sz="4" w:space="0" w:color="auto"/>
              <w:bottom w:val="single" w:sz="4" w:space="0" w:color="auto"/>
              <w:right w:val="single" w:sz="4" w:space="0" w:color="auto"/>
            </w:tcBorders>
            <w:vAlign w:val="center"/>
            <w:hideMark/>
          </w:tcPr>
          <w:p w:rsidR="008043C4" w:rsidRDefault="008043C4" w:rsidP="009645A2">
            <w:pPr>
              <w:spacing w:after="0"/>
              <w:rPr>
                <w:rFonts w:cs="Times New Roman"/>
                <w:sz w:val="16"/>
                <w:szCs w:val="16"/>
              </w:rPr>
            </w:pPr>
          </w:p>
        </w:tc>
      </w:tr>
      <w:tr w:rsidR="008043C4" w:rsidTr="009645A2">
        <w:trPr>
          <w:trHeight w:val="2036"/>
        </w:trPr>
        <w:tc>
          <w:tcPr>
            <w:tcW w:w="846"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 xml:space="preserve">Polonis et al, 2020 </w:t>
            </w:r>
          </w:p>
        </w:tc>
        <w:tc>
          <w:tcPr>
            <w:tcW w:w="567"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USA</w:t>
            </w:r>
          </w:p>
        </w:tc>
        <w:tc>
          <w:tcPr>
            <w:tcW w:w="850"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Pr>
                <w:rFonts w:cs="Times New Roman"/>
                <w:color w:val="000000"/>
                <w:sz w:val="16"/>
                <w:szCs w:val="16"/>
              </w:rPr>
              <w:t>OSA</w:t>
            </w:r>
          </w:p>
        </w:tc>
        <w:tc>
          <w:tcPr>
            <w:tcW w:w="851"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Pr>
                <w:rFonts w:cs="Times New Roman"/>
                <w:color w:val="000000"/>
                <w:sz w:val="16"/>
                <w:szCs w:val="16"/>
              </w:rPr>
              <w:t>HWPs</w:t>
            </w:r>
          </w:p>
        </w:tc>
        <w:tc>
          <w:tcPr>
            <w:tcW w:w="1318"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Pr>
                <w:rFonts w:cs="Times New Roman"/>
                <w:color w:val="000000"/>
                <w:sz w:val="16"/>
                <w:szCs w:val="16"/>
              </w:rPr>
              <w:t>T</w:t>
            </w:r>
            <w:r w:rsidRPr="00D109C7">
              <w:rPr>
                <w:rFonts w:cs="Times New Roman"/>
                <w:color w:val="000000"/>
                <w:sz w:val="16"/>
                <w:szCs w:val="16"/>
              </w:rPr>
              <w:t>o examine the e</w:t>
            </w:r>
            <w:r>
              <w:rPr>
                <w:rFonts w:cs="Times New Roman"/>
                <w:color w:val="000000"/>
                <w:sz w:val="16"/>
                <w:szCs w:val="16"/>
              </w:rPr>
              <w:t>ffects of IH</w:t>
            </w:r>
            <w:r w:rsidRPr="00D109C7">
              <w:rPr>
                <w:rFonts w:cs="Times New Roman"/>
                <w:color w:val="000000"/>
                <w:sz w:val="16"/>
                <w:szCs w:val="16"/>
              </w:rPr>
              <w:t xml:space="preserve">, a hallmark of OSA, on senescence in human white </w:t>
            </w:r>
            <w:proofErr w:type="spellStart"/>
            <w:r w:rsidRPr="00D109C7">
              <w:rPr>
                <w:rFonts w:cs="Times New Roman"/>
                <w:color w:val="000000"/>
                <w:sz w:val="16"/>
                <w:szCs w:val="16"/>
              </w:rPr>
              <w:t>preadipocytes</w:t>
            </w:r>
            <w:proofErr w:type="spellEnd"/>
            <w:r w:rsidRPr="00D109C7">
              <w:rPr>
                <w:rFonts w:cs="Times New Roman"/>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non RCT</w:t>
            </w:r>
          </w:p>
        </w:tc>
        <w:tc>
          <w:tcPr>
            <w:tcW w:w="851"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IHNT</w:t>
            </w:r>
          </w:p>
        </w:tc>
        <w:tc>
          <w:tcPr>
            <w:tcW w:w="992"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Pr>
                <w:rFonts w:cs="Times New Roman"/>
                <w:color w:val="000000"/>
                <w:sz w:val="16"/>
                <w:szCs w:val="16"/>
              </w:rPr>
              <w:t xml:space="preserve">9 cycles of </w:t>
            </w:r>
            <w:r w:rsidRPr="00D109C7">
              <w:rPr>
                <w:rFonts w:cs="Times New Roman"/>
                <w:color w:val="000000"/>
                <w:sz w:val="16"/>
                <w:szCs w:val="16"/>
              </w:rPr>
              <w:t>I</w:t>
            </w:r>
            <w:r>
              <w:rPr>
                <w:rFonts w:cs="Times New Roman"/>
                <w:color w:val="000000"/>
                <w:sz w:val="16"/>
                <w:szCs w:val="16"/>
              </w:rPr>
              <w:t>H</w:t>
            </w:r>
            <w:r w:rsidRPr="00D109C7">
              <w:rPr>
                <w:rFonts w:cs="Times New Roman"/>
                <w:color w:val="000000"/>
                <w:sz w:val="16"/>
                <w:szCs w:val="16"/>
              </w:rPr>
              <w:t xml:space="preserve"> (30 min of 21% O2 followed by 30 min of 0.1% O2) per day for up to 7 consecutive days </w:t>
            </w:r>
          </w:p>
        </w:tc>
        <w:tc>
          <w:tcPr>
            <w:tcW w:w="850"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Pr>
                <w:rFonts w:cs="Times New Roman"/>
                <w:color w:val="000000"/>
                <w:sz w:val="16"/>
                <w:szCs w:val="16"/>
              </w:rPr>
              <w:t>21%O2</w:t>
            </w:r>
          </w:p>
        </w:tc>
        <w:tc>
          <w:tcPr>
            <w:tcW w:w="1418"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senescence in HWPs</w:t>
            </w:r>
          </w:p>
        </w:tc>
        <w:tc>
          <w:tcPr>
            <w:tcW w:w="1314"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Senescence associated β-galactosidase staining</w:t>
            </w:r>
          </w:p>
        </w:tc>
        <w:tc>
          <w:tcPr>
            <w:tcW w:w="1904"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A higher prevalence of cells positive for senescence-associated β-galactosidase activity was also evident with chronic IH exposure.</w:t>
            </w:r>
          </w:p>
        </w:tc>
        <w:tc>
          <w:tcPr>
            <w:tcW w:w="1418"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 xml:space="preserve">This study identifies chronic IH as a trigger of senescence-like phenotype in </w:t>
            </w:r>
            <w:proofErr w:type="spellStart"/>
            <w:r w:rsidRPr="00D109C7">
              <w:rPr>
                <w:rFonts w:cs="Times New Roman"/>
                <w:color w:val="000000"/>
                <w:sz w:val="16"/>
                <w:szCs w:val="16"/>
              </w:rPr>
              <w:t>preadipocytes</w:t>
            </w:r>
            <w:proofErr w:type="spellEnd"/>
            <w:r w:rsidRPr="00D109C7">
              <w:rPr>
                <w:rFonts w:cs="Times New Roman"/>
                <w:color w:val="000000"/>
                <w:sz w:val="16"/>
                <w:szCs w:val="16"/>
              </w:rPr>
              <w:t>.</w:t>
            </w:r>
          </w:p>
        </w:tc>
        <w:tc>
          <w:tcPr>
            <w:tcW w:w="818" w:type="dxa"/>
            <w:tcBorders>
              <w:top w:val="single" w:sz="4" w:space="0" w:color="auto"/>
              <w:left w:val="single" w:sz="4" w:space="0" w:color="auto"/>
              <w:bottom w:val="single" w:sz="4" w:space="0" w:color="auto"/>
              <w:right w:val="single" w:sz="4" w:space="0" w:color="auto"/>
            </w:tcBorders>
            <w:vAlign w:val="center"/>
          </w:tcPr>
          <w:p w:rsidR="008043C4" w:rsidRPr="00D109C7" w:rsidRDefault="008043C4" w:rsidP="009645A2">
            <w:pPr>
              <w:rPr>
                <w:rFonts w:cs="Times New Roman"/>
                <w:color w:val="000000"/>
                <w:sz w:val="16"/>
                <w:szCs w:val="16"/>
              </w:rPr>
            </w:pPr>
            <w:r w:rsidRPr="00D109C7">
              <w:rPr>
                <w:rFonts w:cs="Times New Roman"/>
                <w:color w:val="000000"/>
                <w:sz w:val="16"/>
                <w:szCs w:val="16"/>
              </w:rPr>
              <w:t>Not reported</w:t>
            </w:r>
          </w:p>
        </w:tc>
      </w:tr>
    </w:tbl>
    <w:p w:rsidR="008043C4" w:rsidRPr="005C47B1" w:rsidRDefault="008043C4" w:rsidP="008043C4">
      <w:pPr>
        <w:rPr>
          <w:rFonts w:cs="Times New Roman"/>
          <w:sz w:val="22"/>
        </w:rPr>
      </w:pPr>
      <w:proofErr w:type="spellStart"/>
      <w:r w:rsidRPr="005C47B1">
        <w:rPr>
          <w:rFonts w:cs="Times New Roman"/>
          <w:sz w:val="22"/>
        </w:rPr>
        <w:t>hAFSCs</w:t>
      </w:r>
      <w:proofErr w:type="spellEnd"/>
      <w:r w:rsidRPr="005C47B1">
        <w:rPr>
          <w:rFonts w:cs="Times New Roman"/>
          <w:sz w:val="22"/>
        </w:rPr>
        <w:t xml:space="preserve"> = Human amniotic fluid stem cells;</w:t>
      </w:r>
      <w:r>
        <w:rPr>
          <w:rFonts w:cs="Times New Roman"/>
          <w:sz w:val="22"/>
        </w:rPr>
        <w:t xml:space="preserve"> CHT= continuous hypoxia training; IHT= Intermittent hypoxia training; </w:t>
      </w:r>
      <w:r w:rsidRPr="005C47B1">
        <w:rPr>
          <w:rFonts w:cs="Times New Roman"/>
          <w:sz w:val="22"/>
        </w:rPr>
        <w:t xml:space="preserve"> </w:t>
      </w:r>
      <w:r w:rsidRPr="005C47B1">
        <w:rPr>
          <w:rFonts w:cs="Times New Roman"/>
          <w:color w:val="000000"/>
          <w:sz w:val="22"/>
        </w:rPr>
        <w:t>IH= intermittent hypoxia;</w:t>
      </w:r>
      <w:r>
        <w:rPr>
          <w:rFonts w:cs="Times New Roman"/>
          <w:color w:val="000000"/>
          <w:sz w:val="22"/>
        </w:rPr>
        <w:t xml:space="preserve"> </w:t>
      </w:r>
      <w:r w:rsidRPr="005C47B1">
        <w:rPr>
          <w:rFonts w:cs="Times New Roman"/>
          <w:sz w:val="22"/>
        </w:rPr>
        <w:t>non RCT=non randomized controlled trial; HDF= human dermal fibroblasts; VSMC=vascular smooth muscle cell; HPLC= high performance liquid chromatography</w:t>
      </w:r>
      <w:r>
        <w:rPr>
          <w:rFonts w:cs="Times New Roman"/>
          <w:sz w:val="22"/>
        </w:rPr>
        <w:t xml:space="preserve">; qPCR=quantitative </w:t>
      </w:r>
      <w:r w:rsidRPr="005C47B1">
        <w:rPr>
          <w:rFonts w:cs="Times New Roman"/>
          <w:sz w:val="22"/>
        </w:rPr>
        <w:t>polymerase chain reaction; ELISA= enzyme linked immunosorbent assay;</w:t>
      </w:r>
      <w:r w:rsidRPr="005C47B1">
        <w:rPr>
          <w:rFonts w:cs="Times New Roman"/>
          <w:color w:val="000000"/>
          <w:sz w:val="22"/>
        </w:rPr>
        <w:t xml:space="preserve"> OSA = Obstructive sleep apnea; HWPs =  human white </w:t>
      </w:r>
      <w:proofErr w:type="spellStart"/>
      <w:r w:rsidRPr="005C47B1">
        <w:rPr>
          <w:rFonts w:cs="Times New Roman"/>
          <w:color w:val="000000"/>
          <w:sz w:val="22"/>
        </w:rPr>
        <w:t>preadipocytes</w:t>
      </w:r>
      <w:proofErr w:type="spellEnd"/>
      <w:r w:rsidRPr="005C47B1">
        <w:rPr>
          <w:rFonts w:cs="Times New Roman"/>
          <w:color w:val="000000"/>
          <w:sz w:val="22"/>
        </w:rPr>
        <w:t xml:space="preserve">; </w:t>
      </w:r>
      <w:r>
        <w:rPr>
          <w:rFonts w:cs="Times New Roman"/>
          <w:color w:val="000000"/>
          <w:sz w:val="22"/>
        </w:rPr>
        <w:t xml:space="preserve">ROS= reactive  oxygen species; </w:t>
      </w:r>
      <w:r w:rsidRPr="00E25758">
        <w:rPr>
          <w:rFonts w:cs="Times New Roman"/>
          <w:sz w:val="22"/>
        </w:rPr>
        <w:t>TLR2= toll-like receptor 2</w:t>
      </w:r>
    </w:p>
    <w:p w:rsidR="008043C4" w:rsidRDefault="008043C4" w:rsidP="008043C4">
      <w:pPr>
        <w:rPr>
          <w:b/>
        </w:rPr>
      </w:pPr>
    </w:p>
    <w:p w:rsidR="008043C4" w:rsidRDefault="00906C96" w:rsidP="008043C4">
      <w:r>
        <w:rPr>
          <w:b/>
        </w:rPr>
        <w:lastRenderedPageBreak/>
        <w:t>Supplementary Table S4:</w:t>
      </w:r>
      <w:r>
        <w:t xml:space="preserve"> </w:t>
      </w:r>
      <w:r w:rsidR="008043C4">
        <w:t>The effects of sleep apnea o</w:t>
      </w:r>
      <w:r w:rsidR="008043C4" w:rsidRPr="008A56CB">
        <w:t>n aging markers and</w:t>
      </w:r>
      <w:r w:rsidR="008043C4">
        <w:t xml:space="preserve"> age related diseases</w:t>
      </w:r>
    </w:p>
    <w:tbl>
      <w:tblPr>
        <w:tblpPr w:leftFromText="187" w:rightFromText="187" w:vertAnchor="text" w:tblpXSpec="center" w:tblpY="1"/>
        <w:tblOverlap w:val="never"/>
        <w:tblW w:w="14737" w:type="dxa"/>
        <w:tblLayout w:type="fixed"/>
        <w:tblLook w:val="04A0" w:firstRow="1" w:lastRow="0" w:firstColumn="1" w:lastColumn="0" w:noHBand="0" w:noVBand="1"/>
      </w:tblPr>
      <w:tblGrid>
        <w:gridCol w:w="866"/>
        <w:gridCol w:w="709"/>
        <w:gridCol w:w="567"/>
        <w:gridCol w:w="708"/>
        <w:gridCol w:w="567"/>
        <w:gridCol w:w="567"/>
        <w:gridCol w:w="1276"/>
        <w:gridCol w:w="709"/>
        <w:gridCol w:w="709"/>
        <w:gridCol w:w="709"/>
        <w:gridCol w:w="850"/>
        <w:gridCol w:w="709"/>
        <w:gridCol w:w="567"/>
        <w:gridCol w:w="567"/>
        <w:gridCol w:w="709"/>
        <w:gridCol w:w="850"/>
        <w:gridCol w:w="1701"/>
        <w:gridCol w:w="1397"/>
      </w:tblGrid>
      <w:tr w:rsidR="00801D15" w:rsidRPr="00AA4DD4" w:rsidTr="00C80988">
        <w:trPr>
          <w:trHeight w:val="1110"/>
        </w:trPr>
        <w:tc>
          <w:tcPr>
            <w:tcW w:w="8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Pr>
                <w:rFonts w:eastAsia="Times New Roman" w:cs="Times New Roman"/>
                <w:b/>
                <w:color w:val="000000"/>
                <w:sz w:val="16"/>
                <w:szCs w:val="16"/>
              </w:rPr>
              <w:t>Author, Y</w:t>
            </w:r>
            <w:r w:rsidRPr="009D075F">
              <w:rPr>
                <w:rFonts w:eastAsia="Times New Roman" w:cs="Times New Roman"/>
                <w:b/>
                <w:color w:val="000000"/>
                <w:sz w:val="16"/>
                <w:szCs w:val="16"/>
              </w:rPr>
              <w:t>ear (Ref.)</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Country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Pr>
                <w:rFonts w:eastAsia="Times New Roman" w:cs="Times New Roman"/>
                <w:b/>
                <w:color w:val="000000"/>
                <w:sz w:val="16"/>
                <w:szCs w:val="16"/>
              </w:rPr>
              <w:t xml:space="preserve">Condition </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Pr>
                <w:rFonts w:eastAsia="Times New Roman" w:cs="Times New Roman"/>
                <w:b/>
                <w:color w:val="000000"/>
                <w:sz w:val="16"/>
                <w:szCs w:val="16"/>
              </w:rPr>
              <w:t>Age in years</w:t>
            </w:r>
            <w:r w:rsidRPr="009D075F">
              <w:rPr>
                <w:rFonts w:eastAsia="Times New Roman" w:cs="Times New Roman"/>
                <w:b/>
                <w:color w:val="000000"/>
                <w:sz w:val="16"/>
                <w:szCs w:val="16"/>
              </w:rPr>
              <w:t xml:space="preserve">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No of cases with SA</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Pr>
                <w:rFonts w:eastAsia="Times New Roman" w:cs="Times New Roman"/>
                <w:b/>
                <w:color w:val="000000"/>
                <w:sz w:val="16"/>
                <w:szCs w:val="16"/>
              </w:rPr>
              <w:t xml:space="preserve">No of controls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Aim of the study</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Study design </w:t>
            </w:r>
          </w:p>
        </w:tc>
        <w:tc>
          <w:tcPr>
            <w:tcW w:w="709" w:type="dxa"/>
            <w:tcBorders>
              <w:top w:val="single" w:sz="4" w:space="0" w:color="auto"/>
              <w:left w:val="nil"/>
              <w:bottom w:val="single" w:sz="4" w:space="0" w:color="auto"/>
              <w:right w:val="single" w:sz="4" w:space="0" w:color="auto"/>
            </w:tcBorders>
            <w:vAlign w:val="center"/>
          </w:tcPr>
          <w:p w:rsidR="00801D15" w:rsidRPr="008B28A3" w:rsidRDefault="00801D15" w:rsidP="00C80988">
            <w:pPr>
              <w:rPr>
                <w:rFonts w:cs="Times New Roman"/>
                <w:b/>
                <w:sz w:val="16"/>
                <w:szCs w:val="16"/>
              </w:rPr>
            </w:pPr>
            <w:r w:rsidRPr="008B28A3">
              <w:rPr>
                <w:rFonts w:cs="Times New Roman"/>
                <w:b/>
                <w:sz w:val="16"/>
                <w:szCs w:val="16"/>
              </w:rPr>
              <w:t>Total quality score</w:t>
            </w:r>
            <w:r w:rsidRPr="008B28A3">
              <w:rPr>
                <w:rFonts w:cs="Times New Roman"/>
                <w:b/>
                <w:sz w:val="16"/>
                <w:szCs w:val="16"/>
                <w:vertAlign w:val="superscript"/>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Type of sleep apnea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Sleep apnea  criteria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 Criteria for controls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 xml:space="preserve">Organ /tissue/cells </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Pr>
                <w:rFonts w:eastAsia="Times New Roman" w:cs="Times New Roman"/>
                <w:b/>
                <w:color w:val="000000"/>
                <w:sz w:val="16"/>
                <w:szCs w:val="16"/>
              </w:rPr>
              <w:t xml:space="preserve">Sample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Aging  markers</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Method for measurement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Results</w:t>
            </w:r>
          </w:p>
        </w:tc>
        <w:tc>
          <w:tcPr>
            <w:tcW w:w="1397" w:type="dxa"/>
            <w:tcBorders>
              <w:top w:val="single" w:sz="4" w:space="0" w:color="auto"/>
              <w:left w:val="nil"/>
              <w:bottom w:val="single" w:sz="4" w:space="0" w:color="auto"/>
              <w:right w:val="single" w:sz="4" w:space="0" w:color="auto"/>
            </w:tcBorders>
            <w:shd w:val="clear" w:color="auto" w:fill="auto"/>
            <w:vAlign w:val="bottom"/>
            <w:hideMark/>
          </w:tcPr>
          <w:p w:rsidR="00801D15" w:rsidRPr="009D075F" w:rsidRDefault="00801D15" w:rsidP="00801D15">
            <w:pPr>
              <w:spacing w:before="0" w:after="0"/>
              <w:rPr>
                <w:rFonts w:eastAsia="Times New Roman" w:cs="Times New Roman"/>
                <w:b/>
                <w:color w:val="000000"/>
                <w:sz w:val="16"/>
                <w:szCs w:val="16"/>
              </w:rPr>
            </w:pPr>
            <w:r w:rsidRPr="009D075F">
              <w:rPr>
                <w:rFonts w:eastAsia="Times New Roman" w:cs="Times New Roman"/>
                <w:b/>
                <w:color w:val="000000"/>
                <w:sz w:val="16"/>
                <w:szCs w:val="16"/>
              </w:rPr>
              <w:t>Conclusions</w:t>
            </w:r>
          </w:p>
        </w:tc>
      </w:tr>
      <w:tr w:rsidR="00801D15" w:rsidRPr="00AA4DD4" w:rsidTr="00C80988">
        <w:trPr>
          <w:trHeight w:val="1260"/>
        </w:trPr>
        <w:tc>
          <w:tcPr>
            <w:tcW w:w="866"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Addison-brown et al., 2014</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47–93 </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782</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2143</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1276"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To assess the associations of OSA with cognition and quality of life and whether these vary with age.</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sz w:val="16"/>
                <w:szCs w:val="16"/>
              </w:rPr>
              <w:t>case-control</w:t>
            </w:r>
            <w:r w:rsidRPr="00AA4DD4">
              <w:rPr>
                <w:rFonts w:eastAsia="Times New Roman" w:cs="Times New Roman"/>
                <w:color w:val="000000"/>
                <w:sz w:val="16"/>
                <w:szCs w:val="16"/>
              </w:rPr>
              <w:t xml:space="preserve"> </w:t>
            </w: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single" w:sz="4" w:space="0" w:color="auto"/>
              <w:left w:val="nil"/>
              <w:right w:val="single" w:sz="4" w:space="0" w:color="auto"/>
            </w:tcBorders>
            <w:vAlign w:val="center"/>
          </w:tcPr>
          <w:p w:rsidR="00801D15" w:rsidRPr="00AA4DD4" w:rsidRDefault="00A84984" w:rsidP="00C80988">
            <w:pPr>
              <w:spacing w:before="0" w:after="0"/>
              <w:rPr>
                <w:rFonts w:eastAsia="Times New Roman" w:cs="Times New Roman"/>
                <w:color w:val="000000"/>
                <w:sz w:val="16"/>
                <w:szCs w:val="16"/>
              </w:rPr>
            </w:pPr>
            <w:r>
              <w:rPr>
                <w:rFonts w:eastAsia="Times New Roman" w:cs="Times New Roman"/>
                <w:color w:val="000000"/>
                <w:sz w:val="16"/>
                <w:szCs w:val="16"/>
              </w:rPr>
              <w:t>8</w:t>
            </w:r>
          </w:p>
        </w:tc>
        <w:tc>
          <w:tcPr>
            <w:tcW w:w="709"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850"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High risk of </w:t>
            </w:r>
            <w:r w:rsidRPr="00AA4DD4">
              <w:rPr>
                <w:rFonts w:eastAsia="Times New Roman" w:cs="Times New Roman"/>
                <w:color w:val="000000"/>
                <w:sz w:val="16"/>
                <w:szCs w:val="16"/>
              </w:rPr>
              <w:t>OSA based on the Berlin Sleep Questionnaire.</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low risk of 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Cognitive function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Standardized fluency and recall measures.</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1B36F4">
              <w:rPr>
                <w:rFonts w:eastAsia="Times New Roman" w:cs="Times New Roman"/>
                <w:sz w:val="16"/>
                <w:szCs w:val="16"/>
              </w:rPr>
              <w:t>Those at high risk for OSA had significantly lower cognitive scores. However, some of the associations were age-</w:t>
            </w:r>
            <w:r w:rsidRPr="00AA4DD4">
              <w:rPr>
                <w:rFonts w:eastAsia="Times New Roman" w:cs="Times New Roman"/>
                <w:color w:val="000000"/>
                <w:sz w:val="16"/>
                <w:szCs w:val="16"/>
              </w:rPr>
              <w:t>depen</w:t>
            </w:r>
            <w:r>
              <w:rPr>
                <w:rFonts w:eastAsia="Times New Roman" w:cs="Times New Roman"/>
                <w:color w:val="000000"/>
                <w:sz w:val="16"/>
                <w:szCs w:val="16"/>
              </w:rPr>
              <w:t xml:space="preserve">dent. Differences in cognition </w:t>
            </w:r>
            <w:r w:rsidRPr="00AA4DD4">
              <w:rPr>
                <w:rFonts w:eastAsia="Times New Roman" w:cs="Times New Roman"/>
                <w:color w:val="000000"/>
                <w:sz w:val="16"/>
                <w:szCs w:val="16"/>
              </w:rPr>
              <w:t>between those at high and low OSA risk were most pronounced during middle age, with attenuated effects after age 70 years.</w:t>
            </w:r>
          </w:p>
        </w:tc>
        <w:tc>
          <w:tcPr>
            <w:tcW w:w="139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Authors able to confirm OSA’s effect on cognition, depressive symptoms and </w:t>
            </w:r>
            <w:proofErr w:type="spellStart"/>
            <w:r w:rsidRPr="00AA4DD4">
              <w:rPr>
                <w:rFonts w:eastAsia="Times New Roman" w:cs="Times New Roman"/>
                <w:color w:val="000000"/>
                <w:sz w:val="16"/>
                <w:szCs w:val="16"/>
              </w:rPr>
              <w:t>HRQoL</w:t>
            </w:r>
            <w:proofErr w:type="spellEnd"/>
            <w:r w:rsidRPr="00AA4DD4">
              <w:rPr>
                <w:rFonts w:eastAsia="Times New Roman" w:cs="Times New Roman"/>
                <w:color w:val="000000"/>
                <w:sz w:val="16"/>
                <w:szCs w:val="16"/>
              </w:rPr>
              <w:t xml:space="preserve">. </w:t>
            </w:r>
            <w:r>
              <w:rPr>
                <w:rFonts w:eastAsia="Times New Roman" w:cs="Times New Roman"/>
                <w:color w:val="000000"/>
                <w:sz w:val="16"/>
                <w:szCs w:val="16"/>
              </w:rPr>
              <w:t>T</w:t>
            </w:r>
            <w:r w:rsidRPr="00AA4DD4">
              <w:rPr>
                <w:rFonts w:eastAsia="Times New Roman" w:cs="Times New Roman"/>
                <w:color w:val="000000"/>
                <w:sz w:val="16"/>
                <w:szCs w:val="16"/>
              </w:rPr>
              <w:t xml:space="preserve">hey also found differential effects based on age, with more detrimental correlates of OSA in younger versus older adults, particularly in terms of mood and </w:t>
            </w:r>
            <w:proofErr w:type="spellStart"/>
            <w:r w:rsidRPr="00AA4DD4">
              <w:rPr>
                <w:rFonts w:eastAsia="Times New Roman" w:cs="Times New Roman"/>
                <w:color w:val="000000"/>
                <w:sz w:val="16"/>
                <w:szCs w:val="16"/>
              </w:rPr>
              <w:t>HRQoL</w:t>
            </w:r>
            <w:proofErr w:type="spellEnd"/>
            <w:r w:rsidRPr="00AA4DD4">
              <w:rPr>
                <w:rFonts w:eastAsia="Times New Roman" w:cs="Times New Roman"/>
                <w:color w:val="000000"/>
                <w:sz w:val="16"/>
                <w:szCs w:val="16"/>
              </w:rPr>
              <w:t>.</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818"/>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Depression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Center for Epidemiologic</w:t>
            </w:r>
            <w:r w:rsidRPr="00AA4DD4">
              <w:rPr>
                <w:rFonts w:eastAsia="Times New Roman" w:cs="Times New Roman"/>
                <w:color w:val="000000"/>
                <w:sz w:val="16"/>
                <w:szCs w:val="16"/>
              </w:rPr>
              <w:br/>
              <w:t>Studies Depression Scale.</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Those at high risk for OSA had significantly higher depressive symptoms</w:t>
            </w:r>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1260"/>
        </w:trPr>
        <w:tc>
          <w:tcPr>
            <w:tcW w:w="866"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Pr>
                <w:rFonts w:eastAsia="Times New Roman" w:cs="Times New Roman"/>
                <w:color w:val="000000"/>
                <w:sz w:val="16"/>
                <w:szCs w:val="16"/>
              </w:rPr>
              <w:t>HRQoL</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T</w:t>
            </w:r>
            <w:r w:rsidRPr="00AA4DD4">
              <w:rPr>
                <w:rFonts w:eastAsia="Times New Roman" w:cs="Times New Roman"/>
                <w:color w:val="000000"/>
                <w:sz w:val="16"/>
                <w:szCs w:val="16"/>
              </w:rPr>
              <w:t>he Medical Outcomes Study Short Form-12 (SF-12).</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Those at high risk for OSA had significantly lower </w:t>
            </w:r>
            <w:proofErr w:type="spellStart"/>
            <w:r>
              <w:rPr>
                <w:rFonts w:eastAsia="Times New Roman" w:cs="Times New Roman"/>
                <w:color w:val="000000"/>
                <w:sz w:val="16"/>
                <w:szCs w:val="16"/>
              </w:rPr>
              <w:t>HRQoL</w:t>
            </w:r>
            <w:proofErr w:type="spellEnd"/>
            <w:r w:rsidRPr="00AA4DD4">
              <w:rPr>
                <w:rFonts w:eastAsia="Times New Roman" w:cs="Times New Roman"/>
                <w:color w:val="000000"/>
                <w:sz w:val="16"/>
                <w:szCs w:val="16"/>
              </w:rPr>
              <w:t>. However, some of the associations were age-dependent. Differences in quality of life between those at high and low OSA risk were most pronounced during middle age, with attenuated effects after age 70 years.</w:t>
            </w:r>
          </w:p>
        </w:tc>
        <w:tc>
          <w:tcPr>
            <w:tcW w:w="139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416"/>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proofErr w:type="spellStart"/>
            <w:r w:rsidRPr="00AA4DD4">
              <w:rPr>
                <w:rFonts w:eastAsia="Times New Roman" w:cs="Times New Roman"/>
                <w:sz w:val="16"/>
                <w:szCs w:val="16"/>
              </w:rPr>
              <w:t>Ayalon</w:t>
            </w:r>
            <w:proofErr w:type="spellEnd"/>
            <w:r w:rsidRPr="00AA4DD4">
              <w:rPr>
                <w:rFonts w:eastAsia="Times New Roman" w:cs="Times New Roman"/>
                <w:sz w:val="16"/>
                <w:szCs w:val="16"/>
              </w:rPr>
              <w:t xml:space="preserve"> et al., 2010</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USA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SA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25-59</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14</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To examine whether the combination of</w:t>
            </w:r>
            <w:r w:rsidRPr="00AA4DD4">
              <w:rPr>
                <w:rFonts w:eastAsia="Times New Roman" w:cs="Times New Roman"/>
                <w:sz w:val="16"/>
                <w:szCs w:val="16"/>
              </w:rPr>
              <w:br/>
              <w:t>increasing age and sleep apnea will lead to a stronger compensatory</w:t>
            </w:r>
            <w:r w:rsidRPr="00AA4DD4">
              <w:rPr>
                <w:rFonts w:eastAsia="Times New Roman" w:cs="Times New Roman"/>
                <w:sz w:val="16"/>
                <w:szCs w:val="16"/>
              </w:rPr>
              <w:br/>
            </w:r>
            <w:r w:rsidRPr="00AA4DD4">
              <w:rPr>
                <w:rFonts w:eastAsia="Times New Roman" w:cs="Times New Roman"/>
                <w:sz w:val="16"/>
                <w:szCs w:val="16"/>
              </w:rPr>
              <w:lastRenderedPageBreak/>
              <w:t>response than either factor alone, or overwhelm the brain’s capacity</w:t>
            </w:r>
            <w:r w:rsidRPr="00AA4DD4">
              <w:rPr>
                <w:rFonts w:eastAsia="Times New Roman" w:cs="Times New Roman"/>
                <w:sz w:val="16"/>
                <w:szCs w:val="16"/>
              </w:rPr>
              <w:br/>
              <w:t>to compensate</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case-control</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sz w:val="16"/>
                <w:szCs w:val="16"/>
              </w:rPr>
            </w:pPr>
            <w:r>
              <w:rPr>
                <w:rFonts w:eastAsia="Times New Roman" w:cs="Times New Roman"/>
                <w:sz w:val="16"/>
                <w:szCs w:val="16"/>
              </w:rPr>
              <w:t>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Young (&lt;45 </w:t>
            </w:r>
            <w:proofErr w:type="spellStart"/>
            <w:r w:rsidRPr="00AA4DD4">
              <w:rPr>
                <w:rFonts w:eastAsia="Times New Roman" w:cs="Times New Roman"/>
                <w:sz w:val="16"/>
                <w:szCs w:val="16"/>
              </w:rPr>
              <w:t>yr</w:t>
            </w:r>
            <w:r>
              <w:rPr>
                <w:rFonts w:eastAsia="Times New Roman" w:cs="Times New Roman"/>
                <w:sz w:val="16"/>
                <w:szCs w:val="16"/>
              </w:rPr>
              <w:t>s</w:t>
            </w:r>
            <w:proofErr w:type="spellEnd"/>
            <w:r w:rsidRPr="00AA4DD4">
              <w:rPr>
                <w:rFonts w:eastAsia="Times New Roman" w:cs="Times New Roman"/>
                <w:sz w:val="16"/>
                <w:szCs w:val="16"/>
              </w:rPr>
              <w:t xml:space="preserve">) and middle </w:t>
            </w:r>
            <w:proofErr w:type="gramStart"/>
            <w:r w:rsidRPr="00AA4DD4">
              <w:rPr>
                <w:rFonts w:eastAsia="Times New Roman" w:cs="Times New Roman"/>
                <w:sz w:val="16"/>
                <w:szCs w:val="16"/>
              </w:rPr>
              <w:t>aged</w:t>
            </w:r>
            <w:proofErr w:type="gramEnd"/>
            <w:r w:rsidRPr="00AA4DD4">
              <w:rPr>
                <w:rFonts w:eastAsia="Times New Roman" w:cs="Times New Roman"/>
                <w:sz w:val="16"/>
                <w:szCs w:val="16"/>
              </w:rPr>
              <w:br/>
              <w:t>(</w:t>
            </w:r>
            <w:r w:rsidRPr="00AA4DD4">
              <w:rPr>
                <w:rFonts w:eastAsia="Times New Roman" w:cs="Times New Roman"/>
                <w:sz w:val="16"/>
                <w:szCs w:val="16"/>
                <w:u w:val="single"/>
              </w:rPr>
              <w:t xml:space="preserve">&gt; </w:t>
            </w:r>
            <w:r w:rsidRPr="00AA4DD4">
              <w:rPr>
                <w:rFonts w:eastAsia="Times New Roman" w:cs="Times New Roman"/>
                <w:sz w:val="16"/>
                <w:szCs w:val="16"/>
              </w:rPr>
              <w:t xml:space="preserve">45 </w:t>
            </w:r>
            <w:proofErr w:type="spellStart"/>
            <w:r w:rsidRPr="00AA4DD4">
              <w:rPr>
                <w:rFonts w:eastAsia="Times New Roman" w:cs="Times New Roman"/>
                <w:sz w:val="16"/>
                <w:szCs w:val="16"/>
              </w:rPr>
              <w:t>yr</w:t>
            </w:r>
            <w:r>
              <w:rPr>
                <w:rFonts w:eastAsia="Times New Roman" w:cs="Times New Roman"/>
                <w:sz w:val="16"/>
                <w:szCs w:val="16"/>
              </w:rPr>
              <w:t>s</w:t>
            </w:r>
            <w:proofErr w:type="spellEnd"/>
            <w:r w:rsidRPr="00AA4DD4">
              <w:rPr>
                <w:rFonts w:eastAsia="Times New Roman" w:cs="Times New Roman"/>
                <w:sz w:val="16"/>
                <w:szCs w:val="16"/>
              </w:rPr>
              <w:t xml:space="preserve">) sleep apnea </w:t>
            </w:r>
            <w:r w:rsidRPr="00AA4DD4">
              <w:rPr>
                <w:rFonts w:eastAsia="Times New Roman" w:cs="Times New Roman"/>
                <w:sz w:val="16"/>
                <w:szCs w:val="16"/>
              </w:rPr>
              <w:lastRenderedPageBreak/>
              <w:t>patients.   Inclusion criteria:  apnea–hypopnea</w:t>
            </w:r>
            <w:r w:rsidRPr="00AA4DD4">
              <w:rPr>
                <w:rFonts w:eastAsia="Times New Roman" w:cs="Times New Roman"/>
                <w:sz w:val="16"/>
                <w:szCs w:val="16"/>
              </w:rPr>
              <w:br/>
              <w:t>index 10 or greater.</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lastRenderedPageBreak/>
              <w:t>A</w:t>
            </w:r>
            <w:r w:rsidRPr="00AA4DD4">
              <w:rPr>
                <w:rFonts w:eastAsia="Times New Roman" w:cs="Times New Roman"/>
                <w:sz w:val="16"/>
                <w:szCs w:val="16"/>
              </w:rPr>
              <w:t xml:space="preserve">ge-matched healthy subjects. </w:t>
            </w:r>
            <w:r>
              <w:rPr>
                <w:rFonts w:eastAsia="Times New Roman" w:cs="Times New Roman"/>
                <w:sz w:val="16"/>
                <w:szCs w:val="16"/>
              </w:rPr>
              <w:t>AHI &lt;</w:t>
            </w:r>
            <w:r w:rsidRPr="00AA4DD4">
              <w:rPr>
                <w:rFonts w:eastAsia="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Brain</w:t>
            </w:r>
          </w:p>
        </w:tc>
        <w:tc>
          <w:tcPr>
            <w:tcW w:w="567"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Cognitive p</w:t>
            </w:r>
            <w:r w:rsidRPr="00AA4DD4">
              <w:rPr>
                <w:rFonts w:eastAsia="Times New Roman" w:cs="Times New Roman"/>
                <w:sz w:val="16"/>
                <w:szCs w:val="16"/>
              </w:rPr>
              <w:t>erformance and brain activation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fMRI</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Middle-aged patients with OSA showed reduced performance for immediate word recall and slower reaction </w:t>
            </w:r>
            <w:r>
              <w:rPr>
                <w:rFonts w:eastAsia="Times New Roman" w:cs="Times New Roman"/>
                <w:sz w:val="16"/>
                <w:szCs w:val="16"/>
              </w:rPr>
              <w:t>time during sustained attention.</w:t>
            </w:r>
            <w:r w:rsidRPr="00AA4DD4">
              <w:rPr>
                <w:rFonts w:eastAsia="Times New Roman" w:cs="Times New Roman"/>
                <w:sz w:val="16"/>
                <w:szCs w:val="16"/>
              </w:rPr>
              <w:t xml:space="preserve"> For both tasks, </w:t>
            </w:r>
            <w:r w:rsidRPr="00AA4DD4">
              <w:rPr>
                <w:rFonts w:eastAsia="Times New Roman" w:cs="Times New Roman"/>
                <w:sz w:val="16"/>
                <w:szCs w:val="16"/>
              </w:rPr>
              <w:lastRenderedPageBreak/>
              <w:t>decreased activation was detected for middle-aged sleep apnea relative to the other groups in task-related brain regions.</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 xml:space="preserve">The presence of both sleep apnea and increasing age overwhelmed the brain’s capacity to respond to cognitive </w:t>
            </w:r>
            <w:r w:rsidRPr="00AA4DD4">
              <w:rPr>
                <w:rFonts w:eastAsia="Times New Roman" w:cs="Times New Roman"/>
                <w:sz w:val="16"/>
                <w:szCs w:val="16"/>
              </w:rPr>
              <w:lastRenderedPageBreak/>
              <w:t>challenges with compensatory recruitment and to maintain performance.</w:t>
            </w:r>
          </w:p>
        </w:tc>
      </w:tr>
      <w:tr w:rsidR="00801D15" w:rsidRPr="00AA4DD4" w:rsidTr="00C80988">
        <w:trPr>
          <w:trHeight w:val="23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8C666D">
              <w:rPr>
                <w:rFonts w:eastAsia="Times New Roman" w:cs="Times New Roman"/>
                <w:color w:val="000000"/>
                <w:sz w:val="16"/>
                <w:szCs w:val="16"/>
              </w:rPr>
              <w:lastRenderedPageBreak/>
              <w:t>Duffy et al., 2016</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Australia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 and  at risk for dementia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Mean, 65 </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24</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Correlation study</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To examine the relationship between</w:t>
            </w:r>
            <w:r w:rsidRPr="00AA4DD4">
              <w:rPr>
                <w:rFonts w:eastAsia="Times New Roman" w:cs="Times New Roman"/>
                <w:color w:val="000000"/>
                <w:sz w:val="16"/>
                <w:szCs w:val="16"/>
              </w:rPr>
              <w:br/>
              <w:t xml:space="preserve">GSH concentration in the anterior cingulate cortex </w:t>
            </w:r>
            <w:r>
              <w:rPr>
                <w:rFonts w:eastAsia="Times New Roman" w:cs="Times New Roman"/>
                <w:color w:val="000000"/>
                <w:sz w:val="16"/>
                <w:szCs w:val="16"/>
              </w:rPr>
              <w:t>(ACC) and measures of hypoxemia</w:t>
            </w:r>
            <w:r w:rsidRPr="00AA4DD4">
              <w:rPr>
                <w:rFonts w:eastAsia="Times New Roman" w:cs="Times New Roman"/>
                <w:color w:val="000000"/>
                <w:sz w:val="16"/>
                <w:szCs w:val="16"/>
              </w:rPr>
              <w:t xml:space="preserve"> </w:t>
            </w:r>
            <w:r>
              <w:rPr>
                <w:rFonts w:eastAsia="Times New Roman" w:cs="Times New Roman"/>
                <w:color w:val="000000"/>
                <w:sz w:val="16"/>
                <w:szCs w:val="16"/>
              </w:rPr>
              <w:t xml:space="preserve">(O2 desaturation </w:t>
            </w:r>
            <w:r w:rsidRPr="00AA4DD4">
              <w:rPr>
                <w:rFonts w:eastAsia="Times New Roman" w:cs="Times New Roman"/>
                <w:color w:val="000000"/>
                <w:sz w:val="16"/>
                <w:szCs w:val="16"/>
              </w:rPr>
              <w:t>a</w:t>
            </w:r>
            <w:r>
              <w:rPr>
                <w:rFonts w:eastAsia="Times New Roman" w:cs="Times New Roman"/>
                <w:color w:val="000000"/>
                <w:sz w:val="16"/>
                <w:szCs w:val="16"/>
              </w:rPr>
              <w:t>nd AHI)</w:t>
            </w:r>
            <w:r w:rsidRPr="00AA4DD4">
              <w:rPr>
                <w:rFonts w:eastAsia="Times New Roman" w:cs="Times New Roman"/>
                <w:color w:val="000000"/>
                <w:sz w:val="16"/>
                <w:szCs w:val="16"/>
              </w:rPr>
              <w:t xml:space="preserve"> in older adults at-risk for dementia.</w:t>
            </w:r>
          </w:p>
        </w:tc>
        <w:tc>
          <w:tcPr>
            <w:tcW w:w="709" w:type="dxa"/>
            <w:tcBorders>
              <w:top w:val="nil"/>
              <w:left w:val="nil"/>
              <w:bottom w:val="single" w:sz="4" w:space="0" w:color="auto"/>
              <w:right w:val="single" w:sz="4" w:space="0" w:color="auto"/>
            </w:tcBorders>
            <w:shd w:val="clear" w:color="auto" w:fill="auto"/>
            <w:vAlign w:val="center"/>
            <w:hideMark/>
          </w:tcPr>
          <w:p w:rsidR="006B35B6" w:rsidRPr="00AA4DD4" w:rsidRDefault="006B35B6" w:rsidP="006B35B6">
            <w:pPr>
              <w:spacing w:before="0" w:after="0"/>
              <w:jc w:val="center"/>
              <w:rPr>
                <w:rFonts w:eastAsia="Times New Roman" w:cs="Times New Roman"/>
                <w:color w:val="000000"/>
                <w:sz w:val="16"/>
                <w:szCs w:val="16"/>
              </w:rPr>
            </w:pPr>
            <w:r>
              <w:rPr>
                <w:rFonts w:eastAsia="Times New Roman" w:cs="Times New Roman"/>
                <w:color w:val="000000"/>
                <w:sz w:val="16"/>
                <w:szCs w:val="16"/>
              </w:rPr>
              <w:t>Cross-sectional</w:t>
            </w:r>
          </w:p>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color w:val="000000"/>
                <w:sz w:val="16"/>
                <w:szCs w:val="16"/>
              </w:rPr>
            </w:pPr>
            <w:r>
              <w:rPr>
                <w:rFonts w:eastAsia="Times New Roman" w:cs="Times New Roman"/>
                <w:color w:val="000000"/>
                <w:sz w:val="16"/>
                <w:szCs w:val="16"/>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SA</w:t>
            </w:r>
            <w:r w:rsidRPr="00AA4DD4">
              <w:rPr>
                <w:rFonts w:eastAsia="Times New Roman" w:cs="Times New Roman"/>
                <w:color w:val="000000"/>
                <w:sz w:val="16"/>
                <w:szCs w:val="16"/>
              </w:rPr>
              <w:t xml:space="preserve"> </w:t>
            </w:r>
            <w:r>
              <w:rPr>
                <w:rFonts w:eastAsia="Times New Roman" w:cs="Times New Roman"/>
                <w:color w:val="000000"/>
                <w:sz w:val="16"/>
                <w:szCs w:val="16"/>
              </w:rPr>
              <w:t>was determined</w:t>
            </w:r>
            <w:r w:rsidRPr="00AA4DD4">
              <w:rPr>
                <w:rFonts w:eastAsia="Times New Roman" w:cs="Times New Roman"/>
                <w:color w:val="000000"/>
                <w:sz w:val="16"/>
                <w:szCs w:val="16"/>
              </w:rPr>
              <w:t xml:space="preserve"> </w:t>
            </w:r>
            <w:r>
              <w:rPr>
                <w:rFonts w:eastAsia="Times New Roman" w:cs="Times New Roman"/>
                <w:color w:val="000000"/>
                <w:sz w:val="16"/>
                <w:szCs w:val="16"/>
              </w:rPr>
              <w:t xml:space="preserve">based on O2-desaturation and </w:t>
            </w:r>
            <w:r w:rsidRPr="00AA4DD4">
              <w:rPr>
                <w:rFonts w:eastAsia="Times New Roman" w:cs="Times New Roman"/>
                <w:color w:val="000000"/>
                <w:sz w:val="16"/>
                <w:szCs w:val="16"/>
              </w:rPr>
              <w:t>AHI, rapid eye movement sleep, and non-rapid</w:t>
            </w:r>
            <w:r w:rsidRPr="00AA4DD4">
              <w:rPr>
                <w:rFonts w:eastAsia="Times New Roman" w:cs="Times New Roman"/>
                <w:color w:val="000000"/>
                <w:sz w:val="16"/>
                <w:szCs w:val="16"/>
              </w:rPr>
              <w:br/>
              <w:t>eye movement sleep.</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Correlation study</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Brain</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A</w:t>
            </w:r>
            <w:r>
              <w:rPr>
                <w:rFonts w:eastAsia="Times New Roman" w:cs="Times New Roman"/>
                <w:color w:val="000000"/>
                <w:sz w:val="16"/>
                <w:szCs w:val="16"/>
              </w:rPr>
              <w:t>CC</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GSH and </w:t>
            </w:r>
            <w:proofErr w:type="spellStart"/>
            <w:r w:rsidRPr="00AA4DD4">
              <w:rPr>
                <w:rFonts w:eastAsia="Times New Roman" w:cs="Times New Roman"/>
                <w:color w:val="000000"/>
                <w:sz w:val="16"/>
                <w:szCs w:val="16"/>
              </w:rPr>
              <w:t>creatine</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rPr>
                <w:rFonts w:eastAsia="Times New Roman" w:cs="Times New Roman"/>
                <w:color w:val="000000"/>
                <w:sz w:val="16"/>
                <w:szCs w:val="16"/>
              </w:rPr>
            </w:pPr>
            <w:r>
              <w:rPr>
                <w:rFonts w:eastAsia="Times New Roman" w:cs="Times New Roman"/>
                <w:color w:val="000000"/>
                <w:sz w:val="16"/>
                <w:szCs w:val="16"/>
              </w:rPr>
              <w:t>1H-MRS</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Increased levels of GSH/Cr were associated with lower oxygen desaturation and more severe apnea-hypopnea index scores </w:t>
            </w:r>
            <w:r>
              <w:rPr>
                <w:rFonts w:eastAsia="Times New Roman" w:cs="Times New Roman"/>
                <w:color w:val="000000"/>
                <w:sz w:val="16"/>
                <w:szCs w:val="16"/>
              </w:rPr>
              <w:t>during rapid eye movement sleep</w:t>
            </w:r>
            <w:r w:rsidRPr="00AA4DD4">
              <w:rPr>
                <w:rFonts w:eastAsia="Times New Roman" w:cs="Times New Roman"/>
                <w:color w:val="000000"/>
                <w:sz w:val="16"/>
                <w:szCs w:val="16"/>
              </w:rPr>
              <w:t xml:space="preserve">. In addition, ACC GSH/Cr correlated with poorer executive functioning (i.e., response inhibition </w:t>
            </w:r>
            <w:proofErr w:type="gramStart"/>
            <w:r w:rsidRPr="00AA4DD4">
              <w:rPr>
                <w:rFonts w:eastAsia="Times New Roman" w:cs="Times New Roman"/>
                <w:color w:val="000000"/>
                <w:sz w:val="16"/>
                <w:szCs w:val="16"/>
              </w:rPr>
              <w:t>and  set</w:t>
            </w:r>
            <w:proofErr w:type="gramEnd"/>
            <w:r w:rsidRPr="00AA4DD4">
              <w:rPr>
                <w:rFonts w:eastAsia="Times New Roman" w:cs="Times New Roman"/>
                <w:color w:val="000000"/>
                <w:sz w:val="16"/>
                <w:szCs w:val="16"/>
              </w:rPr>
              <w:t xml:space="preserve"> shifting).</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Markers of nocturnal hypoxemia and sleep disordered breathing (SDB) are associated with cerebral oxidative stress in older people at-risk for dementia, suggesting a potential mechanism by which SDB may contribute to brain degeneration, cognitive decline, and dementia.</w:t>
            </w:r>
          </w:p>
        </w:tc>
      </w:tr>
      <w:tr w:rsidR="00801D15" w:rsidRPr="00AA4DD4" w:rsidTr="00C80988">
        <w:trPr>
          <w:trHeight w:val="1520"/>
        </w:trPr>
        <w:tc>
          <w:tcPr>
            <w:tcW w:w="866"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Edwards et al., 2014</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20-40 </w:t>
            </w:r>
            <w:r w:rsidRPr="00AA4DD4">
              <w:rPr>
                <w:rFonts w:eastAsia="Times New Roman" w:cs="Times New Roman"/>
                <w:color w:val="000000"/>
                <w:sz w:val="16"/>
                <w:szCs w:val="16"/>
              </w:rPr>
              <w:t xml:space="preserve">(young) and </w:t>
            </w:r>
            <w:r w:rsidRPr="00656E9F">
              <w:rPr>
                <w:rFonts w:eastAsia="Times New Roman" w:cs="Times New Roman"/>
                <w:color w:val="000000"/>
                <w:sz w:val="16"/>
                <w:szCs w:val="16"/>
                <w:u w:val="single"/>
              </w:rPr>
              <w:t>&gt;</w:t>
            </w:r>
            <w:r>
              <w:rPr>
                <w:rFonts w:eastAsia="Times New Roman" w:cs="Times New Roman"/>
                <w:color w:val="000000"/>
                <w:sz w:val="16"/>
                <w:szCs w:val="16"/>
              </w:rPr>
              <w:t xml:space="preserve">60 </w:t>
            </w:r>
            <w:r w:rsidRPr="00AA4DD4">
              <w:rPr>
                <w:rFonts w:eastAsia="Times New Roman" w:cs="Times New Roman"/>
                <w:color w:val="000000"/>
                <w:sz w:val="16"/>
                <w:szCs w:val="16"/>
              </w:rPr>
              <w:t>(old)</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10 young, and 10 old</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age groups comparative study</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1276"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To investigate the effect of aging on four key traits responsible for OSA in a group of young and older patients with 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sz w:val="16"/>
                <w:szCs w:val="16"/>
              </w:rPr>
              <w:t>case-control</w:t>
            </w:r>
            <w:r w:rsidRPr="00AA4DD4">
              <w:rPr>
                <w:rFonts w:eastAsia="Times New Roman" w:cs="Times New Roman"/>
                <w:color w:val="000000"/>
                <w:sz w:val="16"/>
                <w:szCs w:val="16"/>
              </w:rPr>
              <w:t xml:space="preserve"> </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single" w:sz="4" w:space="0" w:color="auto"/>
              <w:left w:val="nil"/>
              <w:right w:val="single" w:sz="4" w:space="0" w:color="auto"/>
            </w:tcBorders>
            <w:vAlign w:val="center"/>
          </w:tcPr>
          <w:p w:rsidR="00801D15" w:rsidRPr="00AA4DD4" w:rsidRDefault="00CF650D" w:rsidP="00C80988">
            <w:pPr>
              <w:spacing w:before="0" w:after="0"/>
              <w:rPr>
                <w:rFonts w:eastAsia="Times New Roman" w:cs="Times New Roman"/>
                <w:color w:val="000000"/>
                <w:sz w:val="16"/>
                <w:szCs w:val="16"/>
              </w:rPr>
            </w:pPr>
            <w:r>
              <w:rPr>
                <w:rFonts w:eastAsia="Times New Roman" w:cs="Times New Roman"/>
                <w:color w:val="000000"/>
                <w:sz w:val="16"/>
                <w:szCs w:val="16"/>
              </w:rPr>
              <w:t>7</w:t>
            </w:r>
          </w:p>
        </w:tc>
        <w:tc>
          <w:tcPr>
            <w:tcW w:w="709"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850"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OSA patients with </w:t>
            </w:r>
            <w:r>
              <w:rPr>
                <w:rFonts w:eastAsia="Times New Roman" w:cs="Times New Roman"/>
                <w:color w:val="000000"/>
                <w:sz w:val="16"/>
                <w:szCs w:val="16"/>
              </w:rPr>
              <w:t>AHI</w:t>
            </w:r>
            <w:r w:rsidRPr="00AA4DD4">
              <w:rPr>
                <w:rFonts w:eastAsia="Times New Roman" w:cs="Times New Roman"/>
                <w:color w:val="000000"/>
                <w:sz w:val="16"/>
                <w:szCs w:val="16"/>
              </w:rPr>
              <w:t xml:space="preserve"> &gt; 10 even</w:t>
            </w:r>
            <w:r>
              <w:rPr>
                <w:rFonts w:eastAsia="Times New Roman" w:cs="Times New Roman"/>
                <w:color w:val="000000"/>
                <w:sz w:val="16"/>
                <w:szCs w:val="16"/>
              </w:rPr>
              <w:t>ts/h and were treated with CPAP</w:t>
            </w:r>
            <w:r w:rsidRPr="00AA4DD4">
              <w:rPr>
                <w:rFonts w:eastAsia="Times New Roman" w:cs="Times New Roman"/>
                <w:color w:val="000000"/>
                <w:sz w:val="16"/>
                <w:szCs w:val="16"/>
              </w:rPr>
              <w:t xml:space="preserve"> for more than 5 h per night for at least 2 </w:t>
            </w:r>
            <w:proofErr w:type="spellStart"/>
            <w:r w:rsidRPr="00AA4DD4">
              <w:rPr>
                <w:rFonts w:eastAsia="Times New Roman" w:cs="Times New Roman"/>
                <w:color w:val="000000"/>
                <w:sz w:val="16"/>
                <w:szCs w:val="16"/>
              </w:rPr>
              <w:t>mo</w:t>
            </w:r>
            <w:proofErr w:type="spellEnd"/>
            <w:r w:rsidRPr="00AA4DD4">
              <w:rPr>
                <w:rFonts w:eastAsia="Times New Roman" w:cs="Times New Roman"/>
                <w:color w:val="000000"/>
                <w:sz w:val="16"/>
                <w:szCs w:val="16"/>
              </w:rPr>
              <w:t xml:space="preserve"> prior to enrollment.</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A</w:t>
            </w:r>
            <w:r w:rsidRPr="00AA4DD4">
              <w:rPr>
                <w:rFonts w:eastAsia="Times New Roman" w:cs="Times New Roman"/>
                <w:color w:val="000000"/>
                <w:sz w:val="16"/>
                <w:szCs w:val="16"/>
              </w:rPr>
              <w:t>ge groups comparative study</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Upper respiratory system</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NA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Pharyngeal anatomy/collapsibility</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It was quantified as the ventilation at CPAP = 0 cmH2O immediately after the CPAP drop.</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In comparison with younger patients with OSA, older patients had a more collapsible</w:t>
            </w:r>
            <w:r w:rsidRPr="00AA4DD4">
              <w:rPr>
                <w:rFonts w:eastAsia="Times New Roman" w:cs="Times New Roman"/>
                <w:color w:val="000000"/>
                <w:sz w:val="16"/>
                <w:szCs w:val="16"/>
              </w:rPr>
              <w:br/>
              <w:t>airway</w:t>
            </w:r>
          </w:p>
        </w:tc>
        <w:tc>
          <w:tcPr>
            <w:tcW w:w="139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The </w:t>
            </w:r>
            <w:r w:rsidRPr="00AA4DD4">
              <w:rPr>
                <w:rFonts w:eastAsia="Times New Roman" w:cs="Times New Roman"/>
                <w:color w:val="000000"/>
                <w:sz w:val="16"/>
                <w:szCs w:val="16"/>
              </w:rPr>
              <w:t>data suggest that airway anatomy/collapsibility plays a relatively greater pathogenic role in older adults, whereas a sensitive</w:t>
            </w:r>
            <w:r w:rsidRPr="00AA4DD4">
              <w:rPr>
                <w:rFonts w:eastAsia="Times New Roman" w:cs="Times New Roman"/>
                <w:color w:val="000000"/>
                <w:sz w:val="16"/>
                <w:szCs w:val="16"/>
              </w:rPr>
              <w:br/>
            </w:r>
            <w:proofErr w:type="spellStart"/>
            <w:r w:rsidRPr="00AA4DD4">
              <w:rPr>
                <w:rFonts w:eastAsia="Times New Roman" w:cs="Times New Roman"/>
                <w:color w:val="000000"/>
                <w:sz w:val="16"/>
                <w:szCs w:val="16"/>
              </w:rPr>
              <w:t>ventilatory</w:t>
            </w:r>
            <w:proofErr w:type="spellEnd"/>
            <w:r w:rsidRPr="00AA4DD4">
              <w:rPr>
                <w:rFonts w:eastAsia="Times New Roman" w:cs="Times New Roman"/>
                <w:color w:val="000000"/>
                <w:sz w:val="16"/>
                <w:szCs w:val="16"/>
              </w:rPr>
              <w:t xml:space="preserve"> control system is a more prominent trait in younger adults with </w:t>
            </w:r>
            <w:r>
              <w:rPr>
                <w:rFonts w:eastAsia="Times New Roman" w:cs="Times New Roman"/>
                <w:color w:val="000000"/>
                <w:sz w:val="16"/>
                <w:szCs w:val="16"/>
              </w:rPr>
              <w:t>OSA</w:t>
            </w:r>
            <w:r w:rsidRPr="00AA4DD4">
              <w:rPr>
                <w:rFonts w:eastAsia="Times New Roman" w:cs="Times New Roman"/>
                <w:color w:val="000000"/>
                <w:sz w:val="16"/>
                <w:szCs w:val="16"/>
              </w:rPr>
              <w:t>.</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1466"/>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loop gain (LG)</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gramStart"/>
            <w:r w:rsidRPr="00AA4DD4">
              <w:rPr>
                <w:rFonts w:eastAsia="Times New Roman" w:cs="Times New Roman"/>
                <w:color w:val="000000"/>
                <w:sz w:val="16"/>
                <w:szCs w:val="16"/>
              </w:rPr>
              <w:t>the</w:t>
            </w:r>
            <w:proofErr w:type="gramEnd"/>
            <w:r w:rsidRPr="00AA4DD4">
              <w:rPr>
                <w:rFonts w:eastAsia="Times New Roman" w:cs="Times New Roman"/>
                <w:color w:val="000000"/>
                <w:sz w:val="16"/>
                <w:szCs w:val="16"/>
              </w:rPr>
              <w:t xml:space="preserve"> ratio of the </w:t>
            </w:r>
            <w:proofErr w:type="spellStart"/>
            <w:r w:rsidRPr="00AA4DD4">
              <w:rPr>
                <w:rFonts w:eastAsia="Times New Roman" w:cs="Times New Roman"/>
                <w:color w:val="000000"/>
                <w:sz w:val="16"/>
                <w:szCs w:val="16"/>
              </w:rPr>
              <w:t>ventilatory</w:t>
            </w:r>
            <w:proofErr w:type="spellEnd"/>
            <w:r w:rsidRPr="00AA4DD4">
              <w:rPr>
                <w:rFonts w:eastAsia="Times New Roman" w:cs="Times New Roman"/>
                <w:color w:val="000000"/>
                <w:sz w:val="16"/>
                <w:szCs w:val="16"/>
              </w:rPr>
              <w:t xml:space="preserve"> overshoot to the preceding reduction in ventilation.</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In comparison with younger patients with OSA, older patients had a lower LG</w:t>
            </w:r>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699"/>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single" w:sz="4" w:space="0" w:color="auto"/>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upper airway muscle responsiveness/gain (UAG)</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gramStart"/>
            <w:r w:rsidRPr="00AA4DD4">
              <w:rPr>
                <w:rFonts w:eastAsia="Times New Roman" w:cs="Times New Roman"/>
                <w:color w:val="000000"/>
                <w:sz w:val="16"/>
                <w:szCs w:val="16"/>
              </w:rPr>
              <w:t>the</w:t>
            </w:r>
            <w:proofErr w:type="gramEnd"/>
            <w:r w:rsidRPr="00AA4DD4">
              <w:rPr>
                <w:rFonts w:eastAsia="Times New Roman" w:cs="Times New Roman"/>
                <w:color w:val="000000"/>
                <w:sz w:val="16"/>
                <w:szCs w:val="16"/>
              </w:rPr>
              <w:t xml:space="preserve"> ratio of the increase in ventilation to the</w:t>
            </w:r>
            <w:r w:rsidRPr="00AA4DD4">
              <w:rPr>
                <w:rFonts w:eastAsia="Times New Roman" w:cs="Times New Roman"/>
                <w:color w:val="000000"/>
                <w:sz w:val="16"/>
                <w:szCs w:val="16"/>
              </w:rPr>
              <w:br/>
              <w:t xml:space="preserve">increase in </w:t>
            </w:r>
            <w:proofErr w:type="spellStart"/>
            <w:r w:rsidRPr="00AA4DD4">
              <w:rPr>
                <w:rFonts w:eastAsia="Times New Roman" w:cs="Times New Roman"/>
                <w:color w:val="000000"/>
                <w:sz w:val="16"/>
                <w:szCs w:val="16"/>
              </w:rPr>
              <w:t>ventilatory</w:t>
            </w:r>
            <w:proofErr w:type="spellEnd"/>
            <w:r w:rsidRPr="00AA4DD4">
              <w:rPr>
                <w:rFonts w:eastAsia="Times New Roman" w:cs="Times New Roman"/>
                <w:color w:val="000000"/>
                <w:sz w:val="16"/>
                <w:szCs w:val="16"/>
              </w:rPr>
              <w:t xml:space="preserve"> drive across the pressure drop.</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It was similar between groups.</w:t>
            </w:r>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1286"/>
        </w:trPr>
        <w:tc>
          <w:tcPr>
            <w:tcW w:w="866"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br/>
              <w:t>respiratory arousal threshold</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gramStart"/>
            <w:r w:rsidRPr="00AA4DD4">
              <w:rPr>
                <w:rFonts w:eastAsia="Times New Roman" w:cs="Times New Roman"/>
                <w:color w:val="000000"/>
                <w:sz w:val="16"/>
                <w:szCs w:val="16"/>
              </w:rPr>
              <w:t>estimated</w:t>
            </w:r>
            <w:proofErr w:type="gramEnd"/>
            <w:r w:rsidRPr="00AA4DD4">
              <w:rPr>
                <w:rFonts w:eastAsia="Times New Roman" w:cs="Times New Roman"/>
                <w:color w:val="000000"/>
                <w:sz w:val="16"/>
                <w:szCs w:val="16"/>
              </w:rPr>
              <w:t xml:space="preserve"> as the </w:t>
            </w:r>
            <w:proofErr w:type="spellStart"/>
            <w:r w:rsidRPr="00AA4DD4">
              <w:rPr>
                <w:rFonts w:eastAsia="Times New Roman" w:cs="Times New Roman"/>
                <w:color w:val="000000"/>
                <w:sz w:val="16"/>
                <w:szCs w:val="16"/>
              </w:rPr>
              <w:t>ventilatory</w:t>
            </w:r>
            <w:proofErr w:type="spellEnd"/>
            <w:r w:rsidRPr="00AA4DD4">
              <w:rPr>
                <w:rFonts w:eastAsia="Times New Roman" w:cs="Times New Roman"/>
                <w:color w:val="000000"/>
                <w:sz w:val="16"/>
                <w:szCs w:val="16"/>
              </w:rPr>
              <w:t xml:space="preserve"> drive that caused arousal.</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It </w:t>
            </w:r>
            <w:r w:rsidRPr="00AA4DD4">
              <w:rPr>
                <w:rFonts w:eastAsia="Times New Roman" w:cs="Times New Roman"/>
                <w:color w:val="000000"/>
                <w:sz w:val="16"/>
                <w:szCs w:val="16"/>
              </w:rPr>
              <w:t>was similar between groups.</w:t>
            </w:r>
          </w:p>
        </w:tc>
        <w:tc>
          <w:tcPr>
            <w:tcW w:w="139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71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Khan et al., 2011</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USA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&gt;65 </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101</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No  non SA control</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To identify OSA and anemia of aging (AOA) </w:t>
            </w:r>
            <w:proofErr w:type="spellStart"/>
            <w:r w:rsidRPr="00AA4DD4">
              <w:rPr>
                <w:rFonts w:eastAsia="Times New Roman" w:cs="Times New Roman"/>
                <w:color w:val="000000"/>
                <w:sz w:val="16"/>
                <w:szCs w:val="16"/>
              </w:rPr>
              <w:t>coexistance</w:t>
            </w:r>
            <w:proofErr w:type="spellEnd"/>
            <w:r w:rsidRPr="00AA4DD4">
              <w:rPr>
                <w:rFonts w:eastAsia="Times New Roman" w:cs="Times New Roman"/>
                <w:color w:val="000000"/>
                <w:sz w:val="16"/>
                <w:szCs w:val="16"/>
              </w:rPr>
              <w:t xml:space="preserve">, and OSA treatment </w:t>
            </w:r>
            <w:r>
              <w:rPr>
                <w:rFonts w:eastAsia="Times New Roman" w:cs="Times New Roman"/>
                <w:color w:val="000000"/>
                <w:sz w:val="16"/>
                <w:szCs w:val="16"/>
              </w:rPr>
              <w:t>-</w:t>
            </w:r>
            <w:r w:rsidRPr="00AA4DD4">
              <w:rPr>
                <w:rFonts w:eastAsia="Times New Roman" w:cs="Times New Roman"/>
                <w:color w:val="000000"/>
                <w:sz w:val="16"/>
                <w:szCs w:val="16"/>
              </w:rPr>
              <w:t>AOA interaction.</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cohort</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color w:val="000000"/>
                <w:sz w:val="16"/>
                <w:szCs w:val="16"/>
              </w:rPr>
            </w:pPr>
            <w:r>
              <w:rPr>
                <w:rFonts w:eastAsia="Times New Roman" w:cs="Times New Roman"/>
                <w:color w:val="000000"/>
                <w:sz w:val="16"/>
                <w:szCs w:val="16"/>
              </w:rPr>
              <w:t>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 was diagnosed when AHI was &gt; 5 events/h.</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Correlation study</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blood</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Pr>
                <w:rFonts w:eastAsia="Times New Roman" w:cs="Times New Roman"/>
                <w:color w:val="000000"/>
                <w:sz w:val="16"/>
                <w:szCs w:val="16"/>
              </w:rPr>
              <w:t>Hct</w:t>
            </w:r>
            <w:proofErr w:type="spellEnd"/>
            <w:r w:rsidRPr="00AA4DD4">
              <w:rPr>
                <w:rFonts w:eastAsia="Times New Roman" w:cs="Times New Roman"/>
                <w:color w:val="000000"/>
                <w:sz w:val="16"/>
                <w:szCs w:val="16"/>
              </w:rPr>
              <w:t xml:space="preserve"> </w:t>
            </w:r>
            <w:r>
              <w:rPr>
                <w:rFonts w:eastAsia="Times New Roman" w:cs="Times New Roman"/>
                <w:color w:val="000000"/>
                <w:sz w:val="16"/>
                <w:szCs w:val="16"/>
              </w:rPr>
              <w:t xml:space="preserve">and  </w:t>
            </w:r>
            <w:proofErr w:type="spellStart"/>
            <w:r>
              <w:rPr>
                <w:rFonts w:eastAsia="Times New Roman" w:cs="Times New Roman"/>
                <w:color w:val="000000"/>
                <w:sz w:val="16"/>
                <w:szCs w:val="16"/>
              </w:rPr>
              <w:t>Hgb</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not mentioned</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Hct</w:t>
            </w:r>
            <w:proofErr w:type="spellEnd"/>
            <w:r w:rsidRPr="00AA4DD4">
              <w:rPr>
                <w:rFonts w:eastAsia="Times New Roman" w:cs="Times New Roman"/>
                <w:color w:val="000000"/>
                <w:sz w:val="16"/>
                <w:szCs w:val="16"/>
              </w:rPr>
              <w:t xml:space="preserve"> changed signific</w:t>
            </w:r>
            <w:r>
              <w:rPr>
                <w:rFonts w:eastAsia="Times New Roman" w:cs="Times New Roman"/>
                <w:color w:val="000000"/>
                <w:sz w:val="16"/>
                <w:szCs w:val="16"/>
              </w:rPr>
              <w:t xml:space="preserve">antly post OSA treatment. The change in </w:t>
            </w:r>
            <w:proofErr w:type="spellStart"/>
            <w:r>
              <w:rPr>
                <w:rFonts w:eastAsia="Times New Roman" w:cs="Times New Roman"/>
                <w:color w:val="000000"/>
                <w:sz w:val="16"/>
                <w:szCs w:val="16"/>
              </w:rPr>
              <w:t>Hgb</w:t>
            </w:r>
            <w:proofErr w:type="spellEnd"/>
            <w:r>
              <w:rPr>
                <w:rFonts w:eastAsia="Times New Roman" w:cs="Times New Roman"/>
                <w:color w:val="000000"/>
                <w:sz w:val="16"/>
                <w:szCs w:val="16"/>
              </w:rPr>
              <w:t xml:space="preserve"> after OSA treatment was</w:t>
            </w:r>
            <w:r w:rsidRPr="00AA4DD4">
              <w:rPr>
                <w:rFonts w:eastAsia="Times New Roman" w:cs="Times New Roman"/>
                <w:color w:val="000000"/>
                <w:sz w:val="16"/>
                <w:szCs w:val="16"/>
              </w:rPr>
              <w:t xml:space="preserve"> not significant. However</w:t>
            </w:r>
            <w:r>
              <w:rPr>
                <w:rFonts w:eastAsia="Times New Roman" w:cs="Times New Roman"/>
                <w:color w:val="000000"/>
                <w:sz w:val="16"/>
                <w:szCs w:val="16"/>
              </w:rPr>
              <w:t xml:space="preserve">, the change in </w:t>
            </w:r>
            <w:proofErr w:type="spellStart"/>
            <w:r>
              <w:rPr>
                <w:rFonts w:eastAsia="Times New Roman" w:cs="Times New Roman"/>
                <w:color w:val="000000"/>
                <w:sz w:val="16"/>
                <w:szCs w:val="16"/>
              </w:rPr>
              <w:t>Hgb</w:t>
            </w:r>
            <w:proofErr w:type="spellEnd"/>
            <w:r>
              <w:rPr>
                <w:rFonts w:eastAsia="Times New Roman" w:cs="Times New Roman"/>
                <w:color w:val="000000"/>
                <w:sz w:val="16"/>
                <w:szCs w:val="16"/>
              </w:rPr>
              <w:t xml:space="preserve"> was</w:t>
            </w:r>
            <w:r w:rsidRPr="00AA4DD4">
              <w:rPr>
                <w:rFonts w:eastAsia="Times New Roman" w:cs="Times New Roman"/>
                <w:color w:val="000000"/>
                <w:sz w:val="16"/>
                <w:szCs w:val="16"/>
              </w:rPr>
              <w:t xml:space="preserve"> large enough to reach WHO standards for </w:t>
            </w:r>
            <w:proofErr w:type="spellStart"/>
            <w:r w:rsidRPr="00AA4DD4">
              <w:rPr>
                <w:rFonts w:eastAsia="Times New Roman" w:cs="Times New Roman"/>
                <w:color w:val="000000"/>
                <w:sz w:val="16"/>
                <w:szCs w:val="16"/>
              </w:rPr>
              <w:t>AoA</w:t>
            </w:r>
            <w:proofErr w:type="spellEnd"/>
            <w:r w:rsidRPr="00AA4DD4">
              <w:rPr>
                <w:rFonts w:eastAsia="Times New Roman" w:cs="Times New Roman"/>
                <w:color w:val="000000"/>
                <w:sz w:val="16"/>
                <w:szCs w:val="16"/>
              </w:rPr>
              <w:t xml:space="preserve">. </w:t>
            </w:r>
            <w:proofErr w:type="spellStart"/>
            <w:r w:rsidRPr="00AA4DD4">
              <w:rPr>
                <w:rFonts w:eastAsia="Times New Roman" w:cs="Times New Roman"/>
                <w:color w:val="000000"/>
                <w:sz w:val="16"/>
                <w:szCs w:val="16"/>
              </w:rPr>
              <w:t>Hct</w:t>
            </w:r>
            <w:proofErr w:type="spellEnd"/>
            <w:r w:rsidRPr="00AA4DD4">
              <w:rPr>
                <w:rFonts w:eastAsia="Times New Roman" w:cs="Times New Roman"/>
                <w:color w:val="000000"/>
                <w:sz w:val="16"/>
                <w:szCs w:val="16"/>
              </w:rPr>
              <w:t xml:space="preserve"> changed significantly among both men and women</w:t>
            </w:r>
            <w:r>
              <w:rPr>
                <w:rFonts w:eastAsia="Times New Roman" w:cs="Times New Roman"/>
                <w:color w:val="000000"/>
                <w:sz w:val="16"/>
                <w:szCs w:val="16"/>
              </w:rPr>
              <w:t>.</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There was no AOA before OSA treatment</w:t>
            </w:r>
            <w:r>
              <w:rPr>
                <w:rFonts w:eastAsia="Times New Roman" w:cs="Times New Roman"/>
                <w:color w:val="000000"/>
                <w:sz w:val="16"/>
                <w:szCs w:val="16"/>
              </w:rPr>
              <w:t>. B</w:t>
            </w:r>
            <w:r w:rsidRPr="00AA4DD4">
              <w:rPr>
                <w:rFonts w:eastAsia="Times New Roman" w:cs="Times New Roman"/>
                <w:color w:val="000000"/>
                <w:sz w:val="16"/>
                <w:szCs w:val="16"/>
              </w:rPr>
              <w:t>ut there was AOA 1 year after OSA treatment.  AOA and OSA share common inflammatory processes. Authors believe OSA inflammatory processes interact with OSA h</w:t>
            </w:r>
            <w:r>
              <w:rPr>
                <w:rFonts w:eastAsia="Times New Roman" w:cs="Times New Roman"/>
                <w:color w:val="000000"/>
                <w:sz w:val="16"/>
                <w:szCs w:val="16"/>
              </w:rPr>
              <w:t>ypoxia-induced erythropoiesis.</w:t>
            </w:r>
          </w:p>
        </w:tc>
      </w:tr>
      <w:tr w:rsidR="00801D15" w:rsidRPr="00AA4DD4" w:rsidTr="00C80988">
        <w:trPr>
          <w:trHeight w:val="804"/>
        </w:trPr>
        <w:tc>
          <w:tcPr>
            <w:tcW w:w="866"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Kritikou</w:t>
            </w:r>
            <w:proofErr w:type="spellEnd"/>
            <w:r w:rsidRPr="00AA4DD4">
              <w:rPr>
                <w:rFonts w:eastAsia="Times New Roman" w:cs="Times New Roman"/>
                <w:color w:val="000000"/>
                <w:sz w:val="16"/>
                <w:szCs w:val="16"/>
              </w:rPr>
              <w:t xml:space="preserve"> et al., 2014</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USA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8"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Mean 42- 66 </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38</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39</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1276"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 xml:space="preserve">To examine the association of </w:t>
            </w:r>
            <w:r w:rsidRPr="00AA4DD4">
              <w:rPr>
                <w:rFonts w:eastAsia="Times New Roman" w:cs="Times New Roman"/>
                <w:color w:val="000000"/>
                <w:sz w:val="16"/>
                <w:szCs w:val="16"/>
              </w:rPr>
              <w:t>OSA with sleepiness and inflammation/insulin resistance in a relatively non obese population</w:t>
            </w:r>
            <w:r>
              <w:rPr>
                <w:rFonts w:eastAsia="Times New Roman" w:cs="Times New Roman"/>
                <w:color w:val="000000"/>
                <w:sz w:val="16"/>
                <w:szCs w:val="16"/>
              </w:rPr>
              <w:t>.</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sz w:val="16"/>
                <w:szCs w:val="16"/>
              </w:rPr>
              <w:lastRenderedPageBreak/>
              <w:t>case-control</w:t>
            </w:r>
            <w:r w:rsidRPr="00AA4DD4">
              <w:rPr>
                <w:rFonts w:eastAsia="Times New Roman" w:cs="Times New Roman"/>
                <w:color w:val="000000"/>
                <w:sz w:val="16"/>
                <w:szCs w:val="16"/>
              </w:rPr>
              <w:t xml:space="preserve"> </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single" w:sz="4" w:space="0" w:color="auto"/>
              <w:left w:val="nil"/>
              <w:right w:val="single" w:sz="4" w:space="0" w:color="auto"/>
            </w:tcBorders>
            <w:vAlign w:val="center"/>
          </w:tcPr>
          <w:p w:rsidR="00801D15" w:rsidRPr="00AA4DD4" w:rsidRDefault="00CF650D" w:rsidP="00C80988">
            <w:pPr>
              <w:spacing w:before="0" w:after="0"/>
              <w:rPr>
                <w:rFonts w:eastAsia="Times New Roman" w:cs="Times New Roman"/>
                <w:color w:val="000000"/>
                <w:sz w:val="16"/>
                <w:szCs w:val="16"/>
              </w:rPr>
            </w:pPr>
            <w:r>
              <w:rPr>
                <w:rFonts w:eastAsia="Times New Roman" w:cs="Times New Roman"/>
                <w:color w:val="000000"/>
                <w:sz w:val="16"/>
                <w:szCs w:val="16"/>
              </w:rPr>
              <w:t>8</w:t>
            </w:r>
          </w:p>
        </w:tc>
        <w:tc>
          <w:tcPr>
            <w:tcW w:w="709" w:type="dxa"/>
            <w:vMerge w:val="restart"/>
            <w:tcBorders>
              <w:top w:val="nil"/>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850"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AHI</w:t>
            </w:r>
            <w:r w:rsidRPr="00AA4DD4">
              <w:rPr>
                <w:rFonts w:eastAsia="Times New Roman" w:cs="Times New Roman"/>
                <w:color w:val="000000"/>
                <w:sz w:val="16"/>
                <w:szCs w:val="16"/>
              </w:rPr>
              <w:t xml:space="preserve"> &gt;10 events/h of sleep for females and &gt;15 events/h for males.</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lastRenderedPageBreak/>
              <w:t xml:space="preserve">Individuals </w:t>
            </w:r>
            <w:r w:rsidRPr="00AA4DD4">
              <w:rPr>
                <w:rFonts w:eastAsia="Times New Roman" w:cs="Times New Roman"/>
                <w:color w:val="000000"/>
                <w:sz w:val="16"/>
                <w:szCs w:val="16"/>
              </w:rPr>
              <w:t> </w:t>
            </w:r>
            <w:r>
              <w:rPr>
                <w:rFonts w:eastAsia="Times New Roman" w:cs="Times New Roman"/>
                <w:color w:val="000000"/>
                <w:sz w:val="16"/>
                <w:szCs w:val="16"/>
              </w:rPr>
              <w:t>Without 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56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blood (plasma)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D51530" w:rsidRDefault="00801D15" w:rsidP="00801D15">
            <w:pPr>
              <w:spacing w:before="0" w:after="0"/>
              <w:jc w:val="center"/>
              <w:rPr>
                <w:rFonts w:cs="Times New Roman"/>
                <w:color w:val="231F20"/>
                <w:sz w:val="16"/>
                <w:szCs w:val="16"/>
              </w:rPr>
            </w:pPr>
            <w:r w:rsidRPr="00D51530">
              <w:rPr>
                <w:rFonts w:cs="Times New Roman"/>
                <w:color w:val="231F20"/>
                <w:sz w:val="16"/>
                <w:szCs w:val="16"/>
              </w:rPr>
              <w:t>Sleepiness</w:t>
            </w:r>
          </w:p>
          <w:p w:rsidR="00801D15" w:rsidRPr="00D51530" w:rsidRDefault="00801D15" w:rsidP="00801D15">
            <w:pPr>
              <w:spacing w:before="0" w:after="0"/>
              <w:jc w:val="center"/>
              <w:rPr>
                <w:rFonts w:eastAsia="Times New Roman"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vAlign w:val="center"/>
            <w:hideMark/>
          </w:tcPr>
          <w:p w:rsidR="00801D15" w:rsidRPr="00D51530" w:rsidRDefault="00801D15" w:rsidP="00801D15">
            <w:pPr>
              <w:spacing w:before="0" w:after="0"/>
              <w:jc w:val="center"/>
              <w:rPr>
                <w:rFonts w:eastAsia="Times New Roman" w:cs="Times New Roman"/>
                <w:color w:val="000000"/>
                <w:sz w:val="16"/>
                <w:szCs w:val="16"/>
              </w:rPr>
            </w:pPr>
            <w:r>
              <w:rPr>
                <w:rFonts w:cs="Times New Roman"/>
                <w:color w:val="231F20"/>
                <w:sz w:val="16"/>
                <w:szCs w:val="16"/>
              </w:rPr>
              <w:t>ESS, MSLT and PVT</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males were significantly sleepier than controls.</w:t>
            </w:r>
            <w:r>
              <w:rPr>
                <w:rFonts w:eastAsia="Times New Roman" w:cs="Times New Roman"/>
                <w:color w:val="000000"/>
                <w:sz w:val="16"/>
                <w:szCs w:val="16"/>
              </w:rPr>
              <w:t xml:space="preserve"> </w:t>
            </w:r>
            <w:r w:rsidRPr="00AA4DD4">
              <w:rPr>
                <w:rFonts w:eastAsia="Times New Roman" w:cs="Times New Roman"/>
                <w:color w:val="000000"/>
                <w:sz w:val="16"/>
                <w:szCs w:val="16"/>
              </w:rPr>
              <w:t>CPAP improved subjective sleepiness</w:t>
            </w:r>
            <w:r>
              <w:rPr>
                <w:rFonts w:eastAsia="Times New Roman" w:cs="Times New Roman"/>
                <w:color w:val="000000"/>
                <w:sz w:val="16"/>
                <w:szCs w:val="16"/>
              </w:rPr>
              <w:t>.</w:t>
            </w:r>
          </w:p>
        </w:tc>
        <w:tc>
          <w:tcPr>
            <w:tcW w:w="1397" w:type="dxa"/>
            <w:vMerge w:val="restart"/>
            <w:tcBorders>
              <w:top w:val="nil"/>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OSA is associated with sleepiness, inflammation and insulin resistance, even in </w:t>
            </w:r>
            <w:proofErr w:type="spellStart"/>
            <w:r w:rsidRPr="00AA4DD4">
              <w:rPr>
                <w:rFonts w:eastAsia="Times New Roman" w:cs="Times New Roman"/>
                <w:color w:val="000000"/>
                <w:sz w:val="16"/>
                <w:szCs w:val="16"/>
              </w:rPr>
              <w:t>nonobese</w:t>
            </w:r>
            <w:proofErr w:type="spellEnd"/>
            <w:r w:rsidRPr="00AA4DD4">
              <w:rPr>
                <w:rFonts w:eastAsia="Times New Roman" w:cs="Times New Roman"/>
                <w:color w:val="000000"/>
                <w:sz w:val="16"/>
                <w:szCs w:val="16"/>
              </w:rPr>
              <w:t xml:space="preserve"> males, and this association is stronger in males than in females. Short-term CPAP does not improve the </w:t>
            </w:r>
            <w:r w:rsidRPr="00AA4DD4">
              <w:rPr>
                <w:rFonts w:eastAsia="Times New Roman" w:cs="Times New Roman"/>
                <w:color w:val="000000"/>
                <w:sz w:val="16"/>
                <w:szCs w:val="16"/>
              </w:rPr>
              <w:lastRenderedPageBreak/>
              <w:t>inflammatory/metabolic aberrations in OSA.</w:t>
            </w: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989"/>
        </w:trPr>
        <w:tc>
          <w:tcPr>
            <w:tcW w:w="866" w:type="dxa"/>
            <w:vMerge/>
            <w:tcBorders>
              <w:left w:val="single" w:sz="4" w:space="0" w:color="auto"/>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tcPr>
          <w:p w:rsidR="00801D15"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tcPr>
          <w:p w:rsidR="00801D15"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IL-6</w:t>
            </w:r>
          </w:p>
        </w:tc>
        <w:tc>
          <w:tcPr>
            <w:tcW w:w="850" w:type="dxa"/>
            <w:tcBorders>
              <w:top w:val="nil"/>
              <w:left w:val="nil"/>
              <w:bottom w:val="single" w:sz="4" w:space="0" w:color="auto"/>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ELISA</w:t>
            </w:r>
          </w:p>
        </w:tc>
        <w:tc>
          <w:tcPr>
            <w:tcW w:w="1701" w:type="dxa"/>
            <w:tcBorders>
              <w:top w:val="nil"/>
              <w:left w:val="nil"/>
              <w:bottom w:val="single" w:sz="4" w:space="0" w:color="auto"/>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males </w:t>
            </w:r>
            <w:r>
              <w:rPr>
                <w:rFonts w:eastAsia="Times New Roman" w:cs="Times New Roman"/>
                <w:color w:val="000000"/>
                <w:sz w:val="16"/>
                <w:szCs w:val="16"/>
              </w:rPr>
              <w:t xml:space="preserve">had significantly IL-6 </w:t>
            </w:r>
            <w:r w:rsidRPr="00AA4DD4">
              <w:rPr>
                <w:rFonts w:eastAsia="Times New Roman" w:cs="Times New Roman"/>
                <w:color w:val="000000"/>
                <w:sz w:val="16"/>
                <w:szCs w:val="16"/>
              </w:rPr>
              <w:t>than</w:t>
            </w:r>
            <w:r>
              <w:rPr>
                <w:rFonts w:eastAsia="Times New Roman" w:cs="Times New Roman"/>
                <w:color w:val="000000"/>
                <w:sz w:val="16"/>
                <w:szCs w:val="16"/>
              </w:rPr>
              <w:t xml:space="preserve"> controls. </w:t>
            </w:r>
            <w:proofErr w:type="spellStart"/>
            <w:r>
              <w:rPr>
                <w:rFonts w:eastAsia="Times New Roman" w:cs="Times New Roman"/>
                <w:color w:val="000000"/>
                <w:sz w:val="16"/>
                <w:szCs w:val="16"/>
              </w:rPr>
              <w:t>Apnoeic</w:t>
            </w:r>
            <w:proofErr w:type="spellEnd"/>
            <w:r>
              <w:rPr>
                <w:rFonts w:eastAsia="Times New Roman" w:cs="Times New Roman"/>
                <w:color w:val="000000"/>
                <w:sz w:val="16"/>
                <w:szCs w:val="16"/>
              </w:rPr>
              <w:t xml:space="preserve"> females had </w:t>
            </w:r>
            <w:r w:rsidRPr="00AA4DD4">
              <w:rPr>
                <w:rFonts w:eastAsia="Times New Roman" w:cs="Times New Roman"/>
                <w:color w:val="000000"/>
                <w:sz w:val="16"/>
                <w:szCs w:val="16"/>
              </w:rPr>
              <w:t xml:space="preserve">IL-6 similar to controls. CPAP </w:t>
            </w:r>
            <w:r>
              <w:rPr>
                <w:rFonts w:eastAsia="Times New Roman" w:cs="Times New Roman"/>
                <w:color w:val="000000"/>
                <w:sz w:val="16"/>
                <w:szCs w:val="16"/>
              </w:rPr>
              <w:t>did not  change IL-6</w:t>
            </w:r>
          </w:p>
        </w:tc>
        <w:tc>
          <w:tcPr>
            <w:tcW w:w="1397" w:type="dxa"/>
            <w:vMerge/>
            <w:tcBorders>
              <w:left w:val="nil"/>
              <w:right w:val="single" w:sz="4" w:space="0" w:color="auto"/>
            </w:tcBorders>
            <w:shd w:val="clear" w:color="auto" w:fill="auto"/>
            <w:vAlign w:val="center"/>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546"/>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TNFR-1</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ELISA</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gramStart"/>
            <w:r w:rsidRPr="00AA4DD4">
              <w:rPr>
                <w:rFonts w:eastAsia="Times New Roman" w:cs="Times New Roman"/>
                <w:color w:val="000000"/>
                <w:sz w:val="16"/>
                <w:szCs w:val="16"/>
              </w:rPr>
              <w:t>no</w:t>
            </w:r>
            <w:proofErr w:type="gramEnd"/>
            <w:r w:rsidRPr="00AA4DD4">
              <w:rPr>
                <w:rFonts w:eastAsia="Times New Roman" w:cs="Times New Roman"/>
                <w:color w:val="000000"/>
                <w:sz w:val="16"/>
                <w:szCs w:val="16"/>
              </w:rPr>
              <w:t xml:space="preserve"> significant  difference was observed in TNFR-1 values</w:t>
            </w:r>
            <w:r>
              <w:rPr>
                <w:rFonts w:eastAsia="Times New Roman" w:cs="Times New Roman"/>
                <w:color w:val="000000"/>
                <w:sz w:val="16"/>
                <w:szCs w:val="16"/>
              </w:rPr>
              <w:t>.</w:t>
            </w:r>
            <w:r w:rsidRPr="00AA4DD4">
              <w:rPr>
                <w:rFonts w:eastAsia="Times New Roman" w:cs="Times New Roman"/>
                <w:color w:val="000000"/>
                <w:sz w:val="16"/>
                <w:szCs w:val="16"/>
              </w:rPr>
              <w:t xml:space="preserve"> CPAP </w:t>
            </w:r>
            <w:r>
              <w:rPr>
                <w:rFonts w:eastAsia="Times New Roman" w:cs="Times New Roman"/>
                <w:color w:val="000000"/>
                <w:sz w:val="16"/>
                <w:szCs w:val="16"/>
              </w:rPr>
              <w:t xml:space="preserve">did not  change </w:t>
            </w:r>
            <w:r w:rsidRPr="00AA4DD4">
              <w:rPr>
                <w:rFonts w:eastAsia="Times New Roman" w:cs="Times New Roman"/>
                <w:color w:val="000000"/>
                <w:sz w:val="16"/>
                <w:szCs w:val="16"/>
              </w:rPr>
              <w:t>TNFR-1</w:t>
            </w:r>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416"/>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leptin and adiponectin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radioimmunoassay</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males </w:t>
            </w:r>
            <w:r>
              <w:rPr>
                <w:rFonts w:eastAsia="Times New Roman" w:cs="Times New Roman"/>
                <w:color w:val="000000"/>
                <w:sz w:val="16"/>
                <w:szCs w:val="16"/>
              </w:rPr>
              <w:t>had significantly</w:t>
            </w:r>
            <w:r w:rsidRPr="00AA4DD4">
              <w:rPr>
                <w:rFonts w:eastAsia="Times New Roman" w:cs="Times New Roman"/>
                <w:color w:val="000000"/>
                <w:sz w:val="16"/>
                <w:szCs w:val="16"/>
              </w:rPr>
              <w:t xml:space="preserve"> </w:t>
            </w:r>
            <w:r>
              <w:rPr>
                <w:rFonts w:eastAsia="Times New Roman" w:cs="Times New Roman"/>
                <w:color w:val="000000"/>
                <w:sz w:val="16"/>
                <w:szCs w:val="16"/>
              </w:rPr>
              <w:t xml:space="preserve">higher leptin </w:t>
            </w:r>
            <w:r w:rsidRPr="00AA4DD4">
              <w:rPr>
                <w:rFonts w:eastAsia="Times New Roman" w:cs="Times New Roman"/>
                <w:color w:val="000000"/>
                <w:sz w:val="16"/>
                <w:szCs w:val="16"/>
              </w:rPr>
              <w:t xml:space="preserve">than controls.  </w:t>
            </w: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females had leptin and adiponectin similar to controls. CPAP </w:t>
            </w:r>
            <w:r>
              <w:rPr>
                <w:rFonts w:eastAsia="Times New Roman" w:cs="Times New Roman"/>
                <w:color w:val="000000"/>
                <w:sz w:val="16"/>
                <w:szCs w:val="16"/>
              </w:rPr>
              <w:t xml:space="preserve">did not  change </w:t>
            </w:r>
            <w:r w:rsidRPr="00AA4DD4">
              <w:rPr>
                <w:rFonts w:eastAsia="Times New Roman" w:cs="Times New Roman"/>
                <w:color w:val="000000"/>
                <w:sz w:val="16"/>
                <w:szCs w:val="16"/>
              </w:rPr>
              <w:t>leptin and adiponectin</w:t>
            </w:r>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701"/>
        </w:trPr>
        <w:tc>
          <w:tcPr>
            <w:tcW w:w="866"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Pr>
                <w:rFonts w:eastAsia="Times New Roman" w:cs="Times New Roman"/>
                <w:color w:val="000000"/>
                <w:sz w:val="16"/>
                <w:szCs w:val="16"/>
              </w:rPr>
              <w:t>hsCRP</w:t>
            </w:r>
            <w:proofErr w:type="spellEnd"/>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ELISA</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w:t>
            </w:r>
            <w:r>
              <w:rPr>
                <w:rFonts w:eastAsia="Times New Roman" w:cs="Times New Roman"/>
                <w:color w:val="000000"/>
                <w:sz w:val="16"/>
                <w:szCs w:val="16"/>
              </w:rPr>
              <w:t xml:space="preserve">males and females </w:t>
            </w:r>
            <w:r w:rsidRPr="00AA4DD4">
              <w:rPr>
                <w:rFonts w:eastAsia="Times New Roman" w:cs="Times New Roman"/>
                <w:color w:val="000000"/>
                <w:sz w:val="16"/>
                <w:szCs w:val="16"/>
              </w:rPr>
              <w:t xml:space="preserve">had significantly higher </w:t>
            </w:r>
            <w:proofErr w:type="spellStart"/>
            <w:r w:rsidRPr="00AA4DD4">
              <w:rPr>
                <w:rFonts w:eastAsia="Times New Roman" w:cs="Times New Roman"/>
                <w:color w:val="000000"/>
                <w:sz w:val="16"/>
                <w:szCs w:val="16"/>
              </w:rPr>
              <w:t>hsCRP</w:t>
            </w:r>
            <w:proofErr w:type="spellEnd"/>
            <w:r w:rsidRPr="00AA4DD4">
              <w:rPr>
                <w:rFonts w:eastAsia="Times New Roman" w:cs="Times New Roman"/>
                <w:color w:val="000000"/>
                <w:sz w:val="16"/>
                <w:szCs w:val="16"/>
              </w:rPr>
              <w:t xml:space="preserve">. CPAP </w:t>
            </w:r>
            <w:r>
              <w:rPr>
                <w:rFonts w:eastAsia="Times New Roman" w:cs="Times New Roman"/>
                <w:color w:val="000000"/>
                <w:sz w:val="16"/>
                <w:szCs w:val="16"/>
              </w:rPr>
              <w:t xml:space="preserve">did not  change </w:t>
            </w:r>
            <w:proofErr w:type="spellStart"/>
            <w:r w:rsidRPr="00AA4DD4">
              <w:rPr>
                <w:rFonts w:eastAsia="Times New Roman" w:cs="Times New Roman"/>
                <w:color w:val="000000"/>
                <w:sz w:val="16"/>
                <w:szCs w:val="16"/>
              </w:rPr>
              <w:t>hsCRP</w:t>
            </w:r>
            <w:proofErr w:type="spellEnd"/>
          </w:p>
        </w:tc>
        <w:tc>
          <w:tcPr>
            <w:tcW w:w="1397" w:type="dxa"/>
            <w:vMerge/>
            <w:tcBorders>
              <w:left w:val="nil"/>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350"/>
        </w:trPr>
        <w:tc>
          <w:tcPr>
            <w:tcW w:w="866"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8"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1276"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vAlign w:val="center"/>
          </w:tcPr>
          <w:p w:rsidR="00801D15" w:rsidRPr="00AA4DD4" w:rsidRDefault="00801D15" w:rsidP="00C80988">
            <w:pPr>
              <w:spacing w:before="0" w:after="0"/>
              <w:rPr>
                <w:rFonts w:eastAsia="Times New Roman" w:cs="Times New Roman"/>
                <w:color w:val="000000"/>
                <w:sz w:val="16"/>
                <w:szCs w:val="16"/>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850"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56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fasting glucose and insulin levels</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double antibody method using reagents obtained from Millipore Co.</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males had significantly higher insulin resistance than controls. </w:t>
            </w:r>
            <w:proofErr w:type="spellStart"/>
            <w:r w:rsidRPr="00AA4DD4">
              <w:rPr>
                <w:rFonts w:eastAsia="Times New Roman" w:cs="Times New Roman"/>
                <w:color w:val="000000"/>
                <w:sz w:val="16"/>
                <w:szCs w:val="16"/>
              </w:rPr>
              <w:t>Apnoeic</w:t>
            </w:r>
            <w:proofErr w:type="spellEnd"/>
            <w:r w:rsidRPr="00AA4DD4">
              <w:rPr>
                <w:rFonts w:eastAsia="Times New Roman" w:cs="Times New Roman"/>
                <w:color w:val="000000"/>
                <w:sz w:val="16"/>
                <w:szCs w:val="16"/>
              </w:rPr>
              <w:t xml:space="preserve"> f</w:t>
            </w:r>
            <w:r>
              <w:rPr>
                <w:rFonts w:eastAsia="Times New Roman" w:cs="Times New Roman"/>
                <w:color w:val="000000"/>
                <w:sz w:val="16"/>
                <w:szCs w:val="16"/>
              </w:rPr>
              <w:t xml:space="preserve">emales had insulin resistance </w:t>
            </w:r>
            <w:r w:rsidRPr="00AA4DD4">
              <w:rPr>
                <w:rFonts w:eastAsia="Times New Roman" w:cs="Times New Roman"/>
                <w:color w:val="000000"/>
                <w:sz w:val="16"/>
                <w:szCs w:val="16"/>
              </w:rPr>
              <w:t xml:space="preserve">similar to controls. CPAP </w:t>
            </w:r>
            <w:r>
              <w:rPr>
                <w:rFonts w:eastAsia="Times New Roman" w:cs="Times New Roman"/>
                <w:color w:val="000000"/>
                <w:sz w:val="16"/>
                <w:szCs w:val="16"/>
              </w:rPr>
              <w:t xml:space="preserve">did not  change </w:t>
            </w:r>
            <w:r w:rsidRPr="00AA4DD4">
              <w:rPr>
                <w:rFonts w:eastAsia="Times New Roman" w:cs="Times New Roman"/>
                <w:color w:val="000000"/>
                <w:sz w:val="16"/>
                <w:szCs w:val="16"/>
              </w:rPr>
              <w:t>insulin resistance</w:t>
            </w:r>
          </w:p>
        </w:tc>
        <w:tc>
          <w:tcPr>
            <w:tcW w:w="1397" w:type="dxa"/>
            <w:vMerge/>
            <w:tcBorders>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
        </w:tc>
      </w:tr>
      <w:tr w:rsidR="00801D15" w:rsidRPr="00AA4DD4" w:rsidTr="00C80988">
        <w:trPr>
          <w:trHeight w:val="17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proofErr w:type="spellStart"/>
            <w:r w:rsidRPr="00AA4DD4">
              <w:rPr>
                <w:rFonts w:eastAsia="Times New Roman" w:cs="Times New Roman"/>
                <w:sz w:val="16"/>
                <w:szCs w:val="16"/>
              </w:rPr>
              <w:t>Sajkov</w:t>
            </w:r>
            <w:proofErr w:type="spellEnd"/>
            <w:r w:rsidRPr="00AA4DD4">
              <w:rPr>
                <w:rFonts w:eastAsia="Times New Roman" w:cs="Times New Roman"/>
                <w:sz w:val="16"/>
                <w:szCs w:val="16"/>
              </w:rPr>
              <w:t xml:space="preserve"> et al., 1998</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Australia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SA and tetraplegia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19-60</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26</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To study the influence of </w:t>
            </w:r>
            <w:r>
              <w:rPr>
                <w:rFonts w:eastAsia="Times New Roman" w:cs="Times New Roman"/>
                <w:sz w:val="16"/>
                <w:szCs w:val="16"/>
              </w:rPr>
              <w:t>SA</w:t>
            </w:r>
            <w:r w:rsidRPr="00AA4DD4">
              <w:rPr>
                <w:rFonts w:eastAsia="Times New Roman" w:cs="Times New Roman"/>
                <w:sz w:val="16"/>
                <w:szCs w:val="16"/>
              </w:rPr>
              <w:t xml:space="preserve"> on</w:t>
            </w:r>
            <w:r w:rsidRPr="00AA4DD4">
              <w:rPr>
                <w:rFonts w:eastAsia="Times New Roman" w:cs="Times New Roman"/>
                <w:sz w:val="16"/>
                <w:szCs w:val="16"/>
              </w:rPr>
              <w:br/>
              <w:t>ne</w:t>
            </w:r>
            <w:r>
              <w:rPr>
                <w:rFonts w:eastAsia="Times New Roman" w:cs="Times New Roman"/>
                <w:sz w:val="16"/>
                <w:szCs w:val="16"/>
              </w:rPr>
              <w:t xml:space="preserve">uropsychological function in </w:t>
            </w:r>
            <w:r w:rsidRPr="00AA4DD4">
              <w:rPr>
                <w:rFonts w:eastAsia="Times New Roman" w:cs="Times New Roman"/>
                <w:sz w:val="16"/>
                <w:szCs w:val="16"/>
              </w:rPr>
              <w:t>tetraplegic patients.</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case-control</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sz w:val="16"/>
                <w:szCs w:val="16"/>
              </w:rPr>
            </w:pPr>
            <w:r>
              <w:rPr>
                <w:rFonts w:eastAsia="Times New Roman" w:cs="Times New Roman"/>
                <w:sz w:val="16"/>
                <w:szCs w:val="16"/>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AHI &gt;</w:t>
            </w:r>
            <w:r w:rsidRPr="00AA4DD4">
              <w:rPr>
                <w:rFonts w:eastAsia="Times New Roman" w:cs="Times New Roman"/>
                <w:sz w:val="16"/>
                <w:szCs w:val="16"/>
              </w:rPr>
              <w:t>15 per hour of sleep.</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 xml:space="preserve">Normal (without </w:t>
            </w:r>
            <w:r w:rsidRPr="00AA4DD4">
              <w:rPr>
                <w:rFonts w:eastAsia="Times New Roman" w:cs="Times New Roman"/>
                <w:sz w:val="16"/>
                <w:szCs w:val="16"/>
              </w:rPr>
              <w:t> </w:t>
            </w:r>
            <w:r>
              <w:rPr>
                <w:rFonts w:eastAsia="Times New Roman" w:cs="Times New Roman"/>
                <w:sz w:val="16"/>
                <w:szCs w:val="16"/>
              </w:rPr>
              <w:t>tetraplegic)</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567"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Neuropsychological function (</w:t>
            </w:r>
            <w:proofErr w:type="spellStart"/>
            <w:r w:rsidRPr="00AA4DD4">
              <w:rPr>
                <w:rFonts w:eastAsia="Times New Roman" w:cs="Times New Roman"/>
                <w:sz w:val="16"/>
                <w:szCs w:val="16"/>
              </w:rPr>
              <w:t>eg</w:t>
            </w:r>
            <w:proofErr w:type="spellEnd"/>
            <w:r w:rsidRPr="00AA4DD4">
              <w:rPr>
                <w:rFonts w:eastAsia="Times New Roman" w:cs="Times New Roman"/>
                <w:sz w:val="16"/>
                <w:szCs w:val="16"/>
              </w:rPr>
              <w:t>, memory, perception, attention and concentration)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Rey Auditory Verbal Learning </w:t>
            </w:r>
            <w:proofErr w:type="gramStart"/>
            <w:r w:rsidRPr="00AA4DD4">
              <w:rPr>
                <w:rFonts w:eastAsia="Times New Roman" w:cs="Times New Roman"/>
                <w:sz w:val="16"/>
                <w:szCs w:val="16"/>
              </w:rPr>
              <w:t>Test,</w:t>
            </w:r>
            <w:proofErr w:type="gramEnd"/>
            <w:r w:rsidRPr="00AA4DD4">
              <w:rPr>
                <w:rFonts w:eastAsia="Times New Roman" w:cs="Times New Roman"/>
                <w:sz w:val="16"/>
                <w:szCs w:val="16"/>
              </w:rPr>
              <w:t xml:space="preserve"> </w:t>
            </w:r>
            <w:r>
              <w:rPr>
                <w:rFonts w:eastAsia="Times New Roman" w:cs="Times New Roman"/>
                <w:sz w:val="16"/>
                <w:szCs w:val="16"/>
              </w:rPr>
              <w:t xml:space="preserve">and Digit Span </w:t>
            </w:r>
            <w:r w:rsidRPr="00AA4DD4">
              <w:rPr>
                <w:rFonts w:eastAsia="Times New Roman" w:cs="Times New Roman"/>
                <w:sz w:val="16"/>
                <w:szCs w:val="16"/>
              </w:rPr>
              <w:t>test.</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The neur</w:t>
            </w:r>
            <w:r>
              <w:rPr>
                <w:rFonts w:eastAsia="Times New Roman" w:cs="Times New Roman"/>
                <w:sz w:val="16"/>
                <w:szCs w:val="16"/>
              </w:rPr>
              <w:t>opsychological</w:t>
            </w:r>
            <w:r>
              <w:rPr>
                <w:rFonts w:eastAsia="Times New Roman" w:cs="Times New Roman"/>
                <w:sz w:val="16"/>
                <w:szCs w:val="16"/>
              </w:rPr>
              <w:br/>
              <w:t>functions most a</w:t>
            </w:r>
            <w:r w:rsidRPr="00AA4DD4">
              <w:rPr>
                <w:rFonts w:eastAsia="Times New Roman" w:cs="Times New Roman"/>
                <w:sz w:val="16"/>
                <w:szCs w:val="16"/>
              </w:rPr>
              <w:t>ffected by nocturnal desaturation were: verbal attention and concentration</w:t>
            </w:r>
            <w:proofErr w:type="gramStart"/>
            <w:r w:rsidRPr="00AA4DD4">
              <w:rPr>
                <w:rFonts w:eastAsia="Times New Roman" w:cs="Times New Roman"/>
                <w:sz w:val="16"/>
                <w:szCs w:val="16"/>
              </w:rPr>
              <w:t>,</w:t>
            </w:r>
            <w:proofErr w:type="gramEnd"/>
            <w:r w:rsidRPr="00AA4DD4">
              <w:rPr>
                <w:rFonts w:eastAsia="Times New Roman" w:cs="Times New Roman"/>
                <w:sz w:val="16"/>
                <w:szCs w:val="16"/>
              </w:rPr>
              <w:br/>
              <w:t>immediate and short-term memory, cognitive flexibility, internal scanning and working</w:t>
            </w:r>
            <w:r w:rsidRPr="00AA4DD4">
              <w:rPr>
                <w:rFonts w:eastAsia="Times New Roman" w:cs="Times New Roman"/>
                <w:sz w:val="16"/>
                <w:szCs w:val="16"/>
              </w:rPr>
              <w:br/>
              <w:t>memory.</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Sleep </w:t>
            </w:r>
            <w:proofErr w:type="spellStart"/>
            <w:r w:rsidRPr="00AA4DD4">
              <w:rPr>
                <w:rFonts w:eastAsia="Times New Roman" w:cs="Times New Roman"/>
                <w:sz w:val="16"/>
                <w:szCs w:val="16"/>
              </w:rPr>
              <w:t>apnoea</w:t>
            </w:r>
            <w:proofErr w:type="spellEnd"/>
            <w:r w:rsidRPr="00AA4DD4">
              <w:rPr>
                <w:rFonts w:eastAsia="Times New Roman" w:cs="Times New Roman"/>
                <w:sz w:val="16"/>
                <w:szCs w:val="16"/>
              </w:rPr>
              <w:t xml:space="preserve"> impairs daytime cognitive function in tetraplegia patients, particularly attention, concentration, memory and learning skills. Cognitive disturbances resulting from</w:t>
            </w:r>
            <w:r>
              <w:rPr>
                <w:rFonts w:eastAsia="Times New Roman" w:cs="Times New Roman"/>
                <w:sz w:val="16"/>
                <w:szCs w:val="16"/>
              </w:rPr>
              <w:t xml:space="preserve"> SA might adversely af</w:t>
            </w:r>
            <w:r w:rsidRPr="00AA4DD4">
              <w:rPr>
                <w:rFonts w:eastAsia="Times New Roman" w:cs="Times New Roman"/>
                <w:sz w:val="16"/>
                <w:szCs w:val="16"/>
              </w:rPr>
              <w:t>fect rehabilitation in patients with tetraplegia.</w:t>
            </w:r>
          </w:p>
        </w:tc>
      </w:tr>
      <w:tr w:rsidR="00801D15" w:rsidRPr="00AA4DD4" w:rsidTr="00C80988">
        <w:trPr>
          <w:trHeight w:val="841"/>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proofErr w:type="spellStart"/>
            <w:r w:rsidRPr="00AA4DD4">
              <w:rPr>
                <w:rFonts w:eastAsia="Times New Roman" w:cs="Times New Roman"/>
                <w:sz w:val="16"/>
                <w:szCs w:val="16"/>
              </w:rPr>
              <w:t>Vgontzas</w:t>
            </w:r>
            <w:proofErr w:type="spellEnd"/>
            <w:r w:rsidRPr="00AA4DD4">
              <w:rPr>
                <w:rFonts w:eastAsia="Times New Roman" w:cs="Times New Roman"/>
                <w:sz w:val="16"/>
                <w:szCs w:val="16"/>
              </w:rPr>
              <w:t xml:space="preserve"> et al., 2019</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USA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SA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 xml:space="preserve">20-80 </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103</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641</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To examine the association between mild and moderate OSA and </w:t>
            </w:r>
            <w:r w:rsidRPr="00AA4DD4">
              <w:rPr>
                <w:rFonts w:eastAsia="Times New Roman" w:cs="Times New Roman"/>
                <w:sz w:val="16"/>
                <w:szCs w:val="16"/>
              </w:rPr>
              <w:lastRenderedPageBreak/>
              <w:t xml:space="preserve">incident </w:t>
            </w:r>
            <w:proofErr w:type="gramStart"/>
            <w:r w:rsidRPr="00AA4DD4">
              <w:rPr>
                <w:rFonts w:eastAsia="Times New Roman" w:cs="Times New Roman"/>
                <w:sz w:val="16"/>
                <w:szCs w:val="16"/>
              </w:rPr>
              <w:t>hypertension .</w:t>
            </w:r>
            <w:proofErr w:type="gramEnd"/>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cohort study</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sz w:val="16"/>
                <w:szCs w:val="16"/>
              </w:rPr>
            </w:pPr>
            <w:r>
              <w:rPr>
                <w:rFonts w:eastAsia="Times New Roman" w:cs="Times New Roman"/>
                <w:sz w:val="16"/>
                <w:szCs w:val="16"/>
              </w:rPr>
              <w:t>9</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 xml:space="preserve">Mild OSA = AHI 5 to 14.9 events/h, </w:t>
            </w:r>
            <w:r>
              <w:rPr>
                <w:rFonts w:eastAsia="Times New Roman" w:cs="Times New Roman"/>
                <w:sz w:val="16"/>
                <w:szCs w:val="16"/>
              </w:rPr>
              <w:lastRenderedPageBreak/>
              <w:t>and moderate OSA =AHI 15 to 29.9 events/ h</w:t>
            </w:r>
            <w:r w:rsidRPr="00AA4DD4">
              <w:rPr>
                <w:rFonts w:eastAsia="Times New Roman" w:cs="Times New Roman"/>
                <w:sz w:val="16"/>
                <w:szCs w:val="16"/>
              </w:rPr>
              <w:t xml:space="preserve">. </w:t>
            </w:r>
            <w:r>
              <w:rPr>
                <w:rFonts w:eastAsia="Times New Roman" w:cs="Times New Roman"/>
                <w:sz w:val="16"/>
                <w:szCs w:val="16"/>
              </w:rPr>
              <w:t xml:space="preserve"> </w:t>
            </w:r>
            <w:r w:rsidRPr="00AA4DD4">
              <w:rPr>
                <w:rFonts w:eastAsia="Times New Roman" w:cs="Times New Roman"/>
                <w:sz w:val="16"/>
                <w:szCs w:val="16"/>
              </w:rPr>
              <w:t>All cases were without hypertension at the baseline</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Normal control = AHI &lt; 5.</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567"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Incident hypertension</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Incident hypertension was defined by a self-</w:t>
            </w:r>
            <w:r w:rsidRPr="00AA4DD4">
              <w:rPr>
                <w:rFonts w:eastAsia="Times New Roman" w:cs="Times New Roman"/>
                <w:sz w:val="16"/>
                <w:szCs w:val="16"/>
              </w:rPr>
              <w:lastRenderedPageBreak/>
              <w:t>report of receiving antihypertensive medication and/or history of a diagnosis since their baseline study.</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Mild-to-moderate OSA was significantly associated with increase</w:t>
            </w:r>
            <w:r>
              <w:rPr>
                <w:rFonts w:eastAsia="Times New Roman" w:cs="Times New Roman"/>
                <w:sz w:val="16"/>
                <w:szCs w:val="16"/>
              </w:rPr>
              <w:t>d risk of incident hypertension</w:t>
            </w:r>
            <w:r w:rsidRPr="00AA4DD4">
              <w:rPr>
                <w:rFonts w:eastAsia="Times New Roman" w:cs="Times New Roman"/>
                <w:sz w:val="16"/>
                <w:szCs w:val="16"/>
              </w:rPr>
              <w:t>.</w:t>
            </w:r>
            <w:r w:rsidRPr="00AA4DD4">
              <w:rPr>
                <w:rFonts w:eastAsia="Times New Roman" w:cs="Times New Roman"/>
                <w:sz w:val="16"/>
                <w:szCs w:val="16"/>
              </w:rPr>
              <w:br/>
            </w:r>
            <w:r w:rsidRPr="00AA4DD4">
              <w:rPr>
                <w:rFonts w:eastAsia="Times New Roman" w:cs="Times New Roman"/>
                <w:sz w:val="16"/>
                <w:szCs w:val="16"/>
              </w:rPr>
              <w:lastRenderedPageBreak/>
              <w:t xml:space="preserve">Importantly, this association was modified by age; while strong in young and middle-aged adults, the association was lost in adults older than 60 </w:t>
            </w:r>
            <w:proofErr w:type="gramStart"/>
            <w:r w:rsidRPr="00AA4DD4">
              <w:rPr>
                <w:rFonts w:eastAsia="Times New Roman" w:cs="Times New Roman"/>
                <w:sz w:val="16"/>
                <w:szCs w:val="16"/>
              </w:rPr>
              <w:t>years .</w:t>
            </w:r>
            <w:proofErr w:type="gramEnd"/>
            <w:r w:rsidRPr="00AA4DD4">
              <w:rPr>
                <w:rFonts w:eastAsia="Times New Roman" w:cs="Times New Roman"/>
                <w:sz w:val="16"/>
                <w:szCs w:val="16"/>
              </w:rPr>
              <w:t xml:space="preserve"> Furthermore, the association of mild-to-moderate OSA with components of metabolic syndrome was strongest in young and middle-aged adults.</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lastRenderedPageBreak/>
              <w:t xml:space="preserve">Mild-to-moderate OSA, even when asymptomatic, is associated with increased risk of </w:t>
            </w:r>
            <w:r w:rsidRPr="00AA4DD4">
              <w:rPr>
                <w:rFonts w:eastAsia="Times New Roman" w:cs="Times New Roman"/>
                <w:sz w:val="16"/>
                <w:szCs w:val="16"/>
              </w:rPr>
              <w:lastRenderedPageBreak/>
              <w:t>incident hypertension, but the strength of association</w:t>
            </w:r>
            <w:r w:rsidRPr="00AA4DD4">
              <w:rPr>
                <w:rFonts w:eastAsia="Times New Roman" w:cs="Times New Roman"/>
                <w:sz w:val="16"/>
                <w:szCs w:val="16"/>
              </w:rPr>
              <w:br/>
              <w:t>significantly decreases with age.</w:t>
            </w:r>
          </w:p>
        </w:tc>
      </w:tr>
      <w:tr w:rsidR="00801D15" w:rsidRPr="00AA4DD4" w:rsidTr="00C80988">
        <w:trPr>
          <w:trHeight w:val="62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proofErr w:type="spellStart"/>
            <w:r w:rsidRPr="00AA4DD4">
              <w:rPr>
                <w:rFonts w:eastAsia="Times New Roman" w:cs="Times New Roman"/>
                <w:sz w:val="16"/>
                <w:szCs w:val="16"/>
              </w:rPr>
              <w:lastRenderedPageBreak/>
              <w:t>Weihs</w:t>
            </w:r>
            <w:proofErr w:type="spellEnd"/>
            <w:r w:rsidRPr="00AA4DD4">
              <w:rPr>
                <w:rFonts w:eastAsia="Times New Roman" w:cs="Times New Roman"/>
                <w:sz w:val="16"/>
                <w:szCs w:val="16"/>
              </w:rPr>
              <w:t xml:space="preserve"> et al., 2020</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Germany</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SA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 xml:space="preserve">Mean 52.5 </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284 (AHI &gt;</w:t>
            </w:r>
            <w:r w:rsidRPr="00AA4DD4">
              <w:rPr>
                <w:rFonts w:eastAsia="Times New Roman" w:cs="Times New Roman"/>
                <w:sz w:val="16"/>
                <w:szCs w:val="16"/>
                <w:u w:val="single"/>
              </w:rPr>
              <w:t>5</w:t>
            </w:r>
            <w:r w:rsidRPr="00AA4DD4">
              <w:rPr>
                <w:rFonts w:eastAsia="Times New Roman" w:cs="Times New Roman"/>
                <w:sz w:val="16"/>
                <w:szCs w:val="16"/>
              </w:rPr>
              <w:t>) and 218 (ODI</w:t>
            </w:r>
            <w:r w:rsidRPr="00AA4DD4">
              <w:rPr>
                <w:rFonts w:eastAsia="Times New Roman" w:cs="Times New Roman"/>
                <w:sz w:val="16"/>
                <w:szCs w:val="16"/>
                <w:u w:val="single"/>
              </w:rPr>
              <w:t>&gt;</w:t>
            </w:r>
            <w:r w:rsidRPr="00AA4DD4">
              <w:rPr>
                <w:rFonts w:eastAsia="Times New Roman" w:cs="Times New Roman"/>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406 (AHI),472 (ODI)</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To determine the association between OSA and advanced brain ageing</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cross-sectional</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sz w:val="16"/>
                <w:szCs w:val="16"/>
              </w:rPr>
            </w:pPr>
            <w:r>
              <w:rPr>
                <w:rFonts w:eastAsia="Times New Roman" w:cs="Times New Roman"/>
                <w:sz w:val="16"/>
                <w:szCs w:val="16"/>
              </w:rPr>
              <w:t>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Mild to severe OSA (</w:t>
            </w:r>
            <w:proofErr w:type="gramStart"/>
            <w:r w:rsidRPr="00AA4DD4">
              <w:rPr>
                <w:rFonts w:eastAsia="Times New Roman" w:cs="Times New Roman"/>
                <w:sz w:val="16"/>
                <w:szCs w:val="16"/>
              </w:rPr>
              <w:t xml:space="preserve">AHI </w:t>
            </w:r>
            <w:r>
              <w:rPr>
                <w:rFonts w:eastAsia="Times New Roman" w:cs="Times New Roman"/>
                <w:sz w:val="16"/>
                <w:szCs w:val="16"/>
              </w:rPr>
              <w:t xml:space="preserve"> and</w:t>
            </w:r>
            <w:proofErr w:type="gramEnd"/>
            <w:r>
              <w:rPr>
                <w:rFonts w:eastAsia="Times New Roman" w:cs="Times New Roman"/>
                <w:sz w:val="16"/>
                <w:szCs w:val="16"/>
              </w:rPr>
              <w:t xml:space="preserve">  ODI </w:t>
            </w:r>
            <w:r w:rsidRPr="00AA4DD4">
              <w:rPr>
                <w:rFonts w:eastAsia="Times New Roman" w:cs="Times New Roman"/>
                <w:sz w:val="16"/>
                <w:szCs w:val="16"/>
              </w:rPr>
              <w:t>≥ 5) and severe OSA (AHI</w:t>
            </w:r>
            <w:r>
              <w:rPr>
                <w:rFonts w:eastAsia="Times New Roman" w:cs="Times New Roman"/>
                <w:sz w:val="16"/>
                <w:szCs w:val="16"/>
              </w:rPr>
              <w:t xml:space="preserve"> and ODI</w:t>
            </w:r>
            <w:r w:rsidRPr="00AA4DD4">
              <w:rPr>
                <w:rFonts w:eastAsia="Times New Roman" w:cs="Times New Roman"/>
                <w:sz w:val="16"/>
                <w:szCs w:val="16"/>
              </w:rPr>
              <w:t xml:space="preserve"> ≥ 15</w:t>
            </w:r>
            <w:r>
              <w:rPr>
                <w:rFonts w:eastAsia="Times New Roman" w:cs="Times New Roman"/>
                <w:sz w:val="16"/>
                <w:szCs w:val="16"/>
              </w:rPr>
              <w:t>)</w:t>
            </w:r>
            <w:r w:rsidRPr="00AA4DD4">
              <w:rPr>
                <w:rFonts w:eastAsia="Times New Roman" w:cs="Times New Roman"/>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Association study</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Brain</w:t>
            </w:r>
          </w:p>
        </w:tc>
        <w:tc>
          <w:tcPr>
            <w:tcW w:w="567"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NA</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Pr>
                <w:rFonts w:eastAsia="Times New Roman" w:cs="Times New Roman"/>
                <w:sz w:val="16"/>
                <w:szCs w:val="16"/>
              </w:rPr>
              <w:t>A</w:t>
            </w:r>
            <w:r w:rsidRPr="00AA4DD4">
              <w:rPr>
                <w:rFonts w:eastAsia="Times New Roman" w:cs="Times New Roman"/>
                <w:sz w:val="16"/>
                <w:szCs w:val="16"/>
              </w:rPr>
              <w:t xml:space="preserve"> score quantifying age-related brain patterns in 169 brain regions</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magnetic resonance imaging</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AHI and ODI were both positively associated with brain age. The effects remained stable in the presence of various confounders such as diabetes and were partially mediated by the white blood cell count, indicating a subclinical inflammation process.</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The study reveals an association between OSA and brain age, indicating subtle but widespread age-related changes in regional brain structures, warranting further examination of OSA in the prevention of neurodegenerative diseases.</w:t>
            </w:r>
          </w:p>
        </w:tc>
      </w:tr>
      <w:tr w:rsidR="00801D15" w:rsidRPr="00AA4DD4" w:rsidTr="00C80988">
        <w:trPr>
          <w:trHeight w:val="129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proofErr w:type="spellStart"/>
            <w:r w:rsidRPr="00AA4DD4">
              <w:rPr>
                <w:rFonts w:eastAsia="Times New Roman" w:cs="Times New Roman"/>
                <w:color w:val="000000"/>
                <w:sz w:val="16"/>
                <w:szCs w:val="16"/>
              </w:rPr>
              <w:t>Yim-Yeh</w:t>
            </w:r>
            <w:proofErr w:type="spellEnd"/>
            <w:r w:rsidRPr="00AA4DD4">
              <w:rPr>
                <w:rFonts w:eastAsia="Times New Roman" w:cs="Times New Roman"/>
                <w:color w:val="000000"/>
                <w:sz w:val="16"/>
                <w:szCs w:val="16"/>
              </w:rPr>
              <w:t xml:space="preserve"> et al., 2010</w:t>
            </w:r>
          </w:p>
        </w:tc>
        <w:tc>
          <w:tcPr>
            <w:tcW w:w="709" w:type="dxa"/>
            <w:tcBorders>
              <w:top w:val="nil"/>
              <w:left w:val="nil"/>
              <w:bottom w:val="single" w:sz="4" w:space="0" w:color="auto"/>
              <w:right w:val="single" w:sz="4" w:space="0" w:color="auto"/>
            </w:tcBorders>
            <w:shd w:val="clear" w:color="auto" w:fill="auto"/>
            <w:noWrap/>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USA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SA</w:t>
            </w:r>
          </w:p>
        </w:tc>
        <w:tc>
          <w:tcPr>
            <w:tcW w:w="708"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18-70</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38</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34</w:t>
            </w:r>
          </w:p>
        </w:tc>
        <w:tc>
          <w:tcPr>
            <w:tcW w:w="1276"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sz w:val="16"/>
                <w:szCs w:val="16"/>
              </w:rPr>
            </w:pPr>
            <w:r w:rsidRPr="00AA4DD4">
              <w:rPr>
                <w:rFonts w:eastAsia="Times New Roman" w:cs="Times New Roman"/>
                <w:sz w:val="16"/>
                <w:szCs w:val="16"/>
              </w:rPr>
              <w:t xml:space="preserve">To test the </w:t>
            </w:r>
            <w:proofErr w:type="spellStart"/>
            <w:r w:rsidRPr="00AA4DD4">
              <w:rPr>
                <w:rFonts w:eastAsia="Times New Roman" w:cs="Times New Roman"/>
                <w:sz w:val="16"/>
                <w:szCs w:val="16"/>
              </w:rPr>
              <w:t>hypotesis</w:t>
            </w:r>
            <w:proofErr w:type="spellEnd"/>
            <w:r w:rsidRPr="00AA4DD4">
              <w:rPr>
                <w:rFonts w:eastAsia="Times New Roman" w:cs="Times New Roman"/>
                <w:sz w:val="16"/>
                <w:szCs w:val="16"/>
              </w:rPr>
              <w:t xml:space="preserve"> that OSA, independent of obesity, contributes to abnormal vascular function.</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cross-sectional</w:t>
            </w:r>
          </w:p>
        </w:tc>
        <w:tc>
          <w:tcPr>
            <w:tcW w:w="709" w:type="dxa"/>
            <w:tcBorders>
              <w:top w:val="single" w:sz="4" w:space="0" w:color="auto"/>
              <w:left w:val="nil"/>
              <w:bottom w:val="single" w:sz="4" w:space="0" w:color="auto"/>
              <w:right w:val="single" w:sz="4" w:space="0" w:color="auto"/>
            </w:tcBorders>
            <w:vAlign w:val="center"/>
          </w:tcPr>
          <w:p w:rsidR="00801D15" w:rsidRPr="00AA4DD4" w:rsidRDefault="00CF650D" w:rsidP="00C80988">
            <w:pPr>
              <w:spacing w:before="0" w:after="0"/>
              <w:rPr>
                <w:rFonts w:eastAsia="Times New Roman" w:cs="Times New Roman"/>
                <w:color w:val="000000"/>
                <w:sz w:val="16"/>
                <w:szCs w:val="16"/>
              </w:rPr>
            </w:pPr>
            <w:r>
              <w:rPr>
                <w:rFonts w:eastAsia="Times New Roman" w:cs="Times New Roman"/>
                <w:color w:val="000000"/>
                <w:sz w:val="16"/>
                <w:szCs w:val="16"/>
              </w:rPr>
              <w:t>6</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OSA was defined as  AHI</w:t>
            </w:r>
            <w:r w:rsidRPr="00587C3B">
              <w:rPr>
                <w:rFonts w:eastAsia="Times New Roman" w:cs="Times New Roman"/>
                <w:color w:val="000000"/>
                <w:sz w:val="16"/>
                <w:szCs w:val="16"/>
                <w:u w:val="single"/>
              </w:rPr>
              <w:t xml:space="preserve"> &gt;</w:t>
            </w:r>
            <w:r>
              <w:rPr>
                <w:rFonts w:eastAsia="Times New Roman" w:cs="Times New Roman"/>
                <w:color w:val="000000"/>
                <w:sz w:val="16"/>
                <w:szCs w:val="16"/>
              </w:rPr>
              <w:t xml:space="preserve"> 10/h</w:t>
            </w:r>
            <w:r w:rsidRPr="00AA4DD4">
              <w:rPr>
                <w:rFonts w:eastAsia="Times New Roman"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Pr>
                <w:rFonts w:eastAsia="Times New Roman" w:cs="Times New Roman"/>
                <w:color w:val="000000"/>
                <w:sz w:val="16"/>
                <w:szCs w:val="16"/>
              </w:rPr>
              <w:t>Without OSA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tc>
        <w:tc>
          <w:tcPr>
            <w:tcW w:w="56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NA</w:t>
            </w:r>
          </w:p>
        </w:tc>
        <w:tc>
          <w:tcPr>
            <w:tcW w:w="709"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Vascular function , and  Arterial stiffness</w:t>
            </w:r>
          </w:p>
        </w:tc>
        <w:tc>
          <w:tcPr>
            <w:tcW w:w="850"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 xml:space="preserve">Vascular function was assessed with brachial artery </w:t>
            </w:r>
            <w:r>
              <w:rPr>
                <w:rFonts w:eastAsia="Times New Roman" w:cs="Times New Roman"/>
                <w:color w:val="000000"/>
                <w:sz w:val="16"/>
                <w:szCs w:val="16"/>
              </w:rPr>
              <w:t xml:space="preserve">ultrasound, </w:t>
            </w:r>
            <w:r w:rsidRPr="00AA4DD4">
              <w:rPr>
                <w:rFonts w:eastAsia="Times New Roman" w:cs="Times New Roman"/>
                <w:color w:val="000000"/>
                <w:sz w:val="16"/>
                <w:szCs w:val="16"/>
              </w:rPr>
              <w:t xml:space="preserve">skin microcirculation by laser Doppler </w:t>
            </w:r>
            <w:proofErr w:type="spellStart"/>
            <w:r w:rsidRPr="00AA4DD4">
              <w:rPr>
                <w:rFonts w:eastAsia="Times New Roman" w:cs="Times New Roman"/>
                <w:color w:val="000000"/>
                <w:sz w:val="16"/>
                <w:szCs w:val="16"/>
              </w:rPr>
              <w:t>flowmetry</w:t>
            </w:r>
            <w:proofErr w:type="spellEnd"/>
            <w:r w:rsidRPr="00AA4DD4">
              <w:rPr>
                <w:rFonts w:eastAsia="Times New Roman" w:cs="Times New Roman"/>
                <w:color w:val="000000"/>
                <w:sz w:val="16"/>
                <w:szCs w:val="16"/>
              </w:rPr>
              <w:t xml:space="preserve">. Arterial stiffness by </w:t>
            </w:r>
            <w:r w:rsidRPr="00AA4DD4">
              <w:rPr>
                <w:rFonts w:eastAsia="Times New Roman" w:cs="Times New Roman"/>
                <w:color w:val="000000"/>
                <w:sz w:val="16"/>
                <w:szCs w:val="16"/>
              </w:rPr>
              <w:lastRenderedPageBreak/>
              <w:t>arterial tonometry.</w:t>
            </w:r>
          </w:p>
        </w:tc>
        <w:tc>
          <w:tcPr>
            <w:tcW w:w="1701"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lastRenderedPageBreak/>
              <w:t>FMD was impaired in patients with OSA. OSA did not significantly influence vascular function in the skin microcirculation. The augmentation index, a measure of arterial stiffness, was</w:t>
            </w:r>
            <w:r w:rsidRPr="00AA4DD4">
              <w:rPr>
                <w:rFonts w:eastAsia="Times New Roman" w:cs="Times New Roman"/>
                <w:color w:val="000000"/>
                <w:sz w:val="16"/>
                <w:szCs w:val="16"/>
              </w:rPr>
              <w:br/>
              <w:t>similar bet</w:t>
            </w:r>
            <w:r>
              <w:rPr>
                <w:rFonts w:eastAsia="Times New Roman" w:cs="Times New Roman"/>
                <w:color w:val="000000"/>
                <w:sz w:val="16"/>
                <w:szCs w:val="16"/>
              </w:rPr>
              <w:t>ween the OSA and control groups</w:t>
            </w:r>
            <w:r w:rsidRPr="00AA4DD4">
              <w:rPr>
                <w:rFonts w:eastAsia="Times New Roman" w:cs="Times New Roman"/>
                <w:color w:val="000000"/>
                <w:sz w:val="16"/>
                <w:szCs w:val="16"/>
              </w:rPr>
              <w:t>, OSA independently predicted the augmentation index in men only.</w:t>
            </w:r>
          </w:p>
        </w:tc>
        <w:tc>
          <w:tcPr>
            <w:tcW w:w="1397" w:type="dxa"/>
            <w:tcBorders>
              <w:top w:val="nil"/>
              <w:left w:val="nil"/>
              <w:bottom w:val="single" w:sz="4" w:space="0" w:color="auto"/>
              <w:right w:val="single" w:sz="4" w:space="0" w:color="auto"/>
            </w:tcBorders>
            <w:shd w:val="clear" w:color="auto" w:fill="auto"/>
            <w:vAlign w:val="center"/>
            <w:hideMark/>
          </w:tcPr>
          <w:p w:rsidR="00801D15" w:rsidRPr="00AA4DD4" w:rsidRDefault="00801D15" w:rsidP="00801D15">
            <w:pPr>
              <w:spacing w:before="0" w:after="0"/>
              <w:jc w:val="center"/>
              <w:rPr>
                <w:rFonts w:eastAsia="Times New Roman" w:cs="Times New Roman"/>
                <w:color w:val="000000"/>
                <w:sz w:val="16"/>
                <w:szCs w:val="16"/>
              </w:rPr>
            </w:pPr>
            <w:r w:rsidRPr="00AA4DD4">
              <w:rPr>
                <w:rFonts w:eastAsia="Times New Roman" w:cs="Times New Roman"/>
                <w:color w:val="000000"/>
                <w:sz w:val="16"/>
                <w:szCs w:val="16"/>
              </w:rPr>
              <w:t>In obesity, both OSA and aging impair endothelial function and increase arterial stiffness. The influence of OSA on vascular function is most pronounced in young subjects. OSA, therefore, may be associated with functional impairment (“a premature aging effect”) on the endothelium</w:t>
            </w:r>
            <w:r w:rsidRPr="00AA4DD4">
              <w:rPr>
                <w:rFonts w:eastAsia="Times New Roman" w:cs="Times New Roman"/>
                <w:color w:val="000000"/>
                <w:sz w:val="16"/>
                <w:szCs w:val="16"/>
              </w:rPr>
              <w:br/>
            </w:r>
            <w:r w:rsidRPr="00AA4DD4">
              <w:rPr>
                <w:rFonts w:eastAsia="Times New Roman" w:cs="Times New Roman"/>
                <w:color w:val="000000"/>
                <w:sz w:val="16"/>
                <w:szCs w:val="16"/>
              </w:rPr>
              <w:lastRenderedPageBreak/>
              <w:t>and on arterial stiffness (in men), although skin microcirculatory function appears preserved.</w:t>
            </w:r>
          </w:p>
        </w:tc>
      </w:tr>
    </w:tbl>
    <w:p w:rsidR="008043C4" w:rsidRDefault="008043C4" w:rsidP="008043C4">
      <w:pPr>
        <w:pStyle w:val="MDPI31text"/>
        <w:ind w:left="0" w:firstLine="0"/>
        <w:jc w:val="left"/>
      </w:pPr>
    </w:p>
    <w:p w:rsidR="008043C4" w:rsidRDefault="00801D15" w:rsidP="008043C4">
      <w:pPr>
        <w:pStyle w:val="MDPI31text"/>
        <w:ind w:left="0" w:firstLine="0"/>
        <w:rPr>
          <w:rFonts w:ascii="Times New Roman" w:hAnsi="Times New Roman"/>
          <w:sz w:val="22"/>
        </w:rPr>
      </w:pPr>
      <w:r w:rsidRPr="006564F5">
        <w:rPr>
          <w:rFonts w:ascii="Times New Roman" w:hAnsi="Times New Roman"/>
          <w:sz w:val="22"/>
        </w:rPr>
        <w:t xml:space="preserve"># =Total quality score out of 9 for cohort/case-control and out of 7 for cross-sectional; </w:t>
      </w:r>
      <w:r w:rsidR="008043C4" w:rsidRPr="000320E7">
        <w:rPr>
          <w:rFonts w:ascii="Times New Roman" w:hAnsi="Times New Roman"/>
          <w:sz w:val="22"/>
        </w:rPr>
        <w:t xml:space="preserve">SA= sleep apnea; OSA= obstructive sleep apnea; </w:t>
      </w:r>
      <w:proofErr w:type="spellStart"/>
      <w:r w:rsidR="008043C4" w:rsidRPr="000320E7">
        <w:rPr>
          <w:rFonts w:ascii="Times New Roman" w:hAnsi="Times New Roman"/>
          <w:sz w:val="22"/>
        </w:rPr>
        <w:t>HRQoL</w:t>
      </w:r>
      <w:proofErr w:type="spellEnd"/>
      <w:r w:rsidR="008043C4" w:rsidRPr="000320E7">
        <w:rPr>
          <w:rFonts w:ascii="Times New Roman" w:hAnsi="Times New Roman"/>
          <w:sz w:val="22"/>
        </w:rPr>
        <w:t xml:space="preserve">= health related quality of life; AHI= apnea–hypopnea index; fMRI=Functional magnetic resonance imaging; CPAP =continuous positive airway pressure; </w:t>
      </w:r>
      <w:r w:rsidR="008043C4" w:rsidRPr="000320E7">
        <w:rPr>
          <w:rFonts w:ascii="Times New Roman" w:hAnsi="Times New Roman"/>
          <w:color w:val="231F20"/>
          <w:sz w:val="22"/>
        </w:rPr>
        <w:t>ESS=Epworth Sleepiness Scale; MSLT= Multiple Sleep Latency Test;  PVT=the Psychomotor Vigilance Test; IL-6=</w:t>
      </w:r>
      <w:r w:rsidR="008043C4" w:rsidRPr="000320E7">
        <w:rPr>
          <w:rFonts w:ascii="Times New Roman" w:hAnsi="Times New Roman"/>
          <w:sz w:val="22"/>
        </w:rPr>
        <w:t>interleukin-6;  TNFR-1=</w:t>
      </w:r>
      <w:proofErr w:type="spellStart"/>
      <w:r w:rsidR="008043C4" w:rsidRPr="000320E7">
        <w:rPr>
          <w:rFonts w:ascii="Times New Roman" w:hAnsi="Times New Roman"/>
          <w:sz w:val="22"/>
        </w:rPr>
        <w:t>tumour</w:t>
      </w:r>
      <w:proofErr w:type="spellEnd"/>
      <w:r w:rsidR="008043C4" w:rsidRPr="000320E7">
        <w:rPr>
          <w:rFonts w:ascii="Times New Roman" w:hAnsi="Times New Roman"/>
          <w:sz w:val="22"/>
        </w:rPr>
        <w:t xml:space="preserve"> necrosis factor receptor -1;   </w:t>
      </w:r>
      <w:proofErr w:type="spellStart"/>
      <w:r w:rsidR="008043C4" w:rsidRPr="000320E7">
        <w:rPr>
          <w:rFonts w:ascii="Times New Roman" w:hAnsi="Times New Roman"/>
          <w:sz w:val="22"/>
        </w:rPr>
        <w:t>hsCRP</w:t>
      </w:r>
      <w:proofErr w:type="spellEnd"/>
      <w:r w:rsidR="008043C4" w:rsidRPr="000320E7">
        <w:rPr>
          <w:rFonts w:ascii="Times New Roman" w:hAnsi="Times New Roman"/>
          <w:sz w:val="22"/>
        </w:rPr>
        <w:t>= high-sensitivity C-reactive protein; ODI=Oxygen desaturation index; FMD=flow-mediated dilation</w:t>
      </w:r>
      <w:r w:rsidR="008043C4">
        <w:rPr>
          <w:rFonts w:ascii="Times New Roman" w:hAnsi="Times New Roman"/>
          <w:sz w:val="22"/>
        </w:rPr>
        <w:t xml:space="preserve">; </w:t>
      </w:r>
      <w:r w:rsidR="008043C4" w:rsidRPr="004133F3">
        <w:rPr>
          <w:sz w:val="22"/>
        </w:rPr>
        <w:t>1H-MRS = Proton Magnetic Resonance</w:t>
      </w:r>
      <w:r w:rsidR="00D637C8">
        <w:rPr>
          <w:sz w:val="22"/>
        </w:rPr>
        <w:t xml:space="preserve"> Spectroscopy; GSH=</w:t>
      </w:r>
      <w:r w:rsidR="00D637C8" w:rsidRPr="00F41E3C">
        <w:rPr>
          <w:rFonts w:ascii="Times New Roman" w:hAnsi="Times New Roman"/>
          <w:color w:val="auto"/>
          <w:sz w:val="24"/>
          <w:szCs w:val="24"/>
          <w:shd w:val="clear" w:color="auto" w:fill="FFFFFF"/>
        </w:rPr>
        <w:t>Glutathione</w:t>
      </w:r>
    </w:p>
    <w:p w:rsidR="008043C4" w:rsidRDefault="008043C4" w:rsidP="008043C4">
      <w:pPr>
        <w:pStyle w:val="MDPI31text"/>
        <w:ind w:left="0" w:firstLine="0"/>
        <w:rPr>
          <w:rFonts w:ascii="Times New Roman" w:hAnsi="Times New Roman"/>
          <w:sz w:val="22"/>
        </w:rPr>
      </w:pPr>
    </w:p>
    <w:p w:rsidR="008043C4" w:rsidRDefault="008043C4" w:rsidP="008043C4">
      <w:pPr>
        <w:pStyle w:val="MDPI31text"/>
        <w:ind w:left="0" w:firstLine="0"/>
        <w:rPr>
          <w:rFonts w:ascii="Times New Roman" w:hAnsi="Times New Roman"/>
          <w:sz w:val="22"/>
        </w:rPr>
      </w:pPr>
    </w:p>
    <w:p w:rsidR="008043C4" w:rsidRDefault="008043C4" w:rsidP="008043C4">
      <w:pPr>
        <w:rPr>
          <w:b/>
        </w:rPr>
      </w:pPr>
    </w:p>
    <w:p w:rsidR="008043C4" w:rsidRDefault="008043C4" w:rsidP="008043C4">
      <w:pPr>
        <w:rPr>
          <w:b/>
        </w:rPr>
      </w:pPr>
    </w:p>
    <w:p w:rsidR="008043C4" w:rsidRDefault="008043C4" w:rsidP="008043C4">
      <w:pPr>
        <w:rPr>
          <w:b/>
        </w:rPr>
      </w:pPr>
    </w:p>
    <w:p w:rsidR="008043C4" w:rsidRDefault="008043C4" w:rsidP="008043C4">
      <w:pPr>
        <w:rPr>
          <w:b/>
        </w:rPr>
      </w:pPr>
    </w:p>
    <w:p w:rsidR="008043C4" w:rsidRDefault="008043C4" w:rsidP="008043C4">
      <w:pPr>
        <w:rPr>
          <w:b/>
        </w:rPr>
      </w:pPr>
    </w:p>
    <w:p w:rsidR="008043C4" w:rsidRDefault="008043C4" w:rsidP="008043C4">
      <w:pPr>
        <w:rPr>
          <w:b/>
        </w:rPr>
      </w:pPr>
    </w:p>
    <w:p w:rsidR="008043C4" w:rsidRDefault="008043C4" w:rsidP="008043C4">
      <w:pPr>
        <w:rPr>
          <w:b/>
        </w:rPr>
      </w:pPr>
    </w:p>
    <w:p w:rsidR="00801D15" w:rsidRDefault="00801D15" w:rsidP="008043C4">
      <w:pPr>
        <w:rPr>
          <w:b/>
        </w:rPr>
      </w:pPr>
    </w:p>
    <w:p w:rsidR="00801D15" w:rsidRDefault="00801D15" w:rsidP="008043C4">
      <w:pPr>
        <w:rPr>
          <w:b/>
        </w:rPr>
      </w:pPr>
    </w:p>
    <w:p w:rsidR="00801D15" w:rsidRDefault="00801D15" w:rsidP="008043C4">
      <w:pPr>
        <w:rPr>
          <w:b/>
        </w:rPr>
      </w:pPr>
    </w:p>
    <w:p w:rsidR="00801D15" w:rsidRDefault="00801D15" w:rsidP="008043C4">
      <w:pPr>
        <w:rPr>
          <w:b/>
        </w:rPr>
      </w:pPr>
    </w:p>
    <w:p w:rsidR="00801D15" w:rsidRDefault="00801D15" w:rsidP="008043C4">
      <w:pPr>
        <w:rPr>
          <w:b/>
        </w:rPr>
      </w:pPr>
    </w:p>
    <w:p w:rsidR="008043C4" w:rsidRPr="00523F39" w:rsidRDefault="00906C96" w:rsidP="008043C4">
      <w:r>
        <w:rPr>
          <w:b/>
        </w:rPr>
        <w:t>Supplementary Table S5:</w:t>
      </w:r>
      <w:r>
        <w:t xml:space="preserve"> </w:t>
      </w:r>
      <w:r w:rsidR="008043C4">
        <w:t>The effects of sleep apnea o</w:t>
      </w:r>
      <w:r w:rsidR="008043C4" w:rsidRPr="008A56CB">
        <w:t xml:space="preserve">n aging markers </w:t>
      </w:r>
      <w:r w:rsidR="008043C4">
        <w:t xml:space="preserve">(Leukocyte Telomere length) </w:t>
      </w:r>
      <w:r w:rsidR="008043C4" w:rsidRPr="008A56CB">
        <w:t>and</w:t>
      </w:r>
      <w:r w:rsidR="008043C4">
        <w:t xml:space="preserve"> age related diseases</w:t>
      </w:r>
    </w:p>
    <w:tbl>
      <w:tblPr>
        <w:tblStyle w:val="TableGrid"/>
        <w:tblpPr w:leftFromText="187" w:rightFromText="187" w:vertAnchor="text" w:horzAnchor="margin" w:tblpXSpec="center" w:tblpY="1"/>
        <w:tblOverlap w:val="never"/>
        <w:tblW w:w="14910" w:type="dxa"/>
        <w:tblInd w:w="0" w:type="dxa"/>
        <w:tblLayout w:type="fixed"/>
        <w:tblLook w:val="04A0" w:firstRow="1" w:lastRow="0" w:firstColumn="1" w:lastColumn="0" w:noHBand="0" w:noVBand="1"/>
      </w:tblPr>
      <w:tblGrid>
        <w:gridCol w:w="846"/>
        <w:gridCol w:w="709"/>
        <w:gridCol w:w="586"/>
        <w:gridCol w:w="567"/>
        <w:gridCol w:w="567"/>
        <w:gridCol w:w="567"/>
        <w:gridCol w:w="1261"/>
        <w:gridCol w:w="709"/>
        <w:gridCol w:w="587"/>
        <w:gridCol w:w="689"/>
        <w:gridCol w:w="870"/>
        <w:gridCol w:w="851"/>
        <w:gridCol w:w="709"/>
        <w:gridCol w:w="708"/>
        <w:gridCol w:w="709"/>
        <w:gridCol w:w="709"/>
        <w:gridCol w:w="1707"/>
        <w:gridCol w:w="1559"/>
      </w:tblGrid>
      <w:tr w:rsidR="008043C4" w:rsidRPr="00523F39" w:rsidTr="009645A2">
        <w:trPr>
          <w:trHeight w:val="1124"/>
        </w:trPr>
        <w:tc>
          <w:tcPr>
            <w:tcW w:w="846" w:type="dxa"/>
            <w:vAlign w:val="center"/>
            <w:hideMark/>
          </w:tcPr>
          <w:p w:rsidR="008043C4" w:rsidRPr="008B28A3" w:rsidRDefault="008043C4" w:rsidP="009645A2">
            <w:pPr>
              <w:spacing w:before="0" w:after="0"/>
              <w:rPr>
                <w:rFonts w:eastAsia="Times New Roman" w:cs="Times New Roman"/>
                <w:b/>
                <w:color w:val="000000"/>
                <w:sz w:val="16"/>
                <w:szCs w:val="16"/>
              </w:rPr>
            </w:pPr>
            <w:r w:rsidRPr="008B28A3">
              <w:rPr>
                <w:rFonts w:eastAsia="Times New Roman" w:cs="Times New Roman"/>
                <w:b/>
                <w:color w:val="000000"/>
                <w:sz w:val="16"/>
                <w:szCs w:val="16"/>
              </w:rPr>
              <w:t>Author,</w:t>
            </w:r>
          </w:p>
          <w:p w:rsidR="008043C4" w:rsidRPr="008B28A3" w:rsidRDefault="008043C4" w:rsidP="009645A2">
            <w:pPr>
              <w:spacing w:before="0" w:after="0"/>
              <w:rPr>
                <w:rFonts w:eastAsia="Times New Roman" w:cs="Times New Roman"/>
                <w:b/>
                <w:color w:val="000000"/>
                <w:sz w:val="16"/>
                <w:szCs w:val="16"/>
              </w:rPr>
            </w:pPr>
            <w:r w:rsidRPr="008B28A3">
              <w:rPr>
                <w:rFonts w:eastAsia="Times New Roman" w:cs="Times New Roman"/>
                <w:b/>
                <w:color w:val="000000"/>
                <w:sz w:val="16"/>
                <w:szCs w:val="16"/>
              </w:rPr>
              <w:t>Year</w:t>
            </w:r>
          </w:p>
          <w:p w:rsidR="008043C4" w:rsidRPr="008B28A3" w:rsidRDefault="008043C4" w:rsidP="009645A2">
            <w:pPr>
              <w:rPr>
                <w:rFonts w:cs="Times New Roman"/>
                <w:b/>
                <w:sz w:val="16"/>
                <w:szCs w:val="16"/>
              </w:rPr>
            </w:pPr>
            <w:r w:rsidRPr="008B28A3">
              <w:rPr>
                <w:rFonts w:eastAsia="Times New Roman" w:cs="Times New Roman"/>
                <w:b/>
                <w:color w:val="000000"/>
                <w:sz w:val="16"/>
                <w:szCs w:val="16"/>
              </w:rPr>
              <w:t>(Ref.)</w:t>
            </w:r>
          </w:p>
        </w:tc>
        <w:tc>
          <w:tcPr>
            <w:tcW w:w="709"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Country </w:t>
            </w:r>
          </w:p>
        </w:tc>
        <w:tc>
          <w:tcPr>
            <w:tcW w:w="586"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Conditions </w:t>
            </w:r>
          </w:p>
        </w:tc>
        <w:tc>
          <w:tcPr>
            <w:tcW w:w="567" w:type="dxa"/>
            <w:vAlign w:val="center"/>
            <w:hideMark/>
          </w:tcPr>
          <w:p w:rsidR="008043C4" w:rsidRPr="008B28A3" w:rsidRDefault="008043C4" w:rsidP="009645A2">
            <w:pPr>
              <w:rPr>
                <w:rFonts w:cs="Times New Roman"/>
                <w:b/>
                <w:sz w:val="16"/>
                <w:szCs w:val="16"/>
              </w:rPr>
            </w:pPr>
            <w:r w:rsidRPr="008B28A3">
              <w:rPr>
                <w:rFonts w:cs="Times New Roman"/>
                <w:b/>
                <w:sz w:val="16"/>
                <w:szCs w:val="16"/>
              </w:rPr>
              <w:t>Age in years</w:t>
            </w:r>
          </w:p>
        </w:tc>
        <w:tc>
          <w:tcPr>
            <w:tcW w:w="567" w:type="dxa"/>
            <w:vAlign w:val="center"/>
            <w:hideMark/>
          </w:tcPr>
          <w:p w:rsidR="008043C4" w:rsidRPr="008B28A3" w:rsidRDefault="008043C4" w:rsidP="009645A2">
            <w:pPr>
              <w:rPr>
                <w:rFonts w:cs="Times New Roman"/>
                <w:b/>
                <w:sz w:val="16"/>
                <w:szCs w:val="16"/>
              </w:rPr>
            </w:pPr>
            <w:r w:rsidRPr="008B28A3">
              <w:rPr>
                <w:rFonts w:cs="Times New Roman"/>
                <w:b/>
                <w:sz w:val="16"/>
                <w:szCs w:val="16"/>
              </w:rPr>
              <w:t>No of cases with SA</w:t>
            </w:r>
          </w:p>
        </w:tc>
        <w:tc>
          <w:tcPr>
            <w:tcW w:w="567"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No of controls </w:t>
            </w:r>
          </w:p>
        </w:tc>
        <w:tc>
          <w:tcPr>
            <w:tcW w:w="1261" w:type="dxa"/>
            <w:vAlign w:val="center"/>
            <w:hideMark/>
          </w:tcPr>
          <w:p w:rsidR="008043C4" w:rsidRPr="008B28A3" w:rsidRDefault="008043C4" w:rsidP="009645A2">
            <w:pPr>
              <w:rPr>
                <w:rFonts w:cs="Times New Roman"/>
                <w:b/>
                <w:sz w:val="16"/>
                <w:szCs w:val="16"/>
              </w:rPr>
            </w:pPr>
            <w:r w:rsidRPr="008B28A3">
              <w:rPr>
                <w:rFonts w:cs="Times New Roman"/>
                <w:b/>
                <w:sz w:val="16"/>
                <w:szCs w:val="16"/>
              </w:rPr>
              <w:t>Aim of the study</w:t>
            </w:r>
          </w:p>
        </w:tc>
        <w:tc>
          <w:tcPr>
            <w:tcW w:w="709"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Study design </w:t>
            </w:r>
          </w:p>
        </w:tc>
        <w:tc>
          <w:tcPr>
            <w:tcW w:w="587" w:type="dxa"/>
            <w:vAlign w:val="center"/>
            <w:hideMark/>
          </w:tcPr>
          <w:p w:rsidR="008043C4" w:rsidRPr="008B28A3" w:rsidRDefault="008043C4" w:rsidP="009645A2">
            <w:pPr>
              <w:rPr>
                <w:rFonts w:cs="Times New Roman"/>
                <w:b/>
                <w:sz w:val="16"/>
                <w:szCs w:val="16"/>
              </w:rPr>
            </w:pPr>
            <w:r w:rsidRPr="008B28A3">
              <w:rPr>
                <w:rFonts w:cs="Times New Roman"/>
                <w:b/>
                <w:sz w:val="16"/>
                <w:szCs w:val="16"/>
              </w:rPr>
              <w:t>Total quality score</w:t>
            </w:r>
            <w:r w:rsidRPr="008B28A3">
              <w:rPr>
                <w:rFonts w:cs="Times New Roman"/>
                <w:b/>
                <w:sz w:val="16"/>
                <w:szCs w:val="16"/>
                <w:vertAlign w:val="superscript"/>
              </w:rPr>
              <w:t xml:space="preserve"># </w:t>
            </w:r>
          </w:p>
        </w:tc>
        <w:tc>
          <w:tcPr>
            <w:tcW w:w="689"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Type of sleep apnea </w:t>
            </w:r>
          </w:p>
        </w:tc>
        <w:tc>
          <w:tcPr>
            <w:tcW w:w="870" w:type="dxa"/>
            <w:vAlign w:val="center"/>
            <w:hideMark/>
          </w:tcPr>
          <w:p w:rsidR="008043C4" w:rsidRPr="008B28A3" w:rsidRDefault="008043C4" w:rsidP="009645A2">
            <w:pPr>
              <w:rPr>
                <w:rFonts w:cs="Times New Roman"/>
                <w:b/>
                <w:sz w:val="16"/>
                <w:szCs w:val="16"/>
              </w:rPr>
            </w:pPr>
            <w:r w:rsidRPr="008B28A3">
              <w:rPr>
                <w:rFonts w:cs="Times New Roman"/>
                <w:b/>
                <w:sz w:val="16"/>
                <w:szCs w:val="16"/>
              </w:rPr>
              <w:t>Sleep apnea  criteria  (cases)</w:t>
            </w:r>
          </w:p>
        </w:tc>
        <w:tc>
          <w:tcPr>
            <w:tcW w:w="851"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 Criteria (controls) </w:t>
            </w:r>
          </w:p>
        </w:tc>
        <w:tc>
          <w:tcPr>
            <w:tcW w:w="709" w:type="dxa"/>
            <w:vAlign w:val="center"/>
            <w:hideMark/>
          </w:tcPr>
          <w:p w:rsidR="008043C4" w:rsidRPr="008B28A3" w:rsidRDefault="008043C4" w:rsidP="009645A2">
            <w:pPr>
              <w:rPr>
                <w:rFonts w:cs="Times New Roman"/>
                <w:b/>
                <w:sz w:val="16"/>
                <w:szCs w:val="16"/>
              </w:rPr>
            </w:pPr>
            <w:r w:rsidRPr="008B28A3">
              <w:rPr>
                <w:rFonts w:cs="Times New Roman"/>
                <w:b/>
                <w:sz w:val="16"/>
                <w:szCs w:val="16"/>
              </w:rPr>
              <w:t xml:space="preserve">Organ /tissue/cells </w:t>
            </w:r>
          </w:p>
        </w:tc>
        <w:tc>
          <w:tcPr>
            <w:tcW w:w="708" w:type="dxa"/>
            <w:vAlign w:val="center"/>
            <w:hideMark/>
          </w:tcPr>
          <w:p w:rsidR="008043C4" w:rsidRPr="008B28A3" w:rsidRDefault="008043C4" w:rsidP="009645A2">
            <w:pPr>
              <w:rPr>
                <w:rFonts w:cs="Times New Roman"/>
                <w:b/>
                <w:sz w:val="16"/>
                <w:szCs w:val="16"/>
              </w:rPr>
            </w:pPr>
            <w:r>
              <w:rPr>
                <w:rFonts w:cs="Times New Roman"/>
                <w:b/>
                <w:sz w:val="16"/>
                <w:szCs w:val="16"/>
              </w:rPr>
              <w:t xml:space="preserve">Sample </w:t>
            </w:r>
            <w:r w:rsidRPr="008B28A3">
              <w:rPr>
                <w:rFonts w:cs="Times New Roman"/>
                <w:b/>
                <w:sz w:val="16"/>
                <w:szCs w:val="16"/>
              </w:rPr>
              <w:t xml:space="preserve"> </w:t>
            </w:r>
          </w:p>
        </w:tc>
        <w:tc>
          <w:tcPr>
            <w:tcW w:w="709" w:type="dxa"/>
            <w:vAlign w:val="center"/>
            <w:hideMark/>
          </w:tcPr>
          <w:p w:rsidR="008043C4" w:rsidRPr="008B28A3" w:rsidRDefault="008043C4" w:rsidP="009645A2">
            <w:pPr>
              <w:rPr>
                <w:rFonts w:cs="Times New Roman"/>
                <w:b/>
                <w:sz w:val="16"/>
                <w:szCs w:val="16"/>
              </w:rPr>
            </w:pPr>
            <w:r w:rsidRPr="008B28A3">
              <w:rPr>
                <w:rFonts w:cs="Times New Roman"/>
                <w:b/>
                <w:sz w:val="16"/>
                <w:szCs w:val="16"/>
              </w:rPr>
              <w:t>Aging  markers</w:t>
            </w:r>
          </w:p>
        </w:tc>
        <w:tc>
          <w:tcPr>
            <w:tcW w:w="709" w:type="dxa"/>
            <w:vAlign w:val="center"/>
            <w:hideMark/>
          </w:tcPr>
          <w:p w:rsidR="008043C4" w:rsidRPr="008B28A3" w:rsidRDefault="008043C4" w:rsidP="009645A2">
            <w:pPr>
              <w:rPr>
                <w:rFonts w:cs="Times New Roman"/>
                <w:b/>
                <w:sz w:val="16"/>
                <w:szCs w:val="16"/>
              </w:rPr>
            </w:pPr>
            <w:r w:rsidRPr="008B28A3">
              <w:rPr>
                <w:rFonts w:cs="Times New Roman"/>
                <w:b/>
                <w:sz w:val="16"/>
                <w:szCs w:val="16"/>
              </w:rPr>
              <w:t>Method for measurement</w:t>
            </w:r>
          </w:p>
        </w:tc>
        <w:tc>
          <w:tcPr>
            <w:tcW w:w="1707" w:type="dxa"/>
            <w:vAlign w:val="center"/>
            <w:hideMark/>
          </w:tcPr>
          <w:p w:rsidR="008043C4" w:rsidRPr="008B28A3" w:rsidRDefault="008043C4" w:rsidP="009645A2">
            <w:pPr>
              <w:rPr>
                <w:rFonts w:cs="Times New Roman"/>
                <w:b/>
                <w:sz w:val="16"/>
                <w:szCs w:val="16"/>
              </w:rPr>
            </w:pPr>
            <w:r w:rsidRPr="008B28A3">
              <w:rPr>
                <w:rFonts w:cs="Times New Roman"/>
                <w:b/>
                <w:sz w:val="16"/>
                <w:szCs w:val="16"/>
              </w:rPr>
              <w:t>Results</w:t>
            </w:r>
          </w:p>
        </w:tc>
        <w:tc>
          <w:tcPr>
            <w:tcW w:w="1559" w:type="dxa"/>
            <w:vAlign w:val="center"/>
            <w:hideMark/>
          </w:tcPr>
          <w:p w:rsidR="008043C4" w:rsidRPr="008B28A3" w:rsidRDefault="008043C4" w:rsidP="009645A2">
            <w:pPr>
              <w:rPr>
                <w:rFonts w:cs="Times New Roman"/>
                <w:b/>
                <w:sz w:val="16"/>
                <w:szCs w:val="16"/>
              </w:rPr>
            </w:pPr>
            <w:r w:rsidRPr="008B28A3">
              <w:rPr>
                <w:rFonts w:cs="Times New Roman"/>
                <w:b/>
                <w:sz w:val="16"/>
                <w:szCs w:val="16"/>
              </w:rPr>
              <w:t>Conclusions</w:t>
            </w:r>
          </w:p>
        </w:tc>
      </w:tr>
      <w:tr w:rsidR="008043C4" w:rsidRPr="00523F39" w:rsidTr="009645A2">
        <w:trPr>
          <w:trHeight w:val="2531"/>
        </w:trPr>
        <w:tc>
          <w:tcPr>
            <w:tcW w:w="846" w:type="dxa"/>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Barcelo</w:t>
            </w:r>
            <w:proofErr w:type="spellEnd"/>
            <w:r w:rsidRPr="00523F39">
              <w:rPr>
                <w:rFonts w:cs="Times New Roman"/>
                <w:sz w:val="16"/>
                <w:szCs w:val="16"/>
              </w:rPr>
              <w:t xml:space="preserve">   et al., 2010</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Spain</w:t>
            </w:r>
          </w:p>
        </w:tc>
        <w:tc>
          <w:tcPr>
            <w:tcW w:w="586" w:type="dxa"/>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Pr>
                <w:rFonts w:cs="Times New Roman"/>
                <w:sz w:val="16"/>
                <w:szCs w:val="16"/>
              </w:rPr>
              <w:t xml:space="preserve">49.5  </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256</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148</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To compare the TL in OSAS patients with controls and to investigate the relationship of TL to the severity of OSAS, the presence of metabolic </w:t>
            </w:r>
            <w:r w:rsidRPr="00523F39">
              <w:rPr>
                <w:rFonts w:cs="Times New Roman"/>
                <w:sz w:val="16"/>
                <w:szCs w:val="16"/>
              </w:rPr>
              <w:br/>
              <w:t>and cardiovascular risk factors.</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case-control </w:t>
            </w:r>
          </w:p>
        </w:tc>
        <w:tc>
          <w:tcPr>
            <w:tcW w:w="587" w:type="dxa"/>
            <w:vAlign w:val="center"/>
            <w:hideMark/>
          </w:tcPr>
          <w:p w:rsidR="008043C4" w:rsidRPr="00523F39" w:rsidRDefault="008043C4" w:rsidP="009645A2">
            <w:pPr>
              <w:rPr>
                <w:rFonts w:cs="Times New Roman"/>
                <w:sz w:val="16"/>
                <w:szCs w:val="16"/>
              </w:rPr>
            </w:pPr>
            <w:r w:rsidRPr="00523F39">
              <w:rPr>
                <w:rFonts w:cs="Times New Roman"/>
                <w:sz w:val="16"/>
                <w:szCs w:val="16"/>
              </w:rPr>
              <w:t>7</w:t>
            </w:r>
          </w:p>
        </w:tc>
        <w:tc>
          <w:tcPr>
            <w:tcW w:w="689" w:type="dxa"/>
            <w:vAlign w:val="center"/>
            <w:hideMark/>
          </w:tcPr>
          <w:p w:rsidR="008043C4" w:rsidRPr="00523F39" w:rsidRDefault="008043C4" w:rsidP="009645A2">
            <w:pPr>
              <w:rPr>
                <w:rFonts w:cs="Times New Roman"/>
                <w:sz w:val="16"/>
                <w:szCs w:val="16"/>
              </w:rPr>
            </w:pPr>
            <w:r w:rsidRPr="00523F39">
              <w:rPr>
                <w:rFonts w:cs="Times New Roman"/>
                <w:sz w:val="16"/>
                <w:szCs w:val="16"/>
              </w:rPr>
              <w:t>OSAS</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AHI</w:t>
            </w:r>
            <w:r w:rsidRPr="00523F39">
              <w:rPr>
                <w:rFonts w:cs="Times New Roman"/>
                <w:sz w:val="16"/>
                <w:szCs w:val="16"/>
                <w:u w:val="single"/>
              </w:rPr>
              <w:t xml:space="preserve"> &gt;</w:t>
            </w:r>
            <w:r w:rsidRPr="00523F39">
              <w:rPr>
                <w:rFonts w:cs="Times New Roman"/>
                <w:sz w:val="16"/>
                <w:szCs w:val="16"/>
              </w:rPr>
              <w:t xml:space="preserve"> 10</w:t>
            </w:r>
          </w:p>
        </w:tc>
        <w:tc>
          <w:tcPr>
            <w:tcW w:w="851" w:type="dxa"/>
            <w:vAlign w:val="center"/>
            <w:hideMark/>
          </w:tcPr>
          <w:p w:rsidR="008043C4" w:rsidRPr="00523F39" w:rsidRDefault="008043C4" w:rsidP="009645A2">
            <w:pPr>
              <w:rPr>
                <w:rFonts w:cs="Times New Roman"/>
                <w:sz w:val="16"/>
                <w:szCs w:val="16"/>
              </w:rPr>
            </w:pPr>
            <w:r w:rsidRPr="00523F39">
              <w:rPr>
                <w:rFonts w:cs="Times New Roman"/>
                <w:sz w:val="16"/>
                <w:szCs w:val="16"/>
              </w:rPr>
              <w:t>AHI &lt;10</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TL was significantly shorter in patients w</w:t>
            </w:r>
            <w:r>
              <w:rPr>
                <w:rFonts w:cs="Times New Roman"/>
                <w:sz w:val="16"/>
                <w:szCs w:val="16"/>
              </w:rPr>
              <w:t xml:space="preserve">ith OSAS than in controls. This </w:t>
            </w:r>
            <w:r w:rsidRPr="00523F39">
              <w:rPr>
                <w:rFonts w:cs="Times New Roman"/>
                <w:sz w:val="16"/>
                <w:szCs w:val="16"/>
              </w:rPr>
              <w:t>difference persisted after adjustment for age,</w:t>
            </w:r>
            <w:r>
              <w:rPr>
                <w:rFonts w:cs="Times New Roman"/>
                <w:sz w:val="16"/>
                <w:szCs w:val="16"/>
              </w:rPr>
              <w:t xml:space="preserve"> </w:t>
            </w:r>
            <w:r w:rsidRPr="00523F39">
              <w:rPr>
                <w:rFonts w:cs="Times New Roman"/>
                <w:sz w:val="16"/>
                <w:szCs w:val="16"/>
              </w:rPr>
              <w:t>presence of cardiovascular and metabolic changes. TL was not related to the severity of OSAS</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TL in circulating leukocytes is shorter in patients with OSAS than </w:t>
            </w:r>
            <w:r>
              <w:rPr>
                <w:rFonts w:cs="Times New Roman"/>
                <w:sz w:val="16"/>
                <w:szCs w:val="16"/>
              </w:rPr>
              <w:t>controls</w:t>
            </w:r>
            <w:r w:rsidRPr="00523F39">
              <w:rPr>
                <w:rFonts w:cs="Times New Roman"/>
                <w:sz w:val="16"/>
                <w:szCs w:val="16"/>
              </w:rPr>
              <w:t>. The mechanism of this observation is unresolved since it appears independent of chronological</w:t>
            </w:r>
            <w:r w:rsidRPr="00523F39">
              <w:rPr>
                <w:rFonts w:cs="Times New Roman"/>
                <w:sz w:val="16"/>
                <w:szCs w:val="16"/>
              </w:rPr>
              <w:br/>
              <w:t>age, the severity of OSAS and/or the presence of cardiovascular or metabolic changes.</w:t>
            </w:r>
          </w:p>
        </w:tc>
      </w:tr>
      <w:tr w:rsidR="008043C4" w:rsidRPr="00523F39" w:rsidTr="009645A2">
        <w:trPr>
          <w:trHeight w:val="2746"/>
        </w:trPr>
        <w:tc>
          <w:tcPr>
            <w:tcW w:w="846" w:type="dxa"/>
            <w:vAlign w:val="center"/>
          </w:tcPr>
          <w:p w:rsidR="008043C4" w:rsidRPr="001E67D5" w:rsidRDefault="008043C4" w:rsidP="009645A2">
            <w:pPr>
              <w:rPr>
                <w:sz w:val="16"/>
                <w:szCs w:val="16"/>
              </w:rPr>
            </w:pPr>
            <w:r w:rsidRPr="001E67D5">
              <w:rPr>
                <w:sz w:val="16"/>
                <w:szCs w:val="16"/>
              </w:rPr>
              <w:t>Carroll et al., 2019</w:t>
            </w:r>
          </w:p>
        </w:tc>
        <w:tc>
          <w:tcPr>
            <w:tcW w:w="709" w:type="dxa"/>
            <w:noWrap/>
            <w:vAlign w:val="center"/>
          </w:tcPr>
          <w:p w:rsidR="008043C4" w:rsidRPr="001E67D5" w:rsidRDefault="008043C4" w:rsidP="009645A2">
            <w:pPr>
              <w:rPr>
                <w:sz w:val="16"/>
                <w:szCs w:val="16"/>
              </w:rPr>
            </w:pPr>
            <w:r w:rsidRPr="001E67D5">
              <w:rPr>
                <w:sz w:val="16"/>
                <w:szCs w:val="16"/>
              </w:rPr>
              <w:t>USA</w:t>
            </w:r>
          </w:p>
        </w:tc>
        <w:tc>
          <w:tcPr>
            <w:tcW w:w="586" w:type="dxa"/>
            <w:vAlign w:val="center"/>
          </w:tcPr>
          <w:p w:rsidR="008043C4" w:rsidRPr="001E67D5" w:rsidRDefault="008043C4" w:rsidP="009645A2">
            <w:pPr>
              <w:rPr>
                <w:rFonts w:cs="Times New Roman"/>
                <w:sz w:val="16"/>
                <w:szCs w:val="16"/>
              </w:rPr>
            </w:pPr>
            <w:r w:rsidRPr="001E67D5">
              <w:rPr>
                <w:rFonts w:cs="Times New Roman"/>
                <w:sz w:val="16"/>
                <w:szCs w:val="16"/>
              </w:rPr>
              <w:t>SA</w:t>
            </w:r>
          </w:p>
        </w:tc>
        <w:tc>
          <w:tcPr>
            <w:tcW w:w="567"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44 -84</w:t>
            </w:r>
          </w:p>
        </w:tc>
        <w:tc>
          <w:tcPr>
            <w:tcW w:w="567"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 xml:space="preserve">322 </w:t>
            </w:r>
          </w:p>
        </w:tc>
        <w:tc>
          <w:tcPr>
            <w:tcW w:w="567"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 xml:space="preserve">460 </w:t>
            </w:r>
          </w:p>
        </w:tc>
        <w:tc>
          <w:tcPr>
            <w:tcW w:w="1261"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To evaluate whether objectively assessed sleep and sleep apnea relate to LTL</w:t>
            </w:r>
          </w:p>
        </w:tc>
        <w:tc>
          <w:tcPr>
            <w:tcW w:w="709" w:type="dxa"/>
            <w:vAlign w:val="center"/>
          </w:tcPr>
          <w:p w:rsidR="008043C4" w:rsidRPr="001E67D5" w:rsidRDefault="008043C4" w:rsidP="00386DF9">
            <w:pPr>
              <w:spacing w:before="0" w:after="0"/>
              <w:rPr>
                <w:rFonts w:eastAsia="Times New Roman" w:cs="Times New Roman"/>
                <w:sz w:val="16"/>
                <w:szCs w:val="16"/>
              </w:rPr>
            </w:pPr>
            <w:r w:rsidRPr="001E67D5">
              <w:rPr>
                <w:rFonts w:eastAsia="Times New Roman" w:cs="Times New Roman"/>
                <w:sz w:val="16"/>
                <w:szCs w:val="16"/>
              </w:rPr>
              <w:t xml:space="preserve">cohort </w:t>
            </w:r>
          </w:p>
        </w:tc>
        <w:tc>
          <w:tcPr>
            <w:tcW w:w="587"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9</w:t>
            </w:r>
          </w:p>
        </w:tc>
        <w:tc>
          <w:tcPr>
            <w:tcW w:w="689"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OSA</w:t>
            </w:r>
          </w:p>
        </w:tc>
        <w:tc>
          <w:tcPr>
            <w:tcW w:w="870"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 xml:space="preserve">AHI </w:t>
            </w:r>
            <w:r w:rsidRPr="001E67D5">
              <w:rPr>
                <w:rFonts w:eastAsia="Times New Roman" w:cs="Times New Roman"/>
                <w:sz w:val="16"/>
                <w:szCs w:val="16"/>
                <w:u w:val="single"/>
              </w:rPr>
              <w:t>&gt;</w:t>
            </w:r>
            <w:r w:rsidRPr="001E67D5">
              <w:rPr>
                <w:rFonts w:eastAsia="Times New Roman" w:cs="Times New Roman"/>
                <w:sz w:val="16"/>
                <w:szCs w:val="16"/>
              </w:rPr>
              <w:t>15</w:t>
            </w:r>
          </w:p>
        </w:tc>
        <w:tc>
          <w:tcPr>
            <w:tcW w:w="851"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AHI&lt;15</w:t>
            </w:r>
          </w:p>
        </w:tc>
        <w:tc>
          <w:tcPr>
            <w:tcW w:w="709"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Leukocytes</w:t>
            </w:r>
          </w:p>
        </w:tc>
        <w:tc>
          <w:tcPr>
            <w:tcW w:w="708"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blood</w:t>
            </w:r>
          </w:p>
        </w:tc>
        <w:tc>
          <w:tcPr>
            <w:tcW w:w="709"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LTL</w:t>
            </w:r>
          </w:p>
        </w:tc>
        <w:tc>
          <w:tcPr>
            <w:tcW w:w="709"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qPCR</w:t>
            </w:r>
          </w:p>
        </w:tc>
        <w:tc>
          <w:tcPr>
            <w:tcW w:w="1707"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Severe obstructive sleep apnea was associated with shorter LTL. An exploratory analysis found that higher arousal index at Exam 5 was associated with greater LTL decline over the prior 10 years.</w:t>
            </w:r>
          </w:p>
        </w:tc>
        <w:tc>
          <w:tcPr>
            <w:tcW w:w="1559" w:type="dxa"/>
            <w:vAlign w:val="center"/>
          </w:tcPr>
          <w:p w:rsidR="008043C4" w:rsidRPr="001E67D5" w:rsidRDefault="008043C4" w:rsidP="009645A2">
            <w:pPr>
              <w:spacing w:before="0" w:after="0"/>
              <w:rPr>
                <w:rFonts w:eastAsia="Times New Roman" w:cs="Times New Roman"/>
                <w:sz w:val="16"/>
                <w:szCs w:val="16"/>
              </w:rPr>
            </w:pPr>
            <w:r w:rsidRPr="001E67D5">
              <w:rPr>
                <w:rFonts w:eastAsia="Times New Roman" w:cs="Times New Roman"/>
                <w:sz w:val="16"/>
                <w:szCs w:val="16"/>
              </w:rPr>
              <w:t>OSA was associated with shorter leukocyte telomere length. Individuals with high arousal frequency had greater leukocyte telomere attrition over the prior decade. These findings suggest that sleep apnea and sleep fragmentation are associated with accelerated biological aging.</w:t>
            </w:r>
          </w:p>
        </w:tc>
      </w:tr>
      <w:tr w:rsidR="008043C4" w:rsidRPr="00523F39" w:rsidTr="009645A2">
        <w:trPr>
          <w:trHeight w:val="416"/>
        </w:trPr>
        <w:tc>
          <w:tcPr>
            <w:tcW w:w="84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 xml:space="preserve">Boyer et al., 2016 </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France</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Pr>
                <w:rFonts w:cs="Times New Roman"/>
                <w:sz w:val="16"/>
                <w:szCs w:val="16"/>
              </w:rPr>
              <w:t xml:space="preserve">46.8 </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122</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39</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To determine whether OSAS was associated with telomere shortening </w:t>
            </w:r>
            <w:r w:rsidRPr="00523F39">
              <w:rPr>
                <w:rFonts w:cs="Times New Roman"/>
                <w:sz w:val="16"/>
                <w:szCs w:val="16"/>
              </w:rPr>
              <w:lastRenderedPageBreak/>
              <w:t>independently from the comorbidities</w:t>
            </w:r>
            <w:r w:rsidRPr="00523F39">
              <w:rPr>
                <w:rFonts w:cs="Times New Roman"/>
                <w:sz w:val="16"/>
                <w:szCs w:val="16"/>
              </w:rPr>
              <w:br/>
              <w:t>associated with this syndrome.</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lastRenderedPageBreak/>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6</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OSAS</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AHI </w:t>
            </w:r>
            <w:r w:rsidRPr="00523F39">
              <w:rPr>
                <w:rFonts w:cs="Times New Roman"/>
                <w:sz w:val="16"/>
                <w:szCs w:val="16"/>
                <w:u w:val="single"/>
              </w:rPr>
              <w:t>&gt;</w:t>
            </w:r>
            <w:r w:rsidRPr="00523F39">
              <w:rPr>
                <w:rFonts w:cs="Times New Roman"/>
                <w:sz w:val="16"/>
                <w:szCs w:val="16"/>
              </w:rPr>
              <w:t>5/h</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no OSA, AHI ,&lt;5/h</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Pr>
                <w:rFonts w:cs="Times New Roman"/>
                <w:sz w:val="16"/>
                <w:szCs w:val="16"/>
              </w:rPr>
              <w:t xml:space="preserve">AHI </w:t>
            </w:r>
            <w:r w:rsidRPr="00523F39">
              <w:rPr>
                <w:rFonts w:cs="Times New Roman"/>
                <w:sz w:val="16"/>
                <w:szCs w:val="16"/>
              </w:rPr>
              <w:t xml:space="preserve">and oxygen desaturation index were significantly related to telomere </w:t>
            </w:r>
            <w:r w:rsidRPr="00523F39">
              <w:rPr>
                <w:rFonts w:cs="Times New Roman"/>
                <w:sz w:val="16"/>
                <w:szCs w:val="16"/>
              </w:rPr>
              <w:lastRenderedPageBreak/>
              <w:t>shortening.</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lastRenderedPageBreak/>
              <w:t xml:space="preserve">Intermittent hypoxemia due to </w:t>
            </w:r>
            <w:r>
              <w:rPr>
                <w:rFonts w:cs="Times New Roman"/>
                <w:sz w:val="16"/>
                <w:szCs w:val="16"/>
              </w:rPr>
              <w:t>OSAS</w:t>
            </w:r>
            <w:r w:rsidRPr="00523F39">
              <w:rPr>
                <w:rFonts w:cs="Times New Roman"/>
                <w:sz w:val="16"/>
                <w:szCs w:val="16"/>
              </w:rPr>
              <w:t xml:space="preserve"> is a major contri</w:t>
            </w:r>
            <w:r>
              <w:rPr>
                <w:rFonts w:cs="Times New Roman"/>
                <w:sz w:val="16"/>
                <w:szCs w:val="16"/>
              </w:rPr>
              <w:t xml:space="preserve">butor to telomere shortening </w:t>
            </w:r>
            <w:r>
              <w:rPr>
                <w:rFonts w:cs="Times New Roman"/>
                <w:sz w:val="16"/>
                <w:szCs w:val="16"/>
              </w:rPr>
              <w:lastRenderedPageBreak/>
              <w:t xml:space="preserve">in </w:t>
            </w:r>
            <w:r w:rsidRPr="00523F39">
              <w:rPr>
                <w:rFonts w:cs="Times New Roman"/>
                <w:sz w:val="16"/>
                <w:szCs w:val="16"/>
              </w:rPr>
              <w:t>middle-aged men. Oxidative stress may explain this finding.</w:t>
            </w:r>
          </w:p>
        </w:tc>
      </w:tr>
      <w:tr w:rsidR="008043C4" w:rsidRPr="00523F39" w:rsidTr="009645A2">
        <w:trPr>
          <w:trHeight w:val="1266"/>
        </w:trPr>
        <w:tc>
          <w:tcPr>
            <w:tcW w:w="846"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lastRenderedPageBreak/>
              <w:t xml:space="preserve">Kim et al., 2010  </w:t>
            </w:r>
          </w:p>
        </w:tc>
        <w:tc>
          <w:tcPr>
            <w:tcW w:w="709"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USA</w:t>
            </w:r>
          </w:p>
        </w:tc>
        <w:tc>
          <w:tcPr>
            <w:tcW w:w="586"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Merge w:val="restart"/>
            <w:vAlign w:val="center"/>
            <w:hideMark/>
          </w:tcPr>
          <w:p w:rsidR="008043C4" w:rsidRPr="00523F39" w:rsidRDefault="008043C4" w:rsidP="009645A2">
            <w:pPr>
              <w:rPr>
                <w:rFonts w:cs="Times New Roman"/>
                <w:sz w:val="16"/>
                <w:szCs w:val="16"/>
              </w:rPr>
            </w:pPr>
            <w:r>
              <w:rPr>
                <w:rFonts w:cs="Times New Roman"/>
                <w:sz w:val="16"/>
                <w:szCs w:val="16"/>
              </w:rPr>
              <w:t xml:space="preserve">5-10 </w:t>
            </w:r>
          </w:p>
        </w:tc>
        <w:tc>
          <w:tcPr>
            <w:tcW w:w="567"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111</w:t>
            </w:r>
          </w:p>
        </w:tc>
        <w:tc>
          <w:tcPr>
            <w:tcW w:w="567"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102</w:t>
            </w:r>
          </w:p>
        </w:tc>
        <w:tc>
          <w:tcPr>
            <w:tcW w:w="1261"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To assess the association between LTL and OSA</w:t>
            </w:r>
          </w:p>
        </w:tc>
        <w:tc>
          <w:tcPr>
            <w:tcW w:w="709"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8</w:t>
            </w:r>
          </w:p>
        </w:tc>
        <w:tc>
          <w:tcPr>
            <w:tcW w:w="689" w:type="dxa"/>
            <w:vMerge w:val="restart"/>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 xml:space="preserve"> AHI</w:t>
            </w:r>
            <w:r w:rsidRPr="00523F39">
              <w:rPr>
                <w:rFonts w:cs="Times New Roman"/>
                <w:sz w:val="16"/>
                <w:szCs w:val="16"/>
                <w:u w:val="single"/>
              </w:rPr>
              <w:t>&gt;</w:t>
            </w:r>
            <w:r>
              <w:rPr>
                <w:rFonts w:cs="Times New Roman"/>
                <w:sz w:val="16"/>
                <w:szCs w:val="16"/>
              </w:rPr>
              <w:t xml:space="preserve">  1/</w:t>
            </w:r>
            <w:proofErr w:type="spellStart"/>
            <w:r>
              <w:rPr>
                <w:rFonts w:cs="Times New Roman"/>
                <w:sz w:val="16"/>
                <w:szCs w:val="16"/>
              </w:rPr>
              <w:t>hrTST</w:t>
            </w:r>
            <w:proofErr w:type="spellEnd"/>
          </w:p>
        </w:tc>
        <w:tc>
          <w:tcPr>
            <w:tcW w:w="851"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children did not snore and had an AHI  &lt;1/</w:t>
            </w:r>
            <w:proofErr w:type="spellStart"/>
            <w:r w:rsidRPr="00523F39">
              <w:rPr>
                <w:rFonts w:cs="Times New Roman"/>
                <w:sz w:val="16"/>
                <w:szCs w:val="16"/>
              </w:rPr>
              <w:t>hrTST</w:t>
            </w:r>
            <w:proofErr w:type="spellEnd"/>
          </w:p>
        </w:tc>
        <w:tc>
          <w:tcPr>
            <w:tcW w:w="709"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 xml:space="preserve">Leukocyte </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whole blood </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LTL was independently associated with AHI </w:t>
            </w:r>
          </w:p>
        </w:tc>
        <w:tc>
          <w:tcPr>
            <w:tcW w:w="1559"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 xml:space="preserve">In pediatric OSA, LTL is longer rather than shorter. Children with OSA have reduced plasma </w:t>
            </w:r>
            <w:proofErr w:type="spellStart"/>
            <w:r w:rsidRPr="00523F39">
              <w:rPr>
                <w:rFonts w:cs="Times New Roman"/>
                <w:sz w:val="16"/>
                <w:szCs w:val="16"/>
              </w:rPr>
              <w:t>catestatin</w:t>
            </w:r>
            <w:proofErr w:type="spellEnd"/>
            <w:r w:rsidRPr="00523F39">
              <w:rPr>
                <w:rFonts w:cs="Times New Roman"/>
                <w:sz w:val="16"/>
                <w:szCs w:val="16"/>
              </w:rPr>
              <w:t xml:space="preserve"> levels and increased BP along with increased MRP 8/14 levels that exhibit AHI dependencies. Thus, </w:t>
            </w:r>
            <w:proofErr w:type="spellStart"/>
            <w:r w:rsidRPr="00523F39">
              <w:rPr>
                <w:rFonts w:cs="Times New Roman"/>
                <w:sz w:val="16"/>
                <w:szCs w:val="16"/>
              </w:rPr>
              <w:t>catestatin</w:t>
            </w:r>
            <w:proofErr w:type="spellEnd"/>
            <w:r w:rsidRPr="00523F39">
              <w:rPr>
                <w:rFonts w:cs="Times New Roman"/>
                <w:sz w:val="16"/>
                <w:szCs w:val="16"/>
              </w:rPr>
              <w:t xml:space="preserve"> and MRP 8/14 levels may serve as biomarkers for cardiovascular risk in the context of pediatric OSA. However, the implications of increased LTL in children with OSA remain to be defined.</w:t>
            </w:r>
          </w:p>
        </w:tc>
      </w:tr>
      <w:tr w:rsidR="008043C4" w:rsidRPr="00523F39" w:rsidTr="009645A2">
        <w:trPr>
          <w:trHeight w:val="940"/>
        </w:trPr>
        <w:tc>
          <w:tcPr>
            <w:tcW w:w="846" w:type="dxa"/>
            <w:vMerge/>
            <w:noWrap/>
            <w:vAlign w:val="center"/>
            <w:hideMark/>
          </w:tcPr>
          <w:p w:rsidR="008043C4" w:rsidRPr="00523F39" w:rsidRDefault="008043C4" w:rsidP="009645A2">
            <w:pPr>
              <w:rPr>
                <w:rFonts w:cs="Times New Roman"/>
                <w:sz w:val="16"/>
                <w:szCs w:val="16"/>
              </w:rPr>
            </w:pPr>
          </w:p>
        </w:tc>
        <w:tc>
          <w:tcPr>
            <w:tcW w:w="709" w:type="dxa"/>
            <w:vMerge/>
            <w:noWrap/>
            <w:vAlign w:val="center"/>
            <w:hideMark/>
          </w:tcPr>
          <w:p w:rsidR="008043C4" w:rsidRPr="00523F39" w:rsidRDefault="008043C4" w:rsidP="009645A2">
            <w:pPr>
              <w:rPr>
                <w:rFonts w:cs="Times New Roman"/>
                <w:sz w:val="16"/>
                <w:szCs w:val="16"/>
              </w:rPr>
            </w:pPr>
          </w:p>
        </w:tc>
        <w:tc>
          <w:tcPr>
            <w:tcW w:w="586" w:type="dxa"/>
            <w:vMerge/>
            <w:noWrap/>
            <w:vAlign w:val="center"/>
            <w:hideMark/>
          </w:tcPr>
          <w:p w:rsidR="008043C4" w:rsidRPr="00523F39" w:rsidRDefault="008043C4" w:rsidP="009645A2">
            <w:pPr>
              <w:rPr>
                <w:rFonts w:cs="Times New Roman"/>
                <w:sz w:val="16"/>
                <w:szCs w:val="16"/>
              </w:rPr>
            </w:pPr>
          </w:p>
        </w:tc>
        <w:tc>
          <w:tcPr>
            <w:tcW w:w="567" w:type="dxa"/>
            <w:vMerge/>
            <w:vAlign w:val="center"/>
            <w:hideMark/>
          </w:tcPr>
          <w:p w:rsidR="008043C4" w:rsidRPr="00523F39" w:rsidRDefault="008043C4" w:rsidP="009645A2">
            <w:pPr>
              <w:rPr>
                <w:rFonts w:cs="Times New Roman"/>
                <w:sz w:val="16"/>
                <w:szCs w:val="16"/>
              </w:rPr>
            </w:pPr>
          </w:p>
        </w:tc>
        <w:tc>
          <w:tcPr>
            <w:tcW w:w="567" w:type="dxa"/>
            <w:vMerge/>
            <w:noWrap/>
            <w:vAlign w:val="center"/>
            <w:hideMark/>
          </w:tcPr>
          <w:p w:rsidR="008043C4" w:rsidRPr="00523F39" w:rsidRDefault="008043C4" w:rsidP="009645A2">
            <w:pPr>
              <w:rPr>
                <w:rFonts w:cs="Times New Roman"/>
                <w:sz w:val="16"/>
                <w:szCs w:val="16"/>
              </w:rPr>
            </w:pPr>
          </w:p>
        </w:tc>
        <w:tc>
          <w:tcPr>
            <w:tcW w:w="567" w:type="dxa"/>
            <w:vMerge/>
            <w:noWrap/>
            <w:vAlign w:val="center"/>
            <w:hideMark/>
          </w:tcPr>
          <w:p w:rsidR="008043C4" w:rsidRPr="00523F39" w:rsidRDefault="008043C4" w:rsidP="009645A2">
            <w:pPr>
              <w:rPr>
                <w:rFonts w:cs="Times New Roman"/>
                <w:sz w:val="16"/>
                <w:szCs w:val="16"/>
              </w:rPr>
            </w:pPr>
          </w:p>
        </w:tc>
        <w:tc>
          <w:tcPr>
            <w:tcW w:w="1261" w:type="dxa"/>
            <w:vMerge/>
            <w:vAlign w:val="center"/>
            <w:hideMark/>
          </w:tcPr>
          <w:p w:rsidR="008043C4" w:rsidRPr="00523F39" w:rsidRDefault="008043C4" w:rsidP="009645A2">
            <w:pPr>
              <w:rPr>
                <w:rFonts w:cs="Times New Roman"/>
                <w:sz w:val="16"/>
                <w:szCs w:val="16"/>
              </w:rPr>
            </w:pPr>
          </w:p>
        </w:tc>
        <w:tc>
          <w:tcPr>
            <w:tcW w:w="709" w:type="dxa"/>
            <w:vMerge/>
            <w:noWrap/>
            <w:vAlign w:val="center"/>
            <w:hideMark/>
          </w:tcPr>
          <w:p w:rsidR="008043C4" w:rsidRPr="00523F39" w:rsidRDefault="008043C4" w:rsidP="009645A2">
            <w:pPr>
              <w:rPr>
                <w:rFonts w:cs="Times New Roman"/>
                <w:sz w:val="16"/>
                <w:szCs w:val="16"/>
              </w:rPr>
            </w:pPr>
          </w:p>
        </w:tc>
        <w:tc>
          <w:tcPr>
            <w:tcW w:w="587" w:type="dxa"/>
            <w:vMerge/>
            <w:noWrap/>
            <w:vAlign w:val="center"/>
            <w:hideMark/>
          </w:tcPr>
          <w:p w:rsidR="008043C4" w:rsidRPr="00523F39" w:rsidRDefault="008043C4" w:rsidP="009645A2">
            <w:pPr>
              <w:rPr>
                <w:rFonts w:cs="Times New Roman"/>
                <w:sz w:val="16"/>
                <w:szCs w:val="16"/>
              </w:rPr>
            </w:pPr>
          </w:p>
        </w:tc>
        <w:tc>
          <w:tcPr>
            <w:tcW w:w="689" w:type="dxa"/>
            <w:vMerge/>
            <w:noWrap/>
            <w:vAlign w:val="center"/>
            <w:hideMark/>
          </w:tcPr>
          <w:p w:rsidR="008043C4" w:rsidRPr="00523F39" w:rsidRDefault="008043C4" w:rsidP="009645A2">
            <w:pPr>
              <w:rPr>
                <w:rFonts w:cs="Times New Roman"/>
                <w:sz w:val="16"/>
                <w:szCs w:val="16"/>
              </w:rPr>
            </w:pPr>
          </w:p>
        </w:tc>
        <w:tc>
          <w:tcPr>
            <w:tcW w:w="870" w:type="dxa"/>
            <w:vMerge/>
            <w:vAlign w:val="center"/>
            <w:hideMark/>
          </w:tcPr>
          <w:p w:rsidR="008043C4" w:rsidRPr="00523F39" w:rsidRDefault="008043C4" w:rsidP="009645A2">
            <w:pPr>
              <w:rPr>
                <w:rFonts w:cs="Times New Roman"/>
                <w:sz w:val="16"/>
                <w:szCs w:val="16"/>
              </w:rPr>
            </w:pPr>
          </w:p>
        </w:tc>
        <w:tc>
          <w:tcPr>
            <w:tcW w:w="851" w:type="dxa"/>
            <w:vMerge/>
            <w:vAlign w:val="center"/>
            <w:hideMark/>
          </w:tcPr>
          <w:p w:rsidR="008043C4" w:rsidRPr="00523F39" w:rsidRDefault="008043C4" w:rsidP="009645A2">
            <w:pPr>
              <w:rPr>
                <w:rFonts w:cs="Times New Roman"/>
                <w:sz w:val="16"/>
                <w:szCs w:val="16"/>
              </w:rPr>
            </w:pPr>
          </w:p>
        </w:tc>
        <w:tc>
          <w:tcPr>
            <w:tcW w:w="709" w:type="dxa"/>
            <w:vMerge/>
            <w:vAlign w:val="center"/>
            <w:hideMark/>
          </w:tcPr>
          <w:p w:rsidR="008043C4" w:rsidRPr="00523F39" w:rsidRDefault="008043C4" w:rsidP="009645A2">
            <w:pPr>
              <w:rPr>
                <w:rFonts w:cs="Times New Roman"/>
                <w:sz w:val="16"/>
                <w:szCs w:val="16"/>
              </w:rPr>
            </w:pP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Plasma</w:t>
            </w:r>
          </w:p>
        </w:tc>
        <w:tc>
          <w:tcPr>
            <w:tcW w:w="709" w:type="dxa"/>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Catestatin</w:t>
            </w:r>
            <w:proofErr w:type="spellEnd"/>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ELISA</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Children with OSA exhibited lower plasma </w:t>
            </w:r>
            <w:proofErr w:type="spellStart"/>
            <w:r w:rsidRPr="00523F39">
              <w:rPr>
                <w:rFonts w:cs="Times New Roman"/>
                <w:sz w:val="16"/>
                <w:szCs w:val="16"/>
              </w:rPr>
              <w:t>catestatin</w:t>
            </w:r>
            <w:proofErr w:type="spellEnd"/>
            <w:r w:rsidRPr="00523F39">
              <w:rPr>
                <w:rFonts w:cs="Times New Roman"/>
                <w:sz w:val="16"/>
                <w:szCs w:val="16"/>
              </w:rPr>
              <w:t xml:space="preserve"> </w:t>
            </w:r>
          </w:p>
        </w:tc>
        <w:tc>
          <w:tcPr>
            <w:tcW w:w="1559" w:type="dxa"/>
            <w:vMerge/>
            <w:vAlign w:val="center"/>
            <w:hideMark/>
          </w:tcPr>
          <w:p w:rsidR="008043C4" w:rsidRPr="00523F39" w:rsidRDefault="008043C4" w:rsidP="009645A2">
            <w:pPr>
              <w:rPr>
                <w:rFonts w:cs="Times New Roman"/>
                <w:sz w:val="16"/>
                <w:szCs w:val="16"/>
              </w:rPr>
            </w:pPr>
          </w:p>
        </w:tc>
      </w:tr>
      <w:tr w:rsidR="008043C4" w:rsidRPr="00523F39" w:rsidTr="009645A2">
        <w:trPr>
          <w:trHeight w:val="2087"/>
        </w:trPr>
        <w:tc>
          <w:tcPr>
            <w:tcW w:w="846" w:type="dxa"/>
            <w:vMerge/>
            <w:noWrap/>
            <w:vAlign w:val="center"/>
            <w:hideMark/>
          </w:tcPr>
          <w:p w:rsidR="008043C4" w:rsidRPr="00523F39" w:rsidRDefault="008043C4" w:rsidP="009645A2">
            <w:pPr>
              <w:rPr>
                <w:rFonts w:cs="Times New Roman"/>
                <w:sz w:val="16"/>
                <w:szCs w:val="16"/>
              </w:rPr>
            </w:pPr>
          </w:p>
        </w:tc>
        <w:tc>
          <w:tcPr>
            <w:tcW w:w="709" w:type="dxa"/>
            <w:vMerge/>
            <w:noWrap/>
            <w:vAlign w:val="center"/>
            <w:hideMark/>
          </w:tcPr>
          <w:p w:rsidR="008043C4" w:rsidRPr="00523F39" w:rsidRDefault="008043C4" w:rsidP="009645A2">
            <w:pPr>
              <w:rPr>
                <w:rFonts w:cs="Times New Roman"/>
                <w:sz w:val="16"/>
                <w:szCs w:val="16"/>
              </w:rPr>
            </w:pPr>
          </w:p>
        </w:tc>
        <w:tc>
          <w:tcPr>
            <w:tcW w:w="586" w:type="dxa"/>
            <w:vMerge/>
            <w:noWrap/>
            <w:vAlign w:val="center"/>
            <w:hideMark/>
          </w:tcPr>
          <w:p w:rsidR="008043C4" w:rsidRPr="00523F39" w:rsidRDefault="008043C4" w:rsidP="009645A2">
            <w:pPr>
              <w:rPr>
                <w:rFonts w:cs="Times New Roman"/>
                <w:sz w:val="16"/>
                <w:szCs w:val="16"/>
              </w:rPr>
            </w:pPr>
          </w:p>
        </w:tc>
        <w:tc>
          <w:tcPr>
            <w:tcW w:w="567" w:type="dxa"/>
            <w:vMerge/>
            <w:vAlign w:val="center"/>
            <w:hideMark/>
          </w:tcPr>
          <w:p w:rsidR="008043C4" w:rsidRPr="00523F39" w:rsidRDefault="008043C4" w:rsidP="009645A2">
            <w:pPr>
              <w:rPr>
                <w:rFonts w:cs="Times New Roman"/>
                <w:sz w:val="16"/>
                <w:szCs w:val="16"/>
              </w:rPr>
            </w:pPr>
          </w:p>
        </w:tc>
        <w:tc>
          <w:tcPr>
            <w:tcW w:w="567" w:type="dxa"/>
            <w:vMerge/>
            <w:noWrap/>
            <w:vAlign w:val="center"/>
            <w:hideMark/>
          </w:tcPr>
          <w:p w:rsidR="008043C4" w:rsidRPr="00523F39" w:rsidRDefault="008043C4" w:rsidP="009645A2">
            <w:pPr>
              <w:rPr>
                <w:rFonts w:cs="Times New Roman"/>
                <w:sz w:val="16"/>
                <w:szCs w:val="16"/>
              </w:rPr>
            </w:pPr>
          </w:p>
        </w:tc>
        <w:tc>
          <w:tcPr>
            <w:tcW w:w="567" w:type="dxa"/>
            <w:vMerge/>
            <w:noWrap/>
            <w:vAlign w:val="center"/>
            <w:hideMark/>
          </w:tcPr>
          <w:p w:rsidR="008043C4" w:rsidRPr="00523F39" w:rsidRDefault="008043C4" w:rsidP="009645A2">
            <w:pPr>
              <w:rPr>
                <w:rFonts w:cs="Times New Roman"/>
                <w:sz w:val="16"/>
                <w:szCs w:val="16"/>
              </w:rPr>
            </w:pPr>
          </w:p>
        </w:tc>
        <w:tc>
          <w:tcPr>
            <w:tcW w:w="1261" w:type="dxa"/>
            <w:vMerge/>
            <w:vAlign w:val="center"/>
            <w:hideMark/>
          </w:tcPr>
          <w:p w:rsidR="008043C4" w:rsidRPr="00523F39" w:rsidRDefault="008043C4" w:rsidP="009645A2">
            <w:pPr>
              <w:rPr>
                <w:rFonts w:cs="Times New Roman"/>
                <w:sz w:val="16"/>
                <w:szCs w:val="16"/>
              </w:rPr>
            </w:pPr>
          </w:p>
        </w:tc>
        <w:tc>
          <w:tcPr>
            <w:tcW w:w="709" w:type="dxa"/>
            <w:vMerge/>
            <w:noWrap/>
            <w:vAlign w:val="center"/>
            <w:hideMark/>
          </w:tcPr>
          <w:p w:rsidR="008043C4" w:rsidRPr="00523F39" w:rsidRDefault="008043C4" w:rsidP="009645A2">
            <w:pPr>
              <w:rPr>
                <w:rFonts w:cs="Times New Roman"/>
                <w:sz w:val="16"/>
                <w:szCs w:val="16"/>
              </w:rPr>
            </w:pPr>
          </w:p>
        </w:tc>
        <w:tc>
          <w:tcPr>
            <w:tcW w:w="587" w:type="dxa"/>
            <w:vMerge/>
            <w:noWrap/>
            <w:vAlign w:val="center"/>
            <w:hideMark/>
          </w:tcPr>
          <w:p w:rsidR="008043C4" w:rsidRPr="00523F39" w:rsidRDefault="008043C4" w:rsidP="009645A2">
            <w:pPr>
              <w:rPr>
                <w:rFonts w:cs="Times New Roman"/>
                <w:sz w:val="16"/>
                <w:szCs w:val="16"/>
              </w:rPr>
            </w:pPr>
          </w:p>
        </w:tc>
        <w:tc>
          <w:tcPr>
            <w:tcW w:w="689" w:type="dxa"/>
            <w:vMerge/>
            <w:noWrap/>
            <w:vAlign w:val="center"/>
            <w:hideMark/>
          </w:tcPr>
          <w:p w:rsidR="008043C4" w:rsidRPr="00523F39" w:rsidRDefault="008043C4" w:rsidP="009645A2">
            <w:pPr>
              <w:rPr>
                <w:rFonts w:cs="Times New Roman"/>
                <w:sz w:val="16"/>
                <w:szCs w:val="16"/>
              </w:rPr>
            </w:pPr>
          </w:p>
        </w:tc>
        <w:tc>
          <w:tcPr>
            <w:tcW w:w="870" w:type="dxa"/>
            <w:vMerge/>
            <w:vAlign w:val="center"/>
            <w:hideMark/>
          </w:tcPr>
          <w:p w:rsidR="008043C4" w:rsidRPr="00523F39" w:rsidRDefault="008043C4" w:rsidP="009645A2">
            <w:pPr>
              <w:rPr>
                <w:rFonts w:cs="Times New Roman"/>
                <w:sz w:val="16"/>
                <w:szCs w:val="16"/>
              </w:rPr>
            </w:pPr>
          </w:p>
        </w:tc>
        <w:tc>
          <w:tcPr>
            <w:tcW w:w="851" w:type="dxa"/>
            <w:vMerge/>
            <w:vAlign w:val="center"/>
            <w:hideMark/>
          </w:tcPr>
          <w:p w:rsidR="008043C4" w:rsidRPr="00523F39" w:rsidRDefault="008043C4" w:rsidP="009645A2">
            <w:pPr>
              <w:rPr>
                <w:rFonts w:cs="Times New Roman"/>
                <w:sz w:val="16"/>
                <w:szCs w:val="16"/>
              </w:rPr>
            </w:pPr>
          </w:p>
        </w:tc>
        <w:tc>
          <w:tcPr>
            <w:tcW w:w="709" w:type="dxa"/>
            <w:vMerge/>
            <w:vAlign w:val="center"/>
            <w:hideMark/>
          </w:tcPr>
          <w:p w:rsidR="008043C4" w:rsidRPr="00523F39" w:rsidRDefault="008043C4" w:rsidP="009645A2">
            <w:pPr>
              <w:rPr>
                <w:rFonts w:cs="Times New Roman"/>
                <w:sz w:val="16"/>
                <w:szCs w:val="16"/>
              </w:rPr>
            </w:pP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Plasma</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MRP 8/14</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ELISA</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Children with OSA exhibited  higher MRP 8/14 levels than controls</w:t>
            </w:r>
          </w:p>
        </w:tc>
        <w:tc>
          <w:tcPr>
            <w:tcW w:w="1559" w:type="dxa"/>
            <w:vMerge/>
            <w:vAlign w:val="center"/>
            <w:hideMark/>
          </w:tcPr>
          <w:p w:rsidR="008043C4" w:rsidRPr="00523F39" w:rsidRDefault="008043C4" w:rsidP="009645A2">
            <w:pPr>
              <w:rPr>
                <w:rFonts w:cs="Times New Roman"/>
                <w:sz w:val="16"/>
                <w:szCs w:val="16"/>
              </w:rPr>
            </w:pPr>
          </w:p>
        </w:tc>
      </w:tr>
      <w:tr w:rsidR="008043C4" w:rsidRPr="00523F39" w:rsidTr="009645A2">
        <w:trPr>
          <w:trHeight w:val="3423"/>
        </w:trPr>
        <w:tc>
          <w:tcPr>
            <w:tcW w:w="84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 xml:space="preserve">Kim  et al., 2016 </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Korea</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Pr>
                <w:rFonts w:cs="Times New Roman"/>
                <w:sz w:val="16"/>
                <w:szCs w:val="16"/>
              </w:rPr>
              <w:t xml:space="preserve">45.6 </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43</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34</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To search the predictive markers which reflect the burden of systemic oxidative stress in patients with OSA and whether excessive </w:t>
            </w:r>
            <w:r>
              <w:rPr>
                <w:rFonts w:cs="Times New Roman"/>
                <w:sz w:val="16"/>
                <w:szCs w:val="16"/>
              </w:rPr>
              <w:t>TL</w:t>
            </w:r>
            <w:r w:rsidRPr="00523F39">
              <w:rPr>
                <w:rFonts w:cs="Times New Roman"/>
                <w:sz w:val="16"/>
                <w:szCs w:val="16"/>
              </w:rPr>
              <w:t xml:space="preserve"> shortening is a characteristic feature that can assess oxidative stress levels.</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7</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Align w:val="center"/>
            <w:hideMark/>
          </w:tcPr>
          <w:p w:rsidR="008043C4" w:rsidRPr="00523F39" w:rsidRDefault="008043C4" w:rsidP="009645A2">
            <w:pPr>
              <w:rPr>
                <w:rFonts w:cs="Times New Roman"/>
                <w:sz w:val="16"/>
                <w:szCs w:val="16"/>
              </w:rPr>
            </w:pPr>
            <w:r>
              <w:rPr>
                <w:rFonts w:cs="Times New Roman"/>
                <w:sz w:val="16"/>
                <w:szCs w:val="16"/>
              </w:rPr>
              <w:t>RDI</w:t>
            </w:r>
            <w:r w:rsidRPr="00523F39">
              <w:rPr>
                <w:rFonts w:cs="Times New Roman"/>
                <w:sz w:val="16"/>
                <w:szCs w:val="16"/>
                <w:u w:val="single"/>
              </w:rPr>
              <w:t xml:space="preserve"> &gt;</w:t>
            </w:r>
            <w:r w:rsidRPr="00523F39">
              <w:rPr>
                <w:rFonts w:cs="Times New Roman"/>
                <w:sz w:val="16"/>
                <w:szCs w:val="16"/>
              </w:rPr>
              <w:t>5</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RDI&lt;5</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Leukocyte </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whole blood for TL, and Plasma for ROS</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r w:rsidRPr="00523F39">
              <w:rPr>
                <w:rFonts w:cs="Times New Roman"/>
                <w:sz w:val="16"/>
                <w:szCs w:val="16"/>
              </w:rPr>
              <w:t xml:space="preserve"> </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Significantly shortened telomere length was observed in the circulating leukocytes of the peripheral blood of OSA patients, and telomere length shortening was aggravated more acutely in an age- and BMI-dependent manner. </w:t>
            </w:r>
          </w:p>
        </w:tc>
        <w:tc>
          <w:tcPr>
            <w:tcW w:w="1559" w:type="dxa"/>
            <w:vMerge w:val="restart"/>
            <w:vAlign w:val="center"/>
            <w:hideMark/>
          </w:tcPr>
          <w:p w:rsidR="008043C4" w:rsidRPr="00523F39" w:rsidRDefault="008043C4" w:rsidP="009645A2">
            <w:pPr>
              <w:rPr>
                <w:rFonts w:cs="Times New Roman"/>
                <w:sz w:val="16"/>
                <w:szCs w:val="16"/>
              </w:rPr>
            </w:pPr>
            <w:r w:rsidRPr="00523F39">
              <w:rPr>
                <w:rFonts w:cs="Times New Roman"/>
                <w:sz w:val="16"/>
                <w:szCs w:val="16"/>
              </w:rPr>
              <w:t>The results provided evidence that telomere length shortening or excessive cellular aging might be distinctive in circulating leukocyte of OSA patients and may be an predictive biomarker for reflect the burden of oxidative stress in the peripheral blood of OSA patients.</w:t>
            </w:r>
          </w:p>
        </w:tc>
      </w:tr>
      <w:tr w:rsidR="008043C4" w:rsidRPr="00523F39" w:rsidTr="009645A2">
        <w:trPr>
          <w:trHeight w:val="3410"/>
        </w:trPr>
        <w:tc>
          <w:tcPr>
            <w:tcW w:w="846" w:type="dxa"/>
            <w:noWrap/>
            <w:vAlign w:val="center"/>
            <w:hideMark/>
          </w:tcPr>
          <w:p w:rsidR="008043C4" w:rsidRPr="00523F39" w:rsidRDefault="008043C4" w:rsidP="009645A2">
            <w:pPr>
              <w:rPr>
                <w:rFonts w:cs="Times New Roman"/>
                <w:sz w:val="16"/>
                <w:szCs w:val="16"/>
              </w:rPr>
            </w:pPr>
          </w:p>
        </w:tc>
        <w:tc>
          <w:tcPr>
            <w:tcW w:w="709" w:type="dxa"/>
            <w:noWrap/>
            <w:vAlign w:val="center"/>
            <w:hideMark/>
          </w:tcPr>
          <w:p w:rsidR="008043C4" w:rsidRPr="00523F39" w:rsidRDefault="008043C4" w:rsidP="009645A2">
            <w:pPr>
              <w:rPr>
                <w:rFonts w:cs="Times New Roman"/>
                <w:sz w:val="16"/>
                <w:szCs w:val="16"/>
              </w:rPr>
            </w:pPr>
          </w:p>
        </w:tc>
        <w:tc>
          <w:tcPr>
            <w:tcW w:w="586" w:type="dxa"/>
            <w:noWrap/>
            <w:vAlign w:val="center"/>
            <w:hideMark/>
          </w:tcPr>
          <w:p w:rsidR="008043C4" w:rsidRPr="00523F39" w:rsidRDefault="008043C4" w:rsidP="009645A2">
            <w:pPr>
              <w:rPr>
                <w:rFonts w:cs="Times New Roman"/>
                <w:sz w:val="16"/>
                <w:szCs w:val="16"/>
              </w:rPr>
            </w:pPr>
          </w:p>
        </w:tc>
        <w:tc>
          <w:tcPr>
            <w:tcW w:w="567" w:type="dxa"/>
            <w:vAlign w:val="center"/>
            <w:hideMark/>
          </w:tcPr>
          <w:p w:rsidR="008043C4" w:rsidRPr="00523F39" w:rsidRDefault="008043C4" w:rsidP="009645A2">
            <w:pPr>
              <w:rPr>
                <w:rFonts w:cs="Times New Roman"/>
                <w:sz w:val="16"/>
                <w:szCs w:val="16"/>
              </w:rPr>
            </w:pPr>
          </w:p>
        </w:tc>
        <w:tc>
          <w:tcPr>
            <w:tcW w:w="567" w:type="dxa"/>
            <w:noWrap/>
            <w:vAlign w:val="center"/>
            <w:hideMark/>
          </w:tcPr>
          <w:p w:rsidR="008043C4" w:rsidRPr="00523F39" w:rsidRDefault="008043C4" w:rsidP="009645A2">
            <w:pPr>
              <w:rPr>
                <w:rFonts w:cs="Times New Roman"/>
                <w:sz w:val="16"/>
                <w:szCs w:val="16"/>
              </w:rPr>
            </w:pPr>
          </w:p>
        </w:tc>
        <w:tc>
          <w:tcPr>
            <w:tcW w:w="567" w:type="dxa"/>
            <w:noWrap/>
            <w:vAlign w:val="center"/>
            <w:hideMark/>
          </w:tcPr>
          <w:p w:rsidR="008043C4" w:rsidRPr="00523F39" w:rsidRDefault="008043C4" w:rsidP="009645A2">
            <w:pPr>
              <w:rPr>
                <w:rFonts w:cs="Times New Roman"/>
                <w:sz w:val="16"/>
                <w:szCs w:val="16"/>
              </w:rPr>
            </w:pPr>
          </w:p>
        </w:tc>
        <w:tc>
          <w:tcPr>
            <w:tcW w:w="1261" w:type="dxa"/>
            <w:vAlign w:val="center"/>
            <w:hideMark/>
          </w:tcPr>
          <w:p w:rsidR="008043C4" w:rsidRPr="00523F39" w:rsidRDefault="008043C4" w:rsidP="009645A2">
            <w:pPr>
              <w:rPr>
                <w:rFonts w:cs="Times New Roman"/>
                <w:sz w:val="16"/>
                <w:szCs w:val="16"/>
              </w:rPr>
            </w:pPr>
          </w:p>
        </w:tc>
        <w:tc>
          <w:tcPr>
            <w:tcW w:w="709" w:type="dxa"/>
            <w:noWrap/>
            <w:vAlign w:val="center"/>
            <w:hideMark/>
          </w:tcPr>
          <w:p w:rsidR="008043C4" w:rsidRPr="00523F39" w:rsidRDefault="008043C4" w:rsidP="009645A2">
            <w:pPr>
              <w:rPr>
                <w:rFonts w:cs="Times New Roman"/>
                <w:sz w:val="16"/>
                <w:szCs w:val="16"/>
              </w:rPr>
            </w:pPr>
          </w:p>
        </w:tc>
        <w:tc>
          <w:tcPr>
            <w:tcW w:w="587" w:type="dxa"/>
            <w:noWrap/>
            <w:vAlign w:val="center"/>
            <w:hideMark/>
          </w:tcPr>
          <w:p w:rsidR="008043C4" w:rsidRPr="00523F39" w:rsidRDefault="008043C4" w:rsidP="009645A2">
            <w:pPr>
              <w:rPr>
                <w:rFonts w:cs="Times New Roman"/>
                <w:sz w:val="16"/>
                <w:szCs w:val="16"/>
              </w:rPr>
            </w:pPr>
          </w:p>
        </w:tc>
        <w:tc>
          <w:tcPr>
            <w:tcW w:w="689" w:type="dxa"/>
            <w:noWrap/>
            <w:vAlign w:val="center"/>
            <w:hideMark/>
          </w:tcPr>
          <w:p w:rsidR="008043C4" w:rsidRPr="00523F39" w:rsidRDefault="008043C4" w:rsidP="009645A2">
            <w:pPr>
              <w:rPr>
                <w:rFonts w:cs="Times New Roman"/>
                <w:sz w:val="16"/>
                <w:szCs w:val="16"/>
              </w:rPr>
            </w:pPr>
          </w:p>
        </w:tc>
        <w:tc>
          <w:tcPr>
            <w:tcW w:w="870" w:type="dxa"/>
            <w:vAlign w:val="center"/>
            <w:hideMark/>
          </w:tcPr>
          <w:p w:rsidR="008043C4" w:rsidRPr="00523F39" w:rsidRDefault="008043C4" w:rsidP="009645A2">
            <w:pPr>
              <w:rPr>
                <w:rFonts w:cs="Times New Roman"/>
                <w:sz w:val="16"/>
                <w:szCs w:val="16"/>
              </w:rPr>
            </w:pPr>
          </w:p>
        </w:tc>
        <w:tc>
          <w:tcPr>
            <w:tcW w:w="851" w:type="dxa"/>
            <w:noWrap/>
            <w:vAlign w:val="center"/>
            <w:hideMark/>
          </w:tcPr>
          <w:p w:rsidR="008043C4" w:rsidRPr="00523F39" w:rsidRDefault="008043C4" w:rsidP="009645A2">
            <w:pPr>
              <w:rPr>
                <w:rFonts w:cs="Times New Roman"/>
                <w:sz w:val="16"/>
                <w:szCs w:val="16"/>
              </w:rPr>
            </w:pPr>
          </w:p>
        </w:tc>
        <w:tc>
          <w:tcPr>
            <w:tcW w:w="709" w:type="dxa"/>
            <w:vAlign w:val="center"/>
            <w:hideMark/>
          </w:tcPr>
          <w:p w:rsidR="008043C4" w:rsidRPr="00523F39" w:rsidRDefault="008043C4" w:rsidP="009645A2">
            <w:pPr>
              <w:rPr>
                <w:rFonts w:cs="Times New Roman"/>
                <w:sz w:val="16"/>
                <w:szCs w:val="16"/>
              </w:rPr>
            </w:pPr>
          </w:p>
        </w:tc>
        <w:tc>
          <w:tcPr>
            <w:tcW w:w="708" w:type="dxa"/>
            <w:vAlign w:val="center"/>
            <w:hideMark/>
          </w:tcPr>
          <w:p w:rsidR="008043C4" w:rsidRPr="00523F39" w:rsidRDefault="008043C4" w:rsidP="009645A2">
            <w:pPr>
              <w:rPr>
                <w:rFonts w:cs="Times New Roman"/>
                <w:sz w:val="16"/>
                <w:szCs w:val="16"/>
              </w:rPr>
            </w:pP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ROS</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ELISA</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Pla</w:t>
            </w:r>
            <w:r>
              <w:rPr>
                <w:rFonts w:cs="Times New Roman"/>
                <w:sz w:val="16"/>
                <w:szCs w:val="16"/>
              </w:rPr>
              <w:t>s</w:t>
            </w:r>
            <w:r w:rsidRPr="00523F39">
              <w:rPr>
                <w:rFonts w:cs="Times New Roman"/>
                <w:sz w:val="16"/>
                <w:szCs w:val="16"/>
              </w:rPr>
              <w:t>ma concentration of hydrogen peroxide was considerably higher in OSA patients, and that this was closely related with the severity of OSA. An inverse correlation was observed between the concentration of hydrogen peroxide and the telomere length of OSA patients and excessive telomere length shortening was linked to severity of OSA.</w:t>
            </w:r>
          </w:p>
        </w:tc>
        <w:tc>
          <w:tcPr>
            <w:tcW w:w="1559" w:type="dxa"/>
            <w:vMerge/>
            <w:vAlign w:val="center"/>
            <w:hideMark/>
          </w:tcPr>
          <w:p w:rsidR="008043C4" w:rsidRPr="00523F39" w:rsidRDefault="008043C4" w:rsidP="009645A2">
            <w:pPr>
              <w:rPr>
                <w:rFonts w:cs="Times New Roman"/>
                <w:sz w:val="16"/>
                <w:szCs w:val="16"/>
              </w:rPr>
            </w:pPr>
          </w:p>
        </w:tc>
      </w:tr>
      <w:tr w:rsidR="008043C4" w:rsidRPr="00523F39" w:rsidTr="009645A2">
        <w:trPr>
          <w:trHeight w:val="2678"/>
        </w:trPr>
        <w:tc>
          <w:tcPr>
            <w:tcW w:w="84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Kwon et al., 2015</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Korea</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58.9 </w:t>
            </w:r>
            <w:proofErr w:type="spellStart"/>
            <w:r w:rsidRPr="00523F39">
              <w:rPr>
                <w:rFonts w:cs="Times New Roman"/>
                <w:sz w:val="16"/>
                <w:szCs w:val="16"/>
              </w:rPr>
              <w:t>yrs</w:t>
            </w:r>
            <w:proofErr w:type="spellEnd"/>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381</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NA</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to examine the objective</w:t>
            </w:r>
            <w:r w:rsidRPr="00523F39">
              <w:rPr>
                <w:rFonts w:cs="Times New Roman"/>
                <w:sz w:val="16"/>
                <w:szCs w:val="16"/>
              </w:rPr>
              <w:br/>
              <w:t>association between sleep stability and leukocyte telomere</w:t>
            </w:r>
            <w:r w:rsidRPr="00523F39">
              <w:rPr>
                <w:rFonts w:cs="Times New Roman"/>
                <w:sz w:val="16"/>
                <w:szCs w:val="16"/>
              </w:rPr>
              <w:br/>
              <w:t>lengths</w:t>
            </w:r>
          </w:p>
        </w:tc>
        <w:tc>
          <w:tcPr>
            <w:tcW w:w="709" w:type="dxa"/>
            <w:noWrap/>
            <w:vAlign w:val="center"/>
            <w:hideMark/>
          </w:tcPr>
          <w:p w:rsidR="008043C4" w:rsidRPr="00523F39" w:rsidRDefault="008043C4" w:rsidP="00386DF9">
            <w:pPr>
              <w:rPr>
                <w:rFonts w:cs="Times New Roman"/>
                <w:sz w:val="16"/>
                <w:szCs w:val="16"/>
              </w:rPr>
            </w:pPr>
            <w:r w:rsidRPr="00523F39">
              <w:rPr>
                <w:rFonts w:cs="Times New Roman"/>
                <w:sz w:val="16"/>
                <w:szCs w:val="16"/>
              </w:rPr>
              <w:t xml:space="preserve">Cohort </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9</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AHI  ≥ 5 </w:t>
            </w:r>
            <w:r>
              <w:rPr>
                <w:rFonts w:cs="Times New Roman"/>
                <w:sz w:val="16"/>
                <w:szCs w:val="16"/>
              </w:rPr>
              <w:t xml:space="preserve"> </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AHI &lt; 5</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Sleep stability significantly reduced with shortened LTL in OSA patients.</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The present study suggested that shorter LTL might contribute to reduced sleep stability by interacting with OSA severity due to the stress of chronic sleep fragmentation or invariant </w:t>
            </w:r>
            <w:proofErr w:type="spellStart"/>
            <w:r w:rsidRPr="00523F39">
              <w:rPr>
                <w:rFonts w:cs="Times New Roman"/>
                <w:sz w:val="16"/>
                <w:szCs w:val="16"/>
              </w:rPr>
              <w:t>ympathetic</w:t>
            </w:r>
            <w:proofErr w:type="spellEnd"/>
            <w:r w:rsidRPr="00523F39">
              <w:rPr>
                <w:rFonts w:cs="Times New Roman"/>
                <w:sz w:val="16"/>
                <w:szCs w:val="16"/>
              </w:rPr>
              <w:t xml:space="preserve"> activity by respiratory </w:t>
            </w:r>
            <w:proofErr w:type="spellStart"/>
            <w:r w:rsidRPr="00523F39">
              <w:rPr>
                <w:rFonts w:cs="Times New Roman"/>
                <w:sz w:val="16"/>
                <w:szCs w:val="16"/>
              </w:rPr>
              <w:t>chemoreflex</w:t>
            </w:r>
            <w:proofErr w:type="spellEnd"/>
            <w:r w:rsidRPr="00523F39">
              <w:rPr>
                <w:rFonts w:cs="Times New Roman"/>
                <w:sz w:val="16"/>
                <w:szCs w:val="16"/>
              </w:rPr>
              <w:t xml:space="preserve"> activation.</w:t>
            </w:r>
          </w:p>
        </w:tc>
      </w:tr>
      <w:tr w:rsidR="008043C4" w:rsidRPr="00523F39" w:rsidTr="009645A2">
        <w:trPr>
          <w:trHeight w:val="2259"/>
        </w:trPr>
        <w:tc>
          <w:tcPr>
            <w:tcW w:w="846" w:type="dxa"/>
            <w:noWrap/>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Polens</w:t>
            </w:r>
            <w:proofErr w:type="spellEnd"/>
            <w:r w:rsidRPr="00523F39">
              <w:rPr>
                <w:rFonts w:cs="Times New Roman"/>
                <w:sz w:val="16"/>
                <w:szCs w:val="16"/>
              </w:rPr>
              <w:t xml:space="preserve"> et al.,2019</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USA</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35.6 (cases) and 47.3 (controls)</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73</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88</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To</w:t>
            </w:r>
            <w:r>
              <w:rPr>
                <w:rFonts w:cs="Times New Roman"/>
                <w:sz w:val="16"/>
                <w:szCs w:val="16"/>
              </w:rPr>
              <w:t xml:space="preserve"> </w:t>
            </w:r>
            <w:r w:rsidRPr="00523F39">
              <w:rPr>
                <w:rFonts w:cs="Times New Roman"/>
                <w:sz w:val="16"/>
                <w:szCs w:val="16"/>
              </w:rPr>
              <w:t>investigated the association between TL and risk o</w:t>
            </w:r>
            <w:r>
              <w:rPr>
                <w:rFonts w:cs="Times New Roman"/>
                <w:sz w:val="16"/>
                <w:szCs w:val="16"/>
              </w:rPr>
              <w:t>f MACE</w:t>
            </w:r>
            <w:r w:rsidRPr="00523F39">
              <w:rPr>
                <w:rFonts w:cs="Times New Roman"/>
                <w:sz w:val="16"/>
                <w:szCs w:val="16"/>
              </w:rPr>
              <w:t xml:space="preserve"> and cancer in OSA patients.</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8</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AHI </w:t>
            </w:r>
            <w:r w:rsidRPr="00523F39">
              <w:rPr>
                <w:rFonts w:cs="Times New Roman"/>
                <w:sz w:val="16"/>
                <w:szCs w:val="16"/>
                <w:u w:val="single"/>
              </w:rPr>
              <w:t>&gt;</w:t>
            </w:r>
            <w:r w:rsidRPr="00523F39">
              <w:rPr>
                <w:rFonts w:cs="Times New Roman"/>
                <w:sz w:val="16"/>
                <w:szCs w:val="16"/>
              </w:rPr>
              <w:t>5</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AHI &lt; 5</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The OSA group had a higher likelihood of cancer but no clear evidence of an elevated incidence of MACE compared to the non-OSA group. There was no association between TL and MACE or cancer-risk.</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Our study warrants further investigation of any modulating </w:t>
            </w:r>
            <w:proofErr w:type="spellStart"/>
            <w:r w:rsidRPr="00523F39">
              <w:rPr>
                <w:rFonts w:cs="Times New Roman"/>
                <w:sz w:val="16"/>
                <w:szCs w:val="16"/>
              </w:rPr>
              <w:t>efect</w:t>
            </w:r>
            <w:proofErr w:type="spellEnd"/>
            <w:r w:rsidRPr="00523F39">
              <w:rPr>
                <w:rFonts w:cs="Times New Roman"/>
                <w:sz w:val="16"/>
                <w:szCs w:val="16"/>
              </w:rPr>
              <w:t xml:space="preserve"> of OSA on TL and the risk of MACE and cancer.</w:t>
            </w:r>
          </w:p>
        </w:tc>
      </w:tr>
      <w:tr w:rsidR="008043C4" w:rsidRPr="00523F39" w:rsidTr="009645A2">
        <w:trPr>
          <w:trHeight w:val="2967"/>
        </w:trPr>
        <w:tc>
          <w:tcPr>
            <w:tcW w:w="846" w:type="dxa"/>
            <w:noWrap/>
            <w:vAlign w:val="center"/>
            <w:hideMark/>
          </w:tcPr>
          <w:p w:rsidR="008043C4" w:rsidRPr="00523F39" w:rsidRDefault="008043C4" w:rsidP="009645A2">
            <w:pPr>
              <w:rPr>
                <w:rFonts w:cs="Times New Roman"/>
                <w:sz w:val="16"/>
                <w:szCs w:val="16"/>
              </w:rPr>
            </w:pPr>
            <w:r w:rsidRPr="00523F39">
              <w:rPr>
                <w:rFonts w:cs="Times New Roman"/>
                <w:sz w:val="16"/>
                <w:szCs w:val="16"/>
              </w:rPr>
              <w:lastRenderedPageBreak/>
              <w:t xml:space="preserve">Polonis et al., 2017 </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USA</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27-57</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106</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104</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To assess the association </w:t>
            </w:r>
            <w:proofErr w:type="spellStart"/>
            <w:r w:rsidRPr="00523F39">
              <w:rPr>
                <w:rFonts w:cs="Times New Roman"/>
                <w:sz w:val="16"/>
                <w:szCs w:val="16"/>
              </w:rPr>
              <w:t>beteween</w:t>
            </w:r>
            <w:proofErr w:type="spellEnd"/>
            <w:r w:rsidRPr="00523F39">
              <w:rPr>
                <w:rFonts w:cs="Times New Roman"/>
                <w:sz w:val="16"/>
                <w:szCs w:val="16"/>
              </w:rPr>
              <w:t xml:space="preserve">  OSA and  telomere length</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7</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AHI ≥ 5</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AHI &lt;5</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There was no difference in telomere</w:t>
            </w:r>
            <w:r w:rsidRPr="00523F39">
              <w:rPr>
                <w:rFonts w:cs="Times New Roman"/>
                <w:sz w:val="16"/>
                <w:szCs w:val="16"/>
              </w:rPr>
              <w:br/>
              <w:t xml:space="preserve">length between OSA and </w:t>
            </w:r>
            <w:r>
              <w:rPr>
                <w:rFonts w:cs="Times New Roman"/>
                <w:sz w:val="16"/>
                <w:szCs w:val="16"/>
              </w:rPr>
              <w:t>control</w:t>
            </w:r>
            <w:r w:rsidRPr="00523F39">
              <w:rPr>
                <w:rFonts w:cs="Times New Roman"/>
                <w:sz w:val="16"/>
                <w:szCs w:val="16"/>
              </w:rPr>
              <w:t xml:space="preserve"> group. The mean TL in moderate-to-severe OSA was significantly longer than in control group after adjustment for age, sex, BMI, hypertension, dyslipidemia and depression.</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Moderate-to-severe OSA is associated with telomere lengthening.</w:t>
            </w:r>
            <w:r>
              <w:rPr>
                <w:rFonts w:cs="Times New Roman"/>
                <w:sz w:val="16"/>
                <w:szCs w:val="16"/>
              </w:rPr>
              <w:t xml:space="preserve"> These</w:t>
            </w:r>
            <w:r w:rsidRPr="00523F39">
              <w:rPr>
                <w:rFonts w:cs="Times New Roman"/>
                <w:sz w:val="16"/>
                <w:szCs w:val="16"/>
              </w:rPr>
              <w:t xml:space="preserve"> </w:t>
            </w:r>
            <w:proofErr w:type="gramStart"/>
            <w:r w:rsidRPr="00523F39">
              <w:rPr>
                <w:rFonts w:cs="Times New Roman"/>
                <w:sz w:val="16"/>
                <w:szCs w:val="16"/>
              </w:rPr>
              <w:t>findings  support</w:t>
            </w:r>
            <w:proofErr w:type="gramEnd"/>
            <w:r w:rsidRPr="00523F39">
              <w:rPr>
                <w:rFonts w:cs="Times New Roman"/>
                <w:sz w:val="16"/>
                <w:szCs w:val="16"/>
              </w:rPr>
              <w:t xml:space="preserve"> the idea that changes in TL are not unidirectional processes such that telomere shortening occurs with age and disease, but may be prolonged in moderate-to-severe OSA.</w:t>
            </w:r>
          </w:p>
        </w:tc>
      </w:tr>
      <w:tr w:rsidR="008043C4" w:rsidRPr="00523F39" w:rsidTr="009645A2">
        <w:trPr>
          <w:trHeight w:val="2387"/>
        </w:trPr>
        <w:tc>
          <w:tcPr>
            <w:tcW w:w="846" w:type="dxa"/>
            <w:noWrap/>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Riestra</w:t>
            </w:r>
            <w:proofErr w:type="spellEnd"/>
            <w:r w:rsidRPr="00523F39">
              <w:rPr>
                <w:rFonts w:cs="Times New Roman"/>
                <w:sz w:val="16"/>
                <w:szCs w:val="16"/>
              </w:rPr>
              <w:t xml:space="preserve"> et al., 2017</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USA</w:t>
            </w:r>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30-55</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35</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87</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To explore the associations between the risk of OSA and telomere length in African Americans.</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9</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High risk of having OSA if scores were positive for two or more of the three categories by Berlin questionnaire. </w:t>
            </w:r>
          </w:p>
        </w:tc>
        <w:tc>
          <w:tcPr>
            <w:tcW w:w="851"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Patients who scored positively on less than two categories were identified </w:t>
            </w:r>
            <w:proofErr w:type="gramStart"/>
            <w:r w:rsidRPr="00523F39">
              <w:rPr>
                <w:rFonts w:cs="Times New Roman"/>
                <w:sz w:val="16"/>
                <w:szCs w:val="16"/>
              </w:rPr>
              <w:t>as  low</w:t>
            </w:r>
            <w:proofErr w:type="gramEnd"/>
            <w:r w:rsidRPr="00523F39">
              <w:rPr>
                <w:rFonts w:cs="Times New Roman"/>
                <w:sz w:val="16"/>
                <w:szCs w:val="16"/>
              </w:rPr>
              <w:t xml:space="preserve"> risk of having OSA.</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We observed that LTL varied by OSA risk in women. Multiple linear regression analysis confirmed that women at higher risk for OSA presented shorter LTL compared to those at lower risk. These differences were not observed in men.</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These findings suggest that OSA risk may contribute</w:t>
            </w:r>
            <w:r w:rsidRPr="00523F39">
              <w:rPr>
                <w:rFonts w:cs="Times New Roman"/>
                <w:sz w:val="16"/>
                <w:szCs w:val="16"/>
              </w:rPr>
              <w:br/>
              <w:t>to the acceleration of cellular aging processes through</w:t>
            </w:r>
            <w:r w:rsidRPr="00523F39">
              <w:rPr>
                <w:rFonts w:cs="Times New Roman"/>
                <w:sz w:val="16"/>
                <w:szCs w:val="16"/>
              </w:rPr>
              <w:br/>
              <w:t>telomere shortening.</w:t>
            </w:r>
          </w:p>
        </w:tc>
      </w:tr>
      <w:tr w:rsidR="008043C4" w:rsidRPr="00523F39" w:rsidTr="009645A2">
        <w:trPr>
          <w:trHeight w:val="1760"/>
        </w:trPr>
        <w:tc>
          <w:tcPr>
            <w:tcW w:w="846" w:type="dxa"/>
            <w:noWrap/>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Tempaku</w:t>
            </w:r>
            <w:proofErr w:type="spellEnd"/>
            <w:r w:rsidRPr="00523F39">
              <w:rPr>
                <w:rFonts w:cs="Times New Roman"/>
                <w:sz w:val="16"/>
                <w:szCs w:val="16"/>
              </w:rPr>
              <w:t xml:space="preserve"> et al., 2016 </w:t>
            </w:r>
          </w:p>
        </w:tc>
        <w:tc>
          <w:tcPr>
            <w:tcW w:w="709" w:type="dxa"/>
            <w:noWrap/>
            <w:vAlign w:val="center"/>
            <w:hideMark/>
          </w:tcPr>
          <w:p w:rsidR="008043C4" w:rsidRPr="00523F39" w:rsidRDefault="008043C4" w:rsidP="009645A2">
            <w:pPr>
              <w:rPr>
                <w:rFonts w:cs="Times New Roman"/>
                <w:sz w:val="16"/>
                <w:szCs w:val="16"/>
              </w:rPr>
            </w:pPr>
            <w:proofErr w:type="spellStart"/>
            <w:r w:rsidRPr="00523F39">
              <w:rPr>
                <w:rFonts w:cs="Times New Roman"/>
                <w:sz w:val="16"/>
                <w:szCs w:val="16"/>
              </w:rPr>
              <w:t>Brasil</w:t>
            </w:r>
            <w:proofErr w:type="spellEnd"/>
          </w:p>
        </w:tc>
        <w:tc>
          <w:tcPr>
            <w:tcW w:w="586" w:type="dxa"/>
            <w:noWrap/>
            <w:vAlign w:val="center"/>
            <w:hideMark/>
          </w:tcPr>
          <w:p w:rsidR="008043C4" w:rsidRPr="00523F39" w:rsidRDefault="008043C4" w:rsidP="009645A2">
            <w:pPr>
              <w:rPr>
                <w:rFonts w:cs="Times New Roman"/>
                <w:sz w:val="16"/>
                <w:szCs w:val="16"/>
              </w:rPr>
            </w:pPr>
            <w:r w:rsidRPr="00523F39">
              <w:rPr>
                <w:rFonts w:cs="Times New Roman"/>
                <w:sz w:val="16"/>
                <w:szCs w:val="16"/>
              </w:rPr>
              <w:t>SA</w:t>
            </w:r>
          </w:p>
        </w:tc>
        <w:tc>
          <w:tcPr>
            <w:tcW w:w="567" w:type="dxa"/>
            <w:vAlign w:val="center"/>
            <w:hideMark/>
          </w:tcPr>
          <w:p w:rsidR="008043C4" w:rsidRPr="00523F39" w:rsidRDefault="008043C4" w:rsidP="009645A2">
            <w:pPr>
              <w:rPr>
                <w:rFonts w:cs="Times New Roman"/>
                <w:sz w:val="16"/>
                <w:szCs w:val="16"/>
              </w:rPr>
            </w:pPr>
            <w:r w:rsidRPr="00523F39">
              <w:rPr>
                <w:rFonts w:cs="Times New Roman"/>
                <w:sz w:val="16"/>
                <w:szCs w:val="16"/>
              </w:rPr>
              <w:t>20-80</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315</w:t>
            </w:r>
          </w:p>
        </w:tc>
        <w:tc>
          <w:tcPr>
            <w:tcW w:w="56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613</w:t>
            </w:r>
          </w:p>
        </w:tc>
        <w:tc>
          <w:tcPr>
            <w:tcW w:w="1261" w:type="dxa"/>
            <w:vAlign w:val="center"/>
            <w:hideMark/>
          </w:tcPr>
          <w:p w:rsidR="008043C4" w:rsidRPr="00523F39" w:rsidRDefault="008043C4" w:rsidP="009645A2">
            <w:pPr>
              <w:rPr>
                <w:rFonts w:cs="Times New Roman"/>
                <w:sz w:val="16"/>
                <w:szCs w:val="16"/>
              </w:rPr>
            </w:pPr>
            <w:r w:rsidRPr="00523F39">
              <w:rPr>
                <w:rFonts w:cs="Times New Roman"/>
                <w:sz w:val="16"/>
                <w:szCs w:val="16"/>
              </w:rPr>
              <w:t>To compare</w:t>
            </w:r>
            <w:r>
              <w:rPr>
                <w:rFonts w:cs="Times New Roman"/>
                <w:sz w:val="16"/>
                <w:szCs w:val="16"/>
              </w:rPr>
              <w:t xml:space="preserve"> the LTL</w:t>
            </w:r>
            <w:r w:rsidRPr="00523F39">
              <w:rPr>
                <w:rFonts w:cs="Times New Roman"/>
                <w:sz w:val="16"/>
                <w:szCs w:val="16"/>
              </w:rPr>
              <w:t xml:space="preserve"> between OSAS patients and controls, as well as to verify the correlation between LTL and sleep parameters.</w:t>
            </w:r>
          </w:p>
        </w:tc>
        <w:tc>
          <w:tcPr>
            <w:tcW w:w="70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case-control</w:t>
            </w:r>
          </w:p>
        </w:tc>
        <w:tc>
          <w:tcPr>
            <w:tcW w:w="587" w:type="dxa"/>
            <w:noWrap/>
            <w:vAlign w:val="center"/>
            <w:hideMark/>
          </w:tcPr>
          <w:p w:rsidR="008043C4" w:rsidRPr="00523F39" w:rsidRDefault="008043C4" w:rsidP="009645A2">
            <w:pPr>
              <w:rPr>
                <w:rFonts w:cs="Times New Roman"/>
                <w:sz w:val="16"/>
                <w:szCs w:val="16"/>
              </w:rPr>
            </w:pPr>
            <w:r w:rsidRPr="00523F39">
              <w:rPr>
                <w:rFonts w:cs="Times New Roman"/>
                <w:sz w:val="16"/>
                <w:szCs w:val="16"/>
              </w:rPr>
              <w:t>8</w:t>
            </w:r>
          </w:p>
        </w:tc>
        <w:tc>
          <w:tcPr>
            <w:tcW w:w="689" w:type="dxa"/>
            <w:noWrap/>
            <w:vAlign w:val="center"/>
            <w:hideMark/>
          </w:tcPr>
          <w:p w:rsidR="008043C4" w:rsidRPr="00523F39" w:rsidRDefault="008043C4" w:rsidP="009645A2">
            <w:pPr>
              <w:rPr>
                <w:rFonts w:cs="Times New Roman"/>
                <w:sz w:val="16"/>
                <w:szCs w:val="16"/>
              </w:rPr>
            </w:pPr>
            <w:r w:rsidRPr="00523F39">
              <w:rPr>
                <w:rFonts w:cs="Times New Roman"/>
                <w:sz w:val="16"/>
                <w:szCs w:val="16"/>
              </w:rPr>
              <w:t>OSAS</w:t>
            </w:r>
          </w:p>
        </w:tc>
        <w:tc>
          <w:tcPr>
            <w:tcW w:w="870" w:type="dxa"/>
            <w:vAlign w:val="center"/>
            <w:hideMark/>
          </w:tcPr>
          <w:p w:rsidR="008043C4" w:rsidRPr="00523F39" w:rsidRDefault="008043C4" w:rsidP="009645A2">
            <w:pPr>
              <w:rPr>
                <w:rFonts w:cs="Times New Roman"/>
                <w:sz w:val="16"/>
                <w:szCs w:val="16"/>
              </w:rPr>
            </w:pPr>
            <w:r w:rsidRPr="00523F39">
              <w:rPr>
                <w:rFonts w:cs="Times New Roman"/>
                <w:sz w:val="16"/>
                <w:szCs w:val="16"/>
              </w:rPr>
              <w:t xml:space="preserve">AHI </w:t>
            </w:r>
            <w:r w:rsidRPr="00523F39">
              <w:rPr>
                <w:rFonts w:cs="Times New Roman"/>
                <w:sz w:val="16"/>
                <w:szCs w:val="16"/>
                <w:u w:val="single"/>
              </w:rPr>
              <w:t>&gt;</w:t>
            </w:r>
            <w:r w:rsidRPr="00523F39">
              <w:rPr>
                <w:rFonts w:cs="Times New Roman"/>
                <w:sz w:val="16"/>
                <w:szCs w:val="16"/>
              </w:rPr>
              <w:t xml:space="preserve"> 5</w:t>
            </w:r>
          </w:p>
        </w:tc>
        <w:tc>
          <w:tcPr>
            <w:tcW w:w="851" w:type="dxa"/>
            <w:noWrap/>
            <w:vAlign w:val="center"/>
            <w:hideMark/>
          </w:tcPr>
          <w:p w:rsidR="008043C4" w:rsidRPr="00523F39" w:rsidRDefault="008043C4" w:rsidP="009645A2">
            <w:pPr>
              <w:rPr>
                <w:rFonts w:cs="Times New Roman"/>
                <w:sz w:val="16"/>
                <w:szCs w:val="16"/>
              </w:rPr>
            </w:pPr>
            <w:r w:rsidRPr="00523F39">
              <w:rPr>
                <w:rFonts w:cs="Times New Roman"/>
                <w:sz w:val="16"/>
                <w:szCs w:val="16"/>
              </w:rPr>
              <w:t>AHI &lt; 5</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Leukocyte</w:t>
            </w:r>
          </w:p>
        </w:tc>
        <w:tc>
          <w:tcPr>
            <w:tcW w:w="708" w:type="dxa"/>
            <w:vAlign w:val="center"/>
            <w:hideMark/>
          </w:tcPr>
          <w:p w:rsidR="008043C4" w:rsidRPr="00523F39" w:rsidRDefault="008043C4" w:rsidP="009645A2">
            <w:pPr>
              <w:rPr>
                <w:rFonts w:cs="Times New Roman"/>
                <w:sz w:val="16"/>
                <w:szCs w:val="16"/>
              </w:rPr>
            </w:pPr>
            <w:r w:rsidRPr="00523F39">
              <w:rPr>
                <w:rFonts w:cs="Times New Roman"/>
                <w:sz w:val="16"/>
                <w:szCs w:val="16"/>
              </w:rPr>
              <w:t>blood</w:t>
            </w:r>
          </w:p>
        </w:tc>
        <w:tc>
          <w:tcPr>
            <w:tcW w:w="709" w:type="dxa"/>
            <w:vAlign w:val="center"/>
            <w:hideMark/>
          </w:tcPr>
          <w:p w:rsidR="008043C4" w:rsidRPr="00523F39" w:rsidRDefault="008043C4" w:rsidP="009645A2">
            <w:pPr>
              <w:rPr>
                <w:rFonts w:cs="Times New Roman"/>
                <w:sz w:val="16"/>
                <w:szCs w:val="16"/>
              </w:rPr>
            </w:pPr>
            <w:r>
              <w:rPr>
                <w:rFonts w:cs="Times New Roman"/>
                <w:sz w:val="16"/>
                <w:szCs w:val="16"/>
              </w:rPr>
              <w:t>LTL</w:t>
            </w:r>
          </w:p>
        </w:tc>
        <w:tc>
          <w:tcPr>
            <w:tcW w:w="709" w:type="dxa"/>
            <w:vAlign w:val="center"/>
            <w:hideMark/>
          </w:tcPr>
          <w:p w:rsidR="008043C4" w:rsidRPr="00523F39" w:rsidRDefault="008043C4" w:rsidP="009645A2">
            <w:pPr>
              <w:rPr>
                <w:rFonts w:cs="Times New Roman"/>
                <w:sz w:val="16"/>
                <w:szCs w:val="16"/>
              </w:rPr>
            </w:pPr>
            <w:r w:rsidRPr="00523F39">
              <w:rPr>
                <w:rFonts w:cs="Times New Roman"/>
                <w:sz w:val="16"/>
                <w:szCs w:val="16"/>
              </w:rPr>
              <w:t>qPCR</w:t>
            </w:r>
          </w:p>
        </w:tc>
        <w:tc>
          <w:tcPr>
            <w:tcW w:w="1707" w:type="dxa"/>
            <w:vAlign w:val="center"/>
            <w:hideMark/>
          </w:tcPr>
          <w:p w:rsidR="008043C4" w:rsidRPr="00523F39" w:rsidRDefault="008043C4" w:rsidP="009645A2">
            <w:pPr>
              <w:rPr>
                <w:rFonts w:cs="Times New Roman"/>
                <w:sz w:val="16"/>
                <w:szCs w:val="16"/>
              </w:rPr>
            </w:pPr>
            <w:r w:rsidRPr="00523F39">
              <w:rPr>
                <w:rFonts w:cs="Times New Roman"/>
                <w:sz w:val="16"/>
                <w:szCs w:val="16"/>
              </w:rPr>
              <w:t>LTL was significantly shorter in OSAS</w:t>
            </w:r>
            <w:r w:rsidRPr="00523F39">
              <w:rPr>
                <w:rFonts w:cs="Times New Roman"/>
                <w:sz w:val="16"/>
                <w:szCs w:val="16"/>
              </w:rPr>
              <w:br/>
              <w:t>patients compared to controls.</w:t>
            </w:r>
          </w:p>
        </w:tc>
        <w:tc>
          <w:tcPr>
            <w:tcW w:w="1559" w:type="dxa"/>
            <w:vAlign w:val="center"/>
            <w:hideMark/>
          </w:tcPr>
          <w:p w:rsidR="008043C4" w:rsidRPr="00523F39" w:rsidRDefault="008043C4" w:rsidP="009645A2">
            <w:pPr>
              <w:rPr>
                <w:rFonts w:cs="Times New Roman"/>
                <w:sz w:val="16"/>
                <w:szCs w:val="16"/>
              </w:rPr>
            </w:pPr>
            <w:r w:rsidRPr="00523F39">
              <w:rPr>
                <w:rFonts w:cs="Times New Roman"/>
                <w:sz w:val="16"/>
                <w:szCs w:val="16"/>
              </w:rPr>
              <w:t>The study indicates the presence of an association between</w:t>
            </w:r>
            <w:r w:rsidRPr="00523F39">
              <w:rPr>
                <w:rFonts w:cs="Times New Roman"/>
                <w:sz w:val="16"/>
                <w:szCs w:val="16"/>
              </w:rPr>
              <w:br/>
              <w:t>LTL and OSAS and a significant impact of severity of OSAS in telomeres shortening.</w:t>
            </w:r>
          </w:p>
        </w:tc>
      </w:tr>
    </w:tbl>
    <w:p w:rsidR="008043C4" w:rsidRDefault="008043C4" w:rsidP="008043C4">
      <w:pPr>
        <w:pStyle w:val="MDPI31text"/>
        <w:ind w:left="0" w:firstLine="0"/>
        <w:rPr>
          <w:rFonts w:ascii="Times New Roman" w:hAnsi="Times New Roman"/>
          <w:sz w:val="22"/>
        </w:rPr>
      </w:pPr>
    </w:p>
    <w:p w:rsidR="008043C4" w:rsidRDefault="008043C4" w:rsidP="008043C4">
      <w:pPr>
        <w:pStyle w:val="MDPI31text"/>
        <w:ind w:left="0" w:firstLine="0"/>
        <w:rPr>
          <w:rFonts w:ascii="Times New Roman" w:hAnsi="Times New Roman"/>
          <w:sz w:val="22"/>
        </w:rPr>
      </w:pPr>
      <w:r w:rsidRPr="006564F5">
        <w:rPr>
          <w:rFonts w:ascii="Times New Roman" w:hAnsi="Times New Roman"/>
          <w:sz w:val="22"/>
        </w:rPr>
        <w:t xml:space="preserve"># =Total quality score out of 9 for cohort/case-control and out of 7 for cross-sectional; SA= sleep apnea; OSA= obstructive sleep apnea; TL=Telomere length; LTL=Leukocyte telomere length; </w:t>
      </w:r>
      <w:r w:rsidRPr="000320E7">
        <w:rPr>
          <w:rFonts w:ascii="Times New Roman" w:hAnsi="Times New Roman"/>
          <w:sz w:val="22"/>
        </w:rPr>
        <w:t>AHI= apnea–hypopnea index</w:t>
      </w:r>
      <w:r>
        <w:rPr>
          <w:rFonts w:ascii="Times New Roman" w:hAnsi="Times New Roman"/>
          <w:sz w:val="22"/>
        </w:rPr>
        <w:t>;</w:t>
      </w:r>
      <w:r w:rsidRPr="006564F5">
        <w:rPr>
          <w:rFonts w:ascii="Times New Roman" w:hAnsi="Times New Roman"/>
          <w:sz w:val="22"/>
        </w:rPr>
        <w:t xml:space="preserve"> </w:t>
      </w:r>
      <w:r w:rsidRPr="00C81FD0">
        <w:rPr>
          <w:rFonts w:ascii="Times New Roman" w:hAnsi="Times New Roman"/>
          <w:sz w:val="22"/>
        </w:rPr>
        <w:t>RDI= respiratory disturbance index;</w:t>
      </w:r>
      <w:r>
        <w:rPr>
          <w:sz w:val="16"/>
          <w:szCs w:val="16"/>
        </w:rPr>
        <w:t xml:space="preserve"> </w:t>
      </w:r>
      <w:r>
        <w:rPr>
          <w:rFonts w:ascii="Times New Roman" w:hAnsi="Times New Roman"/>
          <w:sz w:val="22"/>
        </w:rPr>
        <w:t>qPCR=</w:t>
      </w:r>
      <w:r w:rsidRPr="000320E7">
        <w:rPr>
          <w:rFonts w:ascii="Times New Roman" w:hAnsi="Times New Roman"/>
          <w:sz w:val="22"/>
        </w:rPr>
        <w:t>quantitative polymerase chain reaction;</w:t>
      </w:r>
      <w:r w:rsidRPr="00A23F7E">
        <w:rPr>
          <w:sz w:val="16"/>
          <w:szCs w:val="16"/>
        </w:rPr>
        <w:t xml:space="preserve"> </w:t>
      </w:r>
      <w:proofErr w:type="spellStart"/>
      <w:r w:rsidRPr="00A23F7E">
        <w:rPr>
          <w:rFonts w:ascii="Times New Roman" w:hAnsi="Times New Roman"/>
          <w:sz w:val="22"/>
        </w:rPr>
        <w:t>hrTST</w:t>
      </w:r>
      <w:proofErr w:type="spellEnd"/>
      <w:r w:rsidRPr="00A23F7E">
        <w:rPr>
          <w:rFonts w:ascii="Times New Roman" w:hAnsi="Times New Roman"/>
          <w:sz w:val="22"/>
        </w:rPr>
        <w:t>= hour of total sleep time;</w:t>
      </w:r>
      <w:r w:rsidRPr="00A23F7E">
        <w:rPr>
          <w:rFonts w:ascii="Segoe UI" w:hAnsi="Segoe UI" w:cs="Segoe UI"/>
          <w:color w:val="212121"/>
          <w:shd w:val="clear" w:color="auto" w:fill="FFFFFF"/>
        </w:rPr>
        <w:t xml:space="preserve"> </w:t>
      </w:r>
      <w:r>
        <w:rPr>
          <w:rFonts w:ascii="Segoe UI" w:hAnsi="Segoe UI" w:cs="Segoe UI"/>
          <w:color w:val="212121"/>
          <w:shd w:val="clear" w:color="auto" w:fill="FFFFFF"/>
        </w:rPr>
        <w:t xml:space="preserve">MRP= </w:t>
      </w:r>
      <w:r w:rsidRPr="00A23F7E">
        <w:rPr>
          <w:rFonts w:ascii="Times New Roman" w:hAnsi="Times New Roman"/>
          <w:color w:val="212121"/>
          <w:sz w:val="22"/>
          <w:shd w:val="clear" w:color="auto" w:fill="FFFFFF"/>
        </w:rPr>
        <w:t>myeloid-related protein</w:t>
      </w:r>
      <w:r>
        <w:rPr>
          <w:rFonts w:ascii="Times New Roman" w:hAnsi="Times New Roman"/>
          <w:color w:val="212121"/>
          <w:sz w:val="22"/>
          <w:shd w:val="clear" w:color="auto" w:fill="FFFFFF"/>
        </w:rPr>
        <w:t>; ROS= reactive oxygen species;</w:t>
      </w:r>
      <w:r w:rsidRPr="00E1227C">
        <w:rPr>
          <w:sz w:val="16"/>
          <w:szCs w:val="16"/>
        </w:rPr>
        <w:t xml:space="preserve"> </w:t>
      </w:r>
      <w:r w:rsidRPr="00E1227C">
        <w:rPr>
          <w:rFonts w:ascii="Times New Roman" w:hAnsi="Times New Roman"/>
          <w:sz w:val="22"/>
        </w:rPr>
        <w:t>MACE= major adverse cardiac events</w:t>
      </w:r>
      <w:r>
        <w:rPr>
          <w:rFonts w:ascii="Times New Roman" w:hAnsi="Times New Roman"/>
          <w:sz w:val="22"/>
        </w:rPr>
        <w:t>.</w:t>
      </w:r>
      <w:bookmarkStart w:id="0" w:name="_GoBack"/>
      <w:bookmarkEnd w:id="0"/>
    </w:p>
    <w:p w:rsidR="008043C4" w:rsidRPr="008043C4" w:rsidRDefault="008043C4" w:rsidP="008043C4">
      <w:pPr>
        <w:rPr>
          <w:lang w:eastAsia="de-DE" w:bidi="en-US"/>
        </w:rPr>
      </w:pPr>
    </w:p>
    <w:sectPr w:rsidR="008043C4" w:rsidRPr="008043C4" w:rsidSect="008043C4">
      <w:footerReference w:type="default" r:id="rId9"/>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E75" w:rsidRDefault="00DA5E75" w:rsidP="00362756">
      <w:pPr>
        <w:spacing w:before="0" w:after="0"/>
      </w:pPr>
      <w:r>
        <w:separator/>
      </w:r>
    </w:p>
  </w:endnote>
  <w:endnote w:type="continuationSeparator" w:id="0">
    <w:p w:rsidR="00DA5E75" w:rsidRDefault="00DA5E75" w:rsidP="003627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832017"/>
      <w:docPartObj>
        <w:docPartGallery w:val="Page Numbers (Bottom of Page)"/>
        <w:docPartUnique/>
      </w:docPartObj>
    </w:sdtPr>
    <w:sdtEndPr>
      <w:rPr>
        <w:noProof/>
      </w:rPr>
    </w:sdtEndPr>
    <w:sdtContent>
      <w:p w:rsidR="0034519F" w:rsidRDefault="0034519F">
        <w:pPr>
          <w:pStyle w:val="Footer"/>
          <w:jc w:val="right"/>
        </w:pPr>
        <w:r>
          <w:fldChar w:fldCharType="begin"/>
        </w:r>
        <w:r>
          <w:instrText xml:space="preserve"> PAGE   \* MERGEFORMAT </w:instrText>
        </w:r>
        <w:r>
          <w:fldChar w:fldCharType="separate"/>
        </w:r>
        <w:r w:rsidR="009F09AD">
          <w:rPr>
            <w:noProof/>
          </w:rPr>
          <w:t>21</w:t>
        </w:r>
        <w:r>
          <w:rPr>
            <w:noProof/>
          </w:rPr>
          <w:fldChar w:fldCharType="end"/>
        </w:r>
      </w:p>
    </w:sdtContent>
  </w:sdt>
  <w:p w:rsidR="0034519F" w:rsidRDefault="00345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E75" w:rsidRDefault="00DA5E75" w:rsidP="00362756">
      <w:pPr>
        <w:spacing w:before="0" w:after="0"/>
      </w:pPr>
      <w:r>
        <w:separator/>
      </w:r>
    </w:p>
  </w:footnote>
  <w:footnote w:type="continuationSeparator" w:id="0">
    <w:p w:rsidR="00DA5E75" w:rsidRDefault="00DA5E75" w:rsidP="0036275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320060AA"/>
    <w:multiLevelType w:val="hybridMultilevel"/>
    <w:tmpl w:val="2E68D3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5B333E"/>
    <w:multiLevelType w:val="hybridMultilevel"/>
    <w:tmpl w:val="441C3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97"/>
    <w:rsid w:val="00001942"/>
    <w:rsid w:val="000062D9"/>
    <w:rsid w:val="00010059"/>
    <w:rsid w:val="000120EA"/>
    <w:rsid w:val="00016595"/>
    <w:rsid w:val="0001775D"/>
    <w:rsid w:val="000259DB"/>
    <w:rsid w:val="000264FA"/>
    <w:rsid w:val="00030EE9"/>
    <w:rsid w:val="000320E7"/>
    <w:rsid w:val="00035087"/>
    <w:rsid w:val="00046706"/>
    <w:rsid w:val="00047BE9"/>
    <w:rsid w:val="00051F0F"/>
    <w:rsid w:val="00057AB0"/>
    <w:rsid w:val="00061231"/>
    <w:rsid w:val="00062C89"/>
    <w:rsid w:val="00072C4A"/>
    <w:rsid w:val="00074971"/>
    <w:rsid w:val="00086AC8"/>
    <w:rsid w:val="00096030"/>
    <w:rsid w:val="000A01B5"/>
    <w:rsid w:val="000A12DF"/>
    <w:rsid w:val="000A43C5"/>
    <w:rsid w:val="000B4012"/>
    <w:rsid w:val="000B68FB"/>
    <w:rsid w:val="000C11D6"/>
    <w:rsid w:val="000C792B"/>
    <w:rsid w:val="000D71E8"/>
    <w:rsid w:val="000E1A99"/>
    <w:rsid w:val="000E3932"/>
    <w:rsid w:val="000E4070"/>
    <w:rsid w:val="000F0D72"/>
    <w:rsid w:val="000F135D"/>
    <w:rsid w:val="000F303C"/>
    <w:rsid w:val="000F42C2"/>
    <w:rsid w:val="000F5E3E"/>
    <w:rsid w:val="0010394A"/>
    <w:rsid w:val="00105882"/>
    <w:rsid w:val="00114A0A"/>
    <w:rsid w:val="0012260B"/>
    <w:rsid w:val="00125175"/>
    <w:rsid w:val="001300FE"/>
    <w:rsid w:val="00164E86"/>
    <w:rsid w:val="001717F8"/>
    <w:rsid w:val="00175D97"/>
    <w:rsid w:val="0018483D"/>
    <w:rsid w:val="001A50D3"/>
    <w:rsid w:val="001B36F4"/>
    <w:rsid w:val="001B3CEB"/>
    <w:rsid w:val="001C1231"/>
    <w:rsid w:val="001E67D5"/>
    <w:rsid w:val="001E7071"/>
    <w:rsid w:val="001F127B"/>
    <w:rsid w:val="001F29A0"/>
    <w:rsid w:val="001F669E"/>
    <w:rsid w:val="0020015D"/>
    <w:rsid w:val="002127BB"/>
    <w:rsid w:val="00230CF7"/>
    <w:rsid w:val="002312CA"/>
    <w:rsid w:val="0023162E"/>
    <w:rsid w:val="00233256"/>
    <w:rsid w:val="002332D0"/>
    <w:rsid w:val="00234CD1"/>
    <w:rsid w:val="00240CCE"/>
    <w:rsid w:val="002553EA"/>
    <w:rsid w:val="002555B6"/>
    <w:rsid w:val="00267C4D"/>
    <w:rsid w:val="00272321"/>
    <w:rsid w:val="0027704D"/>
    <w:rsid w:val="002848D6"/>
    <w:rsid w:val="00294409"/>
    <w:rsid w:val="002B5DD2"/>
    <w:rsid w:val="002C107E"/>
    <w:rsid w:val="002C33F1"/>
    <w:rsid w:val="002D236B"/>
    <w:rsid w:val="002E0E6D"/>
    <w:rsid w:val="002E1016"/>
    <w:rsid w:val="002E4C7D"/>
    <w:rsid w:val="00305BE5"/>
    <w:rsid w:val="00324D47"/>
    <w:rsid w:val="00334B50"/>
    <w:rsid w:val="00344DF1"/>
    <w:rsid w:val="0034519F"/>
    <w:rsid w:val="00347F00"/>
    <w:rsid w:val="003500D9"/>
    <w:rsid w:val="00350D7F"/>
    <w:rsid w:val="003572D3"/>
    <w:rsid w:val="00362756"/>
    <w:rsid w:val="00374D34"/>
    <w:rsid w:val="003756DD"/>
    <w:rsid w:val="00386DF9"/>
    <w:rsid w:val="0039349F"/>
    <w:rsid w:val="003B066F"/>
    <w:rsid w:val="003B3FC6"/>
    <w:rsid w:val="003B608E"/>
    <w:rsid w:val="003C4000"/>
    <w:rsid w:val="003C4E84"/>
    <w:rsid w:val="003D3190"/>
    <w:rsid w:val="003D45C0"/>
    <w:rsid w:val="003F65E7"/>
    <w:rsid w:val="00405D52"/>
    <w:rsid w:val="004133F3"/>
    <w:rsid w:val="00423A4F"/>
    <w:rsid w:val="004307FA"/>
    <w:rsid w:val="00451E03"/>
    <w:rsid w:val="004624E3"/>
    <w:rsid w:val="0048019D"/>
    <w:rsid w:val="00484B80"/>
    <w:rsid w:val="00492CFB"/>
    <w:rsid w:val="004A02D9"/>
    <w:rsid w:val="004A44E1"/>
    <w:rsid w:val="004A4D00"/>
    <w:rsid w:val="004A7504"/>
    <w:rsid w:val="004B1DEC"/>
    <w:rsid w:val="004C793E"/>
    <w:rsid w:val="004E5331"/>
    <w:rsid w:val="004F3354"/>
    <w:rsid w:val="004F40E5"/>
    <w:rsid w:val="004F41E7"/>
    <w:rsid w:val="004F5FD7"/>
    <w:rsid w:val="004F69CA"/>
    <w:rsid w:val="00504329"/>
    <w:rsid w:val="005043A4"/>
    <w:rsid w:val="00511C6E"/>
    <w:rsid w:val="00525BD4"/>
    <w:rsid w:val="00527753"/>
    <w:rsid w:val="0053752B"/>
    <w:rsid w:val="00542ADF"/>
    <w:rsid w:val="00552033"/>
    <w:rsid w:val="00555320"/>
    <w:rsid w:val="0056018F"/>
    <w:rsid w:val="005615EA"/>
    <w:rsid w:val="00567741"/>
    <w:rsid w:val="005733C7"/>
    <w:rsid w:val="005739DD"/>
    <w:rsid w:val="00574777"/>
    <w:rsid w:val="005755F2"/>
    <w:rsid w:val="005844FF"/>
    <w:rsid w:val="00587B6D"/>
    <w:rsid w:val="00587C3B"/>
    <w:rsid w:val="00593A21"/>
    <w:rsid w:val="00595288"/>
    <w:rsid w:val="005A3BAB"/>
    <w:rsid w:val="005B2C97"/>
    <w:rsid w:val="005B41F0"/>
    <w:rsid w:val="005C1FEE"/>
    <w:rsid w:val="005C283D"/>
    <w:rsid w:val="005C47B1"/>
    <w:rsid w:val="005D2CED"/>
    <w:rsid w:val="005D4EAE"/>
    <w:rsid w:val="005E1F13"/>
    <w:rsid w:val="005E2E22"/>
    <w:rsid w:val="00602237"/>
    <w:rsid w:val="0061637B"/>
    <w:rsid w:val="00624208"/>
    <w:rsid w:val="00633604"/>
    <w:rsid w:val="00634C03"/>
    <w:rsid w:val="00637BD4"/>
    <w:rsid w:val="00646789"/>
    <w:rsid w:val="0065039A"/>
    <w:rsid w:val="0065211E"/>
    <w:rsid w:val="00652800"/>
    <w:rsid w:val="006543BB"/>
    <w:rsid w:val="00654E2E"/>
    <w:rsid w:val="006564F5"/>
    <w:rsid w:val="00656E9F"/>
    <w:rsid w:val="00662A57"/>
    <w:rsid w:val="0067107B"/>
    <w:rsid w:val="00685AF4"/>
    <w:rsid w:val="00690E02"/>
    <w:rsid w:val="00692FEE"/>
    <w:rsid w:val="00693ED2"/>
    <w:rsid w:val="00694D77"/>
    <w:rsid w:val="006A093C"/>
    <w:rsid w:val="006A3208"/>
    <w:rsid w:val="006A6B27"/>
    <w:rsid w:val="006B35B6"/>
    <w:rsid w:val="006C3D25"/>
    <w:rsid w:val="006C3FD8"/>
    <w:rsid w:val="006D49FB"/>
    <w:rsid w:val="006F18B1"/>
    <w:rsid w:val="00706292"/>
    <w:rsid w:val="00707250"/>
    <w:rsid w:val="00721D9D"/>
    <w:rsid w:val="007263C4"/>
    <w:rsid w:val="00734B72"/>
    <w:rsid w:val="00746134"/>
    <w:rsid w:val="00754CF3"/>
    <w:rsid w:val="00762BD1"/>
    <w:rsid w:val="007667AB"/>
    <w:rsid w:val="00775587"/>
    <w:rsid w:val="00776F66"/>
    <w:rsid w:val="00780FB4"/>
    <w:rsid w:val="00790D16"/>
    <w:rsid w:val="0079413A"/>
    <w:rsid w:val="007A2ECA"/>
    <w:rsid w:val="007B004D"/>
    <w:rsid w:val="007C0D73"/>
    <w:rsid w:val="007C596C"/>
    <w:rsid w:val="007C6F9E"/>
    <w:rsid w:val="007D146D"/>
    <w:rsid w:val="007E1DDE"/>
    <w:rsid w:val="007F1BC0"/>
    <w:rsid w:val="007F30C8"/>
    <w:rsid w:val="007F341D"/>
    <w:rsid w:val="00801D15"/>
    <w:rsid w:val="008043C4"/>
    <w:rsid w:val="0080756F"/>
    <w:rsid w:val="00811697"/>
    <w:rsid w:val="008222F6"/>
    <w:rsid w:val="008464DF"/>
    <w:rsid w:val="00856682"/>
    <w:rsid w:val="00864689"/>
    <w:rsid w:val="00865FC5"/>
    <w:rsid w:val="00866CBF"/>
    <w:rsid w:val="008705B4"/>
    <w:rsid w:val="00870D4A"/>
    <w:rsid w:val="00872CAF"/>
    <w:rsid w:val="00872FFE"/>
    <w:rsid w:val="00876AA0"/>
    <w:rsid w:val="0088292A"/>
    <w:rsid w:val="00890569"/>
    <w:rsid w:val="008907EF"/>
    <w:rsid w:val="00897A84"/>
    <w:rsid w:val="008A1B27"/>
    <w:rsid w:val="008A33C1"/>
    <w:rsid w:val="008A56CB"/>
    <w:rsid w:val="008A5987"/>
    <w:rsid w:val="008B261A"/>
    <w:rsid w:val="008B28A3"/>
    <w:rsid w:val="008C02D6"/>
    <w:rsid w:val="008C27EE"/>
    <w:rsid w:val="008C5EE2"/>
    <w:rsid w:val="008C666D"/>
    <w:rsid w:val="008C74E0"/>
    <w:rsid w:val="008D193F"/>
    <w:rsid w:val="008E0B44"/>
    <w:rsid w:val="008F0DBE"/>
    <w:rsid w:val="009028CA"/>
    <w:rsid w:val="009029B3"/>
    <w:rsid w:val="00906C96"/>
    <w:rsid w:val="00907EEA"/>
    <w:rsid w:val="0091173B"/>
    <w:rsid w:val="00934AE5"/>
    <w:rsid w:val="00935F0D"/>
    <w:rsid w:val="009402D1"/>
    <w:rsid w:val="009469D1"/>
    <w:rsid w:val="00956188"/>
    <w:rsid w:val="00963862"/>
    <w:rsid w:val="009645A2"/>
    <w:rsid w:val="00964760"/>
    <w:rsid w:val="00987F6C"/>
    <w:rsid w:val="009B3059"/>
    <w:rsid w:val="009C31B5"/>
    <w:rsid w:val="009C4DDE"/>
    <w:rsid w:val="009D075F"/>
    <w:rsid w:val="009D21CF"/>
    <w:rsid w:val="009D6671"/>
    <w:rsid w:val="009E1D9D"/>
    <w:rsid w:val="009E7E77"/>
    <w:rsid w:val="009F09AD"/>
    <w:rsid w:val="009F4720"/>
    <w:rsid w:val="00A23F7E"/>
    <w:rsid w:val="00A2684F"/>
    <w:rsid w:val="00A31C21"/>
    <w:rsid w:val="00A35020"/>
    <w:rsid w:val="00A421D1"/>
    <w:rsid w:val="00A4466E"/>
    <w:rsid w:val="00A50F66"/>
    <w:rsid w:val="00A51A50"/>
    <w:rsid w:val="00A57434"/>
    <w:rsid w:val="00A67120"/>
    <w:rsid w:val="00A76379"/>
    <w:rsid w:val="00A84984"/>
    <w:rsid w:val="00A85A25"/>
    <w:rsid w:val="00A92D51"/>
    <w:rsid w:val="00A936E3"/>
    <w:rsid w:val="00A93D56"/>
    <w:rsid w:val="00A94F8F"/>
    <w:rsid w:val="00AA17FC"/>
    <w:rsid w:val="00AA4DD4"/>
    <w:rsid w:val="00AA4EA7"/>
    <w:rsid w:val="00AB1F1A"/>
    <w:rsid w:val="00AB20D8"/>
    <w:rsid w:val="00AB73D5"/>
    <w:rsid w:val="00AC4591"/>
    <w:rsid w:val="00AC6599"/>
    <w:rsid w:val="00AE32FB"/>
    <w:rsid w:val="00AE51AF"/>
    <w:rsid w:val="00AF19C3"/>
    <w:rsid w:val="00AF75FA"/>
    <w:rsid w:val="00B00B2F"/>
    <w:rsid w:val="00B16436"/>
    <w:rsid w:val="00B27152"/>
    <w:rsid w:val="00B3066C"/>
    <w:rsid w:val="00B36BB1"/>
    <w:rsid w:val="00B4262D"/>
    <w:rsid w:val="00B53099"/>
    <w:rsid w:val="00B55223"/>
    <w:rsid w:val="00B60B18"/>
    <w:rsid w:val="00B80B83"/>
    <w:rsid w:val="00B85DAB"/>
    <w:rsid w:val="00B86C23"/>
    <w:rsid w:val="00B90C7A"/>
    <w:rsid w:val="00B93F35"/>
    <w:rsid w:val="00BA2086"/>
    <w:rsid w:val="00BB5A14"/>
    <w:rsid w:val="00BD304A"/>
    <w:rsid w:val="00BD4FFD"/>
    <w:rsid w:val="00BD50D5"/>
    <w:rsid w:val="00BD67CD"/>
    <w:rsid w:val="00BD782C"/>
    <w:rsid w:val="00BF0EA2"/>
    <w:rsid w:val="00C03988"/>
    <w:rsid w:val="00C05286"/>
    <w:rsid w:val="00C26A69"/>
    <w:rsid w:val="00C26FED"/>
    <w:rsid w:val="00C270F1"/>
    <w:rsid w:val="00C36A3D"/>
    <w:rsid w:val="00C40EBC"/>
    <w:rsid w:val="00C45739"/>
    <w:rsid w:val="00C606B7"/>
    <w:rsid w:val="00C74543"/>
    <w:rsid w:val="00C75E6F"/>
    <w:rsid w:val="00C80988"/>
    <w:rsid w:val="00C81A1A"/>
    <w:rsid w:val="00C81FD0"/>
    <w:rsid w:val="00C83489"/>
    <w:rsid w:val="00C8443E"/>
    <w:rsid w:val="00C954EE"/>
    <w:rsid w:val="00C9566D"/>
    <w:rsid w:val="00CB43DC"/>
    <w:rsid w:val="00CB5EEE"/>
    <w:rsid w:val="00CB6E7F"/>
    <w:rsid w:val="00CC0994"/>
    <w:rsid w:val="00CD4C29"/>
    <w:rsid w:val="00CF3585"/>
    <w:rsid w:val="00CF5B1E"/>
    <w:rsid w:val="00CF650D"/>
    <w:rsid w:val="00D01348"/>
    <w:rsid w:val="00D03555"/>
    <w:rsid w:val="00D061D9"/>
    <w:rsid w:val="00D06776"/>
    <w:rsid w:val="00D10CBE"/>
    <w:rsid w:val="00D30734"/>
    <w:rsid w:val="00D36DA0"/>
    <w:rsid w:val="00D375B6"/>
    <w:rsid w:val="00D477EF"/>
    <w:rsid w:val="00D51530"/>
    <w:rsid w:val="00D57BCC"/>
    <w:rsid w:val="00D6190E"/>
    <w:rsid w:val="00D637C8"/>
    <w:rsid w:val="00D7535B"/>
    <w:rsid w:val="00D778F9"/>
    <w:rsid w:val="00D801C9"/>
    <w:rsid w:val="00D85218"/>
    <w:rsid w:val="00D87759"/>
    <w:rsid w:val="00D87FCE"/>
    <w:rsid w:val="00DA2BB9"/>
    <w:rsid w:val="00DA324D"/>
    <w:rsid w:val="00DA336A"/>
    <w:rsid w:val="00DA3A16"/>
    <w:rsid w:val="00DA5E75"/>
    <w:rsid w:val="00DA7575"/>
    <w:rsid w:val="00DB3932"/>
    <w:rsid w:val="00DD25DC"/>
    <w:rsid w:val="00DD342D"/>
    <w:rsid w:val="00DD5E61"/>
    <w:rsid w:val="00DD726D"/>
    <w:rsid w:val="00DE1901"/>
    <w:rsid w:val="00DE5718"/>
    <w:rsid w:val="00E07F97"/>
    <w:rsid w:val="00E1227C"/>
    <w:rsid w:val="00E12F7C"/>
    <w:rsid w:val="00E1779A"/>
    <w:rsid w:val="00E2009E"/>
    <w:rsid w:val="00E2354D"/>
    <w:rsid w:val="00E25758"/>
    <w:rsid w:val="00E26939"/>
    <w:rsid w:val="00E4564D"/>
    <w:rsid w:val="00E47F31"/>
    <w:rsid w:val="00E5074F"/>
    <w:rsid w:val="00E529F7"/>
    <w:rsid w:val="00E52D48"/>
    <w:rsid w:val="00E67597"/>
    <w:rsid w:val="00EA0BF7"/>
    <w:rsid w:val="00EA40E3"/>
    <w:rsid w:val="00EA4667"/>
    <w:rsid w:val="00EA4C4B"/>
    <w:rsid w:val="00EA673C"/>
    <w:rsid w:val="00ED02A3"/>
    <w:rsid w:val="00ED0EE9"/>
    <w:rsid w:val="00ED4930"/>
    <w:rsid w:val="00ED7E8C"/>
    <w:rsid w:val="00EE1712"/>
    <w:rsid w:val="00EE7772"/>
    <w:rsid w:val="00EF0E52"/>
    <w:rsid w:val="00F04B53"/>
    <w:rsid w:val="00F04F7A"/>
    <w:rsid w:val="00F16904"/>
    <w:rsid w:val="00F223FA"/>
    <w:rsid w:val="00F24D25"/>
    <w:rsid w:val="00F26B31"/>
    <w:rsid w:val="00F3013E"/>
    <w:rsid w:val="00F321C0"/>
    <w:rsid w:val="00F34612"/>
    <w:rsid w:val="00F34FD3"/>
    <w:rsid w:val="00F3589D"/>
    <w:rsid w:val="00F41E3C"/>
    <w:rsid w:val="00F529D4"/>
    <w:rsid w:val="00F629EC"/>
    <w:rsid w:val="00F6436D"/>
    <w:rsid w:val="00F67226"/>
    <w:rsid w:val="00F70C9F"/>
    <w:rsid w:val="00F716D1"/>
    <w:rsid w:val="00F71A16"/>
    <w:rsid w:val="00F72566"/>
    <w:rsid w:val="00F850FC"/>
    <w:rsid w:val="00F936E6"/>
    <w:rsid w:val="00F94B66"/>
    <w:rsid w:val="00FD2553"/>
    <w:rsid w:val="00FD2B3F"/>
    <w:rsid w:val="00FE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53"/>
    <w:pPr>
      <w:spacing w:before="120" w:after="240" w:line="240" w:lineRule="auto"/>
    </w:pPr>
    <w:rPr>
      <w:rFonts w:ascii="Times New Roman" w:hAnsi="Times New Roman"/>
      <w:sz w:val="24"/>
    </w:rPr>
  </w:style>
  <w:style w:type="paragraph" w:styleId="Heading2">
    <w:name w:val="heading 2"/>
    <w:basedOn w:val="Normal"/>
    <w:link w:val="Heading2Char"/>
    <w:uiPriority w:val="9"/>
    <w:qFormat/>
    <w:rsid w:val="00DA757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81169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81169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styleId="Emphasis">
    <w:name w:val="Emphasis"/>
    <w:basedOn w:val="DefaultParagraphFont"/>
    <w:uiPriority w:val="20"/>
    <w:qFormat/>
    <w:rsid w:val="000E4070"/>
    <w:rPr>
      <w:i/>
      <w:iCs/>
    </w:rPr>
  </w:style>
  <w:style w:type="character" w:customStyle="1" w:styleId="Heading2Char">
    <w:name w:val="Heading 2 Char"/>
    <w:basedOn w:val="DefaultParagraphFont"/>
    <w:link w:val="Heading2"/>
    <w:uiPriority w:val="9"/>
    <w:rsid w:val="00DA7575"/>
    <w:rPr>
      <w:rFonts w:ascii="Times New Roman" w:eastAsia="Times New Roman" w:hAnsi="Times New Roman" w:cs="Times New Roman"/>
      <w:b/>
      <w:bCs/>
      <w:sz w:val="36"/>
      <w:szCs w:val="36"/>
    </w:rPr>
  </w:style>
  <w:style w:type="paragraph" w:styleId="ListParagraph">
    <w:name w:val="List Paragraph"/>
    <w:basedOn w:val="Normal"/>
    <w:uiPriority w:val="34"/>
    <w:qFormat/>
    <w:rsid w:val="00B93F35"/>
    <w:pPr>
      <w:numPr>
        <w:numId w:val="2"/>
      </w:numPr>
      <w:contextualSpacing/>
    </w:pPr>
    <w:rPr>
      <w:rFonts w:eastAsia="Cambria"/>
      <w:szCs w:val="24"/>
    </w:rPr>
  </w:style>
  <w:style w:type="paragraph" w:customStyle="1" w:styleId="MDPI52figure">
    <w:name w:val="MDPI_5.2_figure"/>
    <w:qFormat/>
    <w:rsid w:val="00B93F35"/>
    <w:pPr>
      <w:adjustRightInd w:val="0"/>
      <w:snapToGrid w:val="0"/>
      <w:spacing w:before="240" w:after="120" w:line="240" w:lineRule="auto"/>
      <w:jc w:val="center"/>
    </w:pPr>
    <w:rPr>
      <w:rFonts w:ascii="Palatino Linotype" w:eastAsia="Times New Roman" w:hAnsi="Palatino Linotype" w:cs="Times New Roman"/>
      <w:color w:val="000000"/>
      <w:sz w:val="20"/>
      <w:szCs w:val="20"/>
      <w:lang w:eastAsia="de-DE" w:bidi="en-US"/>
    </w:rPr>
  </w:style>
  <w:style w:type="paragraph" w:styleId="Header">
    <w:name w:val="header"/>
    <w:basedOn w:val="Normal"/>
    <w:link w:val="HeaderChar"/>
    <w:uiPriority w:val="99"/>
    <w:unhideWhenUsed/>
    <w:rsid w:val="00362756"/>
    <w:pPr>
      <w:tabs>
        <w:tab w:val="center" w:pos="4680"/>
        <w:tab w:val="right" w:pos="9360"/>
      </w:tabs>
      <w:spacing w:before="0" w:after="0"/>
    </w:pPr>
  </w:style>
  <w:style w:type="character" w:customStyle="1" w:styleId="HeaderChar">
    <w:name w:val="Header Char"/>
    <w:basedOn w:val="DefaultParagraphFont"/>
    <w:link w:val="Header"/>
    <w:uiPriority w:val="99"/>
    <w:rsid w:val="00362756"/>
    <w:rPr>
      <w:rFonts w:ascii="Times New Roman" w:hAnsi="Times New Roman"/>
      <w:sz w:val="24"/>
    </w:rPr>
  </w:style>
  <w:style w:type="paragraph" w:styleId="Footer">
    <w:name w:val="footer"/>
    <w:basedOn w:val="Normal"/>
    <w:link w:val="FooterChar"/>
    <w:uiPriority w:val="99"/>
    <w:unhideWhenUsed/>
    <w:rsid w:val="00362756"/>
    <w:pPr>
      <w:tabs>
        <w:tab w:val="center" w:pos="4680"/>
        <w:tab w:val="right" w:pos="9360"/>
      </w:tabs>
      <w:spacing w:before="0" w:after="0"/>
    </w:pPr>
  </w:style>
  <w:style w:type="character" w:customStyle="1" w:styleId="FooterChar">
    <w:name w:val="Footer Char"/>
    <w:basedOn w:val="DefaultParagraphFont"/>
    <w:link w:val="Footer"/>
    <w:uiPriority w:val="99"/>
    <w:rsid w:val="00362756"/>
    <w:rPr>
      <w:rFonts w:ascii="Times New Roman" w:hAnsi="Times New Roman"/>
      <w:sz w:val="24"/>
    </w:rPr>
  </w:style>
  <w:style w:type="paragraph" w:styleId="NoSpacing">
    <w:name w:val="No Spacing"/>
    <w:uiPriority w:val="1"/>
    <w:qFormat/>
    <w:rsid w:val="00A50F66"/>
    <w:pPr>
      <w:spacing w:after="0" w:line="240" w:lineRule="auto"/>
    </w:pPr>
    <w:rPr>
      <w:rFonts w:ascii="Times New Roman" w:hAnsi="Times New Roman"/>
      <w:sz w:val="24"/>
    </w:rPr>
  </w:style>
  <w:style w:type="paragraph" w:customStyle="1" w:styleId="Default">
    <w:name w:val="Default"/>
    <w:rsid w:val="00652800"/>
    <w:pPr>
      <w:autoSpaceDE w:val="0"/>
      <w:autoSpaceDN w:val="0"/>
      <w:adjustRightInd w:val="0"/>
      <w:spacing w:after="0" w:line="240" w:lineRule="auto"/>
    </w:pPr>
    <w:rPr>
      <w:rFonts w:ascii="Times New Roman PS" w:hAnsi="Times New Roman PS" w:cs="Times New Roman PS"/>
      <w:color w:val="000000"/>
      <w:sz w:val="24"/>
      <w:szCs w:val="24"/>
    </w:rPr>
  </w:style>
  <w:style w:type="table" w:styleId="TableGrid">
    <w:name w:val="Table Grid"/>
    <w:basedOn w:val="TableNormal"/>
    <w:uiPriority w:val="59"/>
    <w:rsid w:val="00F04B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4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B53"/>
    <w:pPr>
      <w:spacing w:before="120" w:after="240" w:line="240" w:lineRule="auto"/>
    </w:pPr>
    <w:rPr>
      <w:rFonts w:ascii="Times New Roman" w:hAnsi="Times New Roman"/>
      <w:sz w:val="24"/>
    </w:rPr>
  </w:style>
  <w:style w:type="paragraph" w:styleId="Heading2">
    <w:name w:val="heading 2"/>
    <w:basedOn w:val="Normal"/>
    <w:link w:val="Heading2Char"/>
    <w:uiPriority w:val="9"/>
    <w:qFormat/>
    <w:rsid w:val="00DA7575"/>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81169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811697"/>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character" w:styleId="Emphasis">
    <w:name w:val="Emphasis"/>
    <w:basedOn w:val="DefaultParagraphFont"/>
    <w:uiPriority w:val="20"/>
    <w:qFormat/>
    <w:rsid w:val="000E4070"/>
    <w:rPr>
      <w:i/>
      <w:iCs/>
    </w:rPr>
  </w:style>
  <w:style w:type="character" w:customStyle="1" w:styleId="Heading2Char">
    <w:name w:val="Heading 2 Char"/>
    <w:basedOn w:val="DefaultParagraphFont"/>
    <w:link w:val="Heading2"/>
    <w:uiPriority w:val="9"/>
    <w:rsid w:val="00DA7575"/>
    <w:rPr>
      <w:rFonts w:ascii="Times New Roman" w:eastAsia="Times New Roman" w:hAnsi="Times New Roman" w:cs="Times New Roman"/>
      <w:b/>
      <w:bCs/>
      <w:sz w:val="36"/>
      <w:szCs w:val="36"/>
    </w:rPr>
  </w:style>
  <w:style w:type="paragraph" w:styleId="ListParagraph">
    <w:name w:val="List Paragraph"/>
    <w:basedOn w:val="Normal"/>
    <w:uiPriority w:val="34"/>
    <w:qFormat/>
    <w:rsid w:val="00B93F35"/>
    <w:pPr>
      <w:numPr>
        <w:numId w:val="2"/>
      </w:numPr>
      <w:contextualSpacing/>
    </w:pPr>
    <w:rPr>
      <w:rFonts w:eastAsia="Cambria"/>
      <w:szCs w:val="24"/>
    </w:rPr>
  </w:style>
  <w:style w:type="paragraph" w:customStyle="1" w:styleId="MDPI52figure">
    <w:name w:val="MDPI_5.2_figure"/>
    <w:qFormat/>
    <w:rsid w:val="00B93F35"/>
    <w:pPr>
      <w:adjustRightInd w:val="0"/>
      <w:snapToGrid w:val="0"/>
      <w:spacing w:before="240" w:after="120" w:line="240" w:lineRule="auto"/>
      <w:jc w:val="center"/>
    </w:pPr>
    <w:rPr>
      <w:rFonts w:ascii="Palatino Linotype" w:eastAsia="Times New Roman" w:hAnsi="Palatino Linotype" w:cs="Times New Roman"/>
      <w:color w:val="000000"/>
      <w:sz w:val="20"/>
      <w:szCs w:val="20"/>
      <w:lang w:eastAsia="de-DE" w:bidi="en-US"/>
    </w:rPr>
  </w:style>
  <w:style w:type="paragraph" w:styleId="Header">
    <w:name w:val="header"/>
    <w:basedOn w:val="Normal"/>
    <w:link w:val="HeaderChar"/>
    <w:uiPriority w:val="99"/>
    <w:unhideWhenUsed/>
    <w:rsid w:val="00362756"/>
    <w:pPr>
      <w:tabs>
        <w:tab w:val="center" w:pos="4680"/>
        <w:tab w:val="right" w:pos="9360"/>
      </w:tabs>
      <w:spacing w:before="0" w:after="0"/>
    </w:pPr>
  </w:style>
  <w:style w:type="character" w:customStyle="1" w:styleId="HeaderChar">
    <w:name w:val="Header Char"/>
    <w:basedOn w:val="DefaultParagraphFont"/>
    <w:link w:val="Header"/>
    <w:uiPriority w:val="99"/>
    <w:rsid w:val="00362756"/>
    <w:rPr>
      <w:rFonts w:ascii="Times New Roman" w:hAnsi="Times New Roman"/>
      <w:sz w:val="24"/>
    </w:rPr>
  </w:style>
  <w:style w:type="paragraph" w:styleId="Footer">
    <w:name w:val="footer"/>
    <w:basedOn w:val="Normal"/>
    <w:link w:val="FooterChar"/>
    <w:uiPriority w:val="99"/>
    <w:unhideWhenUsed/>
    <w:rsid w:val="00362756"/>
    <w:pPr>
      <w:tabs>
        <w:tab w:val="center" w:pos="4680"/>
        <w:tab w:val="right" w:pos="9360"/>
      </w:tabs>
      <w:spacing w:before="0" w:after="0"/>
    </w:pPr>
  </w:style>
  <w:style w:type="character" w:customStyle="1" w:styleId="FooterChar">
    <w:name w:val="Footer Char"/>
    <w:basedOn w:val="DefaultParagraphFont"/>
    <w:link w:val="Footer"/>
    <w:uiPriority w:val="99"/>
    <w:rsid w:val="00362756"/>
    <w:rPr>
      <w:rFonts w:ascii="Times New Roman" w:hAnsi="Times New Roman"/>
      <w:sz w:val="24"/>
    </w:rPr>
  </w:style>
  <w:style w:type="paragraph" w:styleId="NoSpacing">
    <w:name w:val="No Spacing"/>
    <w:uiPriority w:val="1"/>
    <w:qFormat/>
    <w:rsid w:val="00A50F66"/>
    <w:pPr>
      <w:spacing w:after="0" w:line="240" w:lineRule="auto"/>
    </w:pPr>
    <w:rPr>
      <w:rFonts w:ascii="Times New Roman" w:hAnsi="Times New Roman"/>
      <w:sz w:val="24"/>
    </w:rPr>
  </w:style>
  <w:style w:type="paragraph" w:customStyle="1" w:styleId="Default">
    <w:name w:val="Default"/>
    <w:rsid w:val="00652800"/>
    <w:pPr>
      <w:autoSpaceDE w:val="0"/>
      <w:autoSpaceDN w:val="0"/>
      <w:adjustRightInd w:val="0"/>
      <w:spacing w:after="0" w:line="240" w:lineRule="auto"/>
    </w:pPr>
    <w:rPr>
      <w:rFonts w:ascii="Times New Roman PS" w:hAnsi="Times New Roman PS" w:cs="Times New Roman PS"/>
      <w:color w:val="000000"/>
      <w:sz w:val="24"/>
      <w:szCs w:val="24"/>
    </w:rPr>
  </w:style>
  <w:style w:type="table" w:styleId="TableGrid">
    <w:name w:val="Table Grid"/>
    <w:basedOn w:val="TableNormal"/>
    <w:uiPriority w:val="59"/>
    <w:rsid w:val="00F04B5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349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4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6021">
      <w:bodyDiv w:val="1"/>
      <w:marLeft w:val="0"/>
      <w:marRight w:val="0"/>
      <w:marTop w:val="0"/>
      <w:marBottom w:val="0"/>
      <w:divBdr>
        <w:top w:val="none" w:sz="0" w:space="0" w:color="auto"/>
        <w:left w:val="none" w:sz="0" w:space="0" w:color="auto"/>
        <w:bottom w:val="none" w:sz="0" w:space="0" w:color="auto"/>
        <w:right w:val="none" w:sz="0" w:space="0" w:color="auto"/>
      </w:divBdr>
    </w:div>
    <w:div w:id="228662299">
      <w:bodyDiv w:val="1"/>
      <w:marLeft w:val="0"/>
      <w:marRight w:val="0"/>
      <w:marTop w:val="0"/>
      <w:marBottom w:val="0"/>
      <w:divBdr>
        <w:top w:val="none" w:sz="0" w:space="0" w:color="auto"/>
        <w:left w:val="none" w:sz="0" w:space="0" w:color="auto"/>
        <w:bottom w:val="none" w:sz="0" w:space="0" w:color="auto"/>
        <w:right w:val="none" w:sz="0" w:space="0" w:color="auto"/>
      </w:divBdr>
    </w:div>
    <w:div w:id="274754778">
      <w:bodyDiv w:val="1"/>
      <w:marLeft w:val="0"/>
      <w:marRight w:val="0"/>
      <w:marTop w:val="0"/>
      <w:marBottom w:val="0"/>
      <w:divBdr>
        <w:top w:val="none" w:sz="0" w:space="0" w:color="auto"/>
        <w:left w:val="none" w:sz="0" w:space="0" w:color="auto"/>
        <w:bottom w:val="none" w:sz="0" w:space="0" w:color="auto"/>
        <w:right w:val="none" w:sz="0" w:space="0" w:color="auto"/>
      </w:divBdr>
    </w:div>
    <w:div w:id="283198378">
      <w:bodyDiv w:val="1"/>
      <w:marLeft w:val="0"/>
      <w:marRight w:val="0"/>
      <w:marTop w:val="0"/>
      <w:marBottom w:val="0"/>
      <w:divBdr>
        <w:top w:val="none" w:sz="0" w:space="0" w:color="auto"/>
        <w:left w:val="none" w:sz="0" w:space="0" w:color="auto"/>
        <w:bottom w:val="none" w:sz="0" w:space="0" w:color="auto"/>
        <w:right w:val="none" w:sz="0" w:space="0" w:color="auto"/>
      </w:divBdr>
    </w:div>
    <w:div w:id="387069605">
      <w:bodyDiv w:val="1"/>
      <w:marLeft w:val="0"/>
      <w:marRight w:val="0"/>
      <w:marTop w:val="0"/>
      <w:marBottom w:val="0"/>
      <w:divBdr>
        <w:top w:val="none" w:sz="0" w:space="0" w:color="auto"/>
        <w:left w:val="none" w:sz="0" w:space="0" w:color="auto"/>
        <w:bottom w:val="none" w:sz="0" w:space="0" w:color="auto"/>
        <w:right w:val="none" w:sz="0" w:space="0" w:color="auto"/>
      </w:divBdr>
    </w:div>
    <w:div w:id="466356461">
      <w:bodyDiv w:val="1"/>
      <w:marLeft w:val="0"/>
      <w:marRight w:val="0"/>
      <w:marTop w:val="0"/>
      <w:marBottom w:val="0"/>
      <w:divBdr>
        <w:top w:val="none" w:sz="0" w:space="0" w:color="auto"/>
        <w:left w:val="none" w:sz="0" w:space="0" w:color="auto"/>
        <w:bottom w:val="none" w:sz="0" w:space="0" w:color="auto"/>
        <w:right w:val="none" w:sz="0" w:space="0" w:color="auto"/>
      </w:divBdr>
    </w:div>
    <w:div w:id="603076826">
      <w:bodyDiv w:val="1"/>
      <w:marLeft w:val="0"/>
      <w:marRight w:val="0"/>
      <w:marTop w:val="0"/>
      <w:marBottom w:val="0"/>
      <w:divBdr>
        <w:top w:val="none" w:sz="0" w:space="0" w:color="auto"/>
        <w:left w:val="none" w:sz="0" w:space="0" w:color="auto"/>
        <w:bottom w:val="none" w:sz="0" w:space="0" w:color="auto"/>
        <w:right w:val="none" w:sz="0" w:space="0" w:color="auto"/>
      </w:divBdr>
    </w:div>
    <w:div w:id="622272495">
      <w:bodyDiv w:val="1"/>
      <w:marLeft w:val="0"/>
      <w:marRight w:val="0"/>
      <w:marTop w:val="0"/>
      <w:marBottom w:val="0"/>
      <w:divBdr>
        <w:top w:val="none" w:sz="0" w:space="0" w:color="auto"/>
        <w:left w:val="none" w:sz="0" w:space="0" w:color="auto"/>
        <w:bottom w:val="none" w:sz="0" w:space="0" w:color="auto"/>
        <w:right w:val="none" w:sz="0" w:space="0" w:color="auto"/>
      </w:divBdr>
    </w:div>
    <w:div w:id="744300924">
      <w:bodyDiv w:val="1"/>
      <w:marLeft w:val="0"/>
      <w:marRight w:val="0"/>
      <w:marTop w:val="0"/>
      <w:marBottom w:val="0"/>
      <w:divBdr>
        <w:top w:val="none" w:sz="0" w:space="0" w:color="auto"/>
        <w:left w:val="none" w:sz="0" w:space="0" w:color="auto"/>
        <w:bottom w:val="none" w:sz="0" w:space="0" w:color="auto"/>
        <w:right w:val="none" w:sz="0" w:space="0" w:color="auto"/>
      </w:divBdr>
    </w:div>
    <w:div w:id="900864375">
      <w:bodyDiv w:val="1"/>
      <w:marLeft w:val="0"/>
      <w:marRight w:val="0"/>
      <w:marTop w:val="0"/>
      <w:marBottom w:val="0"/>
      <w:divBdr>
        <w:top w:val="none" w:sz="0" w:space="0" w:color="auto"/>
        <w:left w:val="none" w:sz="0" w:space="0" w:color="auto"/>
        <w:bottom w:val="none" w:sz="0" w:space="0" w:color="auto"/>
        <w:right w:val="none" w:sz="0" w:space="0" w:color="auto"/>
      </w:divBdr>
    </w:div>
    <w:div w:id="1015421018">
      <w:bodyDiv w:val="1"/>
      <w:marLeft w:val="0"/>
      <w:marRight w:val="0"/>
      <w:marTop w:val="0"/>
      <w:marBottom w:val="0"/>
      <w:divBdr>
        <w:top w:val="none" w:sz="0" w:space="0" w:color="auto"/>
        <w:left w:val="none" w:sz="0" w:space="0" w:color="auto"/>
        <w:bottom w:val="none" w:sz="0" w:space="0" w:color="auto"/>
        <w:right w:val="none" w:sz="0" w:space="0" w:color="auto"/>
      </w:divBdr>
    </w:div>
    <w:div w:id="1105267715">
      <w:bodyDiv w:val="1"/>
      <w:marLeft w:val="0"/>
      <w:marRight w:val="0"/>
      <w:marTop w:val="0"/>
      <w:marBottom w:val="0"/>
      <w:divBdr>
        <w:top w:val="none" w:sz="0" w:space="0" w:color="auto"/>
        <w:left w:val="none" w:sz="0" w:space="0" w:color="auto"/>
        <w:bottom w:val="none" w:sz="0" w:space="0" w:color="auto"/>
        <w:right w:val="none" w:sz="0" w:space="0" w:color="auto"/>
      </w:divBdr>
    </w:div>
    <w:div w:id="1138492007">
      <w:bodyDiv w:val="1"/>
      <w:marLeft w:val="0"/>
      <w:marRight w:val="0"/>
      <w:marTop w:val="0"/>
      <w:marBottom w:val="0"/>
      <w:divBdr>
        <w:top w:val="none" w:sz="0" w:space="0" w:color="auto"/>
        <w:left w:val="none" w:sz="0" w:space="0" w:color="auto"/>
        <w:bottom w:val="none" w:sz="0" w:space="0" w:color="auto"/>
        <w:right w:val="none" w:sz="0" w:space="0" w:color="auto"/>
      </w:divBdr>
    </w:div>
    <w:div w:id="1148135722">
      <w:bodyDiv w:val="1"/>
      <w:marLeft w:val="0"/>
      <w:marRight w:val="0"/>
      <w:marTop w:val="0"/>
      <w:marBottom w:val="0"/>
      <w:divBdr>
        <w:top w:val="none" w:sz="0" w:space="0" w:color="auto"/>
        <w:left w:val="none" w:sz="0" w:space="0" w:color="auto"/>
        <w:bottom w:val="none" w:sz="0" w:space="0" w:color="auto"/>
        <w:right w:val="none" w:sz="0" w:space="0" w:color="auto"/>
      </w:divBdr>
    </w:div>
    <w:div w:id="1166936789">
      <w:bodyDiv w:val="1"/>
      <w:marLeft w:val="0"/>
      <w:marRight w:val="0"/>
      <w:marTop w:val="0"/>
      <w:marBottom w:val="0"/>
      <w:divBdr>
        <w:top w:val="none" w:sz="0" w:space="0" w:color="auto"/>
        <w:left w:val="none" w:sz="0" w:space="0" w:color="auto"/>
        <w:bottom w:val="none" w:sz="0" w:space="0" w:color="auto"/>
        <w:right w:val="none" w:sz="0" w:space="0" w:color="auto"/>
      </w:divBdr>
    </w:div>
    <w:div w:id="1249076362">
      <w:bodyDiv w:val="1"/>
      <w:marLeft w:val="0"/>
      <w:marRight w:val="0"/>
      <w:marTop w:val="0"/>
      <w:marBottom w:val="0"/>
      <w:divBdr>
        <w:top w:val="none" w:sz="0" w:space="0" w:color="auto"/>
        <w:left w:val="none" w:sz="0" w:space="0" w:color="auto"/>
        <w:bottom w:val="none" w:sz="0" w:space="0" w:color="auto"/>
        <w:right w:val="none" w:sz="0" w:space="0" w:color="auto"/>
      </w:divBdr>
    </w:div>
    <w:div w:id="1352145967">
      <w:bodyDiv w:val="1"/>
      <w:marLeft w:val="0"/>
      <w:marRight w:val="0"/>
      <w:marTop w:val="0"/>
      <w:marBottom w:val="0"/>
      <w:divBdr>
        <w:top w:val="none" w:sz="0" w:space="0" w:color="auto"/>
        <w:left w:val="none" w:sz="0" w:space="0" w:color="auto"/>
        <w:bottom w:val="none" w:sz="0" w:space="0" w:color="auto"/>
        <w:right w:val="none" w:sz="0" w:space="0" w:color="auto"/>
      </w:divBdr>
    </w:div>
    <w:div w:id="1405908009">
      <w:bodyDiv w:val="1"/>
      <w:marLeft w:val="0"/>
      <w:marRight w:val="0"/>
      <w:marTop w:val="0"/>
      <w:marBottom w:val="0"/>
      <w:divBdr>
        <w:top w:val="none" w:sz="0" w:space="0" w:color="auto"/>
        <w:left w:val="none" w:sz="0" w:space="0" w:color="auto"/>
        <w:bottom w:val="none" w:sz="0" w:space="0" w:color="auto"/>
        <w:right w:val="none" w:sz="0" w:space="0" w:color="auto"/>
      </w:divBdr>
    </w:div>
    <w:div w:id="1463960313">
      <w:bodyDiv w:val="1"/>
      <w:marLeft w:val="0"/>
      <w:marRight w:val="0"/>
      <w:marTop w:val="0"/>
      <w:marBottom w:val="0"/>
      <w:divBdr>
        <w:top w:val="none" w:sz="0" w:space="0" w:color="auto"/>
        <w:left w:val="none" w:sz="0" w:space="0" w:color="auto"/>
        <w:bottom w:val="none" w:sz="0" w:space="0" w:color="auto"/>
        <w:right w:val="none" w:sz="0" w:space="0" w:color="auto"/>
      </w:divBdr>
    </w:div>
    <w:div w:id="1479885484">
      <w:bodyDiv w:val="1"/>
      <w:marLeft w:val="0"/>
      <w:marRight w:val="0"/>
      <w:marTop w:val="0"/>
      <w:marBottom w:val="0"/>
      <w:divBdr>
        <w:top w:val="none" w:sz="0" w:space="0" w:color="auto"/>
        <w:left w:val="none" w:sz="0" w:space="0" w:color="auto"/>
        <w:bottom w:val="none" w:sz="0" w:space="0" w:color="auto"/>
        <w:right w:val="none" w:sz="0" w:space="0" w:color="auto"/>
      </w:divBdr>
    </w:div>
    <w:div w:id="1514344715">
      <w:bodyDiv w:val="1"/>
      <w:marLeft w:val="0"/>
      <w:marRight w:val="0"/>
      <w:marTop w:val="0"/>
      <w:marBottom w:val="0"/>
      <w:divBdr>
        <w:top w:val="none" w:sz="0" w:space="0" w:color="auto"/>
        <w:left w:val="none" w:sz="0" w:space="0" w:color="auto"/>
        <w:bottom w:val="none" w:sz="0" w:space="0" w:color="auto"/>
        <w:right w:val="none" w:sz="0" w:space="0" w:color="auto"/>
      </w:divBdr>
    </w:div>
    <w:div w:id="1606569872">
      <w:bodyDiv w:val="1"/>
      <w:marLeft w:val="0"/>
      <w:marRight w:val="0"/>
      <w:marTop w:val="0"/>
      <w:marBottom w:val="0"/>
      <w:divBdr>
        <w:top w:val="none" w:sz="0" w:space="0" w:color="auto"/>
        <w:left w:val="none" w:sz="0" w:space="0" w:color="auto"/>
        <w:bottom w:val="none" w:sz="0" w:space="0" w:color="auto"/>
        <w:right w:val="none" w:sz="0" w:space="0" w:color="auto"/>
      </w:divBdr>
    </w:div>
    <w:div w:id="1632007806">
      <w:bodyDiv w:val="1"/>
      <w:marLeft w:val="0"/>
      <w:marRight w:val="0"/>
      <w:marTop w:val="0"/>
      <w:marBottom w:val="0"/>
      <w:divBdr>
        <w:top w:val="none" w:sz="0" w:space="0" w:color="auto"/>
        <w:left w:val="none" w:sz="0" w:space="0" w:color="auto"/>
        <w:bottom w:val="none" w:sz="0" w:space="0" w:color="auto"/>
        <w:right w:val="none" w:sz="0" w:space="0" w:color="auto"/>
      </w:divBdr>
    </w:div>
    <w:div w:id="1638341887">
      <w:bodyDiv w:val="1"/>
      <w:marLeft w:val="0"/>
      <w:marRight w:val="0"/>
      <w:marTop w:val="0"/>
      <w:marBottom w:val="0"/>
      <w:divBdr>
        <w:top w:val="none" w:sz="0" w:space="0" w:color="auto"/>
        <w:left w:val="none" w:sz="0" w:space="0" w:color="auto"/>
        <w:bottom w:val="none" w:sz="0" w:space="0" w:color="auto"/>
        <w:right w:val="none" w:sz="0" w:space="0" w:color="auto"/>
      </w:divBdr>
    </w:div>
    <w:div w:id="1719280012">
      <w:bodyDiv w:val="1"/>
      <w:marLeft w:val="0"/>
      <w:marRight w:val="0"/>
      <w:marTop w:val="0"/>
      <w:marBottom w:val="0"/>
      <w:divBdr>
        <w:top w:val="none" w:sz="0" w:space="0" w:color="auto"/>
        <w:left w:val="none" w:sz="0" w:space="0" w:color="auto"/>
        <w:bottom w:val="none" w:sz="0" w:space="0" w:color="auto"/>
        <w:right w:val="none" w:sz="0" w:space="0" w:color="auto"/>
      </w:divBdr>
    </w:div>
    <w:div w:id="1735198506">
      <w:bodyDiv w:val="1"/>
      <w:marLeft w:val="0"/>
      <w:marRight w:val="0"/>
      <w:marTop w:val="0"/>
      <w:marBottom w:val="0"/>
      <w:divBdr>
        <w:top w:val="none" w:sz="0" w:space="0" w:color="auto"/>
        <w:left w:val="none" w:sz="0" w:space="0" w:color="auto"/>
        <w:bottom w:val="none" w:sz="0" w:space="0" w:color="auto"/>
        <w:right w:val="none" w:sz="0" w:space="0" w:color="auto"/>
      </w:divBdr>
    </w:div>
    <w:div w:id="1798597115">
      <w:bodyDiv w:val="1"/>
      <w:marLeft w:val="0"/>
      <w:marRight w:val="0"/>
      <w:marTop w:val="0"/>
      <w:marBottom w:val="0"/>
      <w:divBdr>
        <w:top w:val="none" w:sz="0" w:space="0" w:color="auto"/>
        <w:left w:val="none" w:sz="0" w:space="0" w:color="auto"/>
        <w:bottom w:val="none" w:sz="0" w:space="0" w:color="auto"/>
        <w:right w:val="none" w:sz="0" w:space="0" w:color="auto"/>
      </w:divBdr>
    </w:div>
    <w:div w:id="1876188634">
      <w:bodyDiv w:val="1"/>
      <w:marLeft w:val="0"/>
      <w:marRight w:val="0"/>
      <w:marTop w:val="0"/>
      <w:marBottom w:val="0"/>
      <w:divBdr>
        <w:top w:val="none" w:sz="0" w:space="0" w:color="auto"/>
        <w:left w:val="none" w:sz="0" w:space="0" w:color="auto"/>
        <w:bottom w:val="none" w:sz="0" w:space="0" w:color="auto"/>
        <w:right w:val="none" w:sz="0" w:space="0" w:color="auto"/>
      </w:divBdr>
    </w:div>
    <w:div w:id="1938512322">
      <w:bodyDiv w:val="1"/>
      <w:marLeft w:val="0"/>
      <w:marRight w:val="0"/>
      <w:marTop w:val="0"/>
      <w:marBottom w:val="0"/>
      <w:divBdr>
        <w:top w:val="none" w:sz="0" w:space="0" w:color="auto"/>
        <w:left w:val="none" w:sz="0" w:space="0" w:color="auto"/>
        <w:bottom w:val="none" w:sz="0" w:space="0" w:color="auto"/>
        <w:right w:val="none" w:sz="0" w:space="0" w:color="auto"/>
      </w:divBdr>
    </w:div>
    <w:div w:id="2002805283">
      <w:bodyDiv w:val="1"/>
      <w:marLeft w:val="0"/>
      <w:marRight w:val="0"/>
      <w:marTop w:val="0"/>
      <w:marBottom w:val="0"/>
      <w:divBdr>
        <w:top w:val="none" w:sz="0" w:space="0" w:color="auto"/>
        <w:left w:val="none" w:sz="0" w:space="0" w:color="auto"/>
        <w:bottom w:val="none" w:sz="0" w:space="0" w:color="auto"/>
        <w:right w:val="none" w:sz="0" w:space="0" w:color="auto"/>
      </w:divBdr>
    </w:div>
    <w:div w:id="2009673358">
      <w:bodyDiv w:val="1"/>
      <w:marLeft w:val="0"/>
      <w:marRight w:val="0"/>
      <w:marTop w:val="0"/>
      <w:marBottom w:val="0"/>
      <w:divBdr>
        <w:top w:val="none" w:sz="0" w:space="0" w:color="auto"/>
        <w:left w:val="none" w:sz="0" w:space="0" w:color="auto"/>
        <w:bottom w:val="none" w:sz="0" w:space="0" w:color="auto"/>
        <w:right w:val="none" w:sz="0" w:space="0" w:color="auto"/>
      </w:divBdr>
    </w:div>
    <w:div w:id="20315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48050DE-DC1D-4CB2-9086-767726F86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6602</Words>
  <Characters>37633</Characters>
  <Application>Microsoft Office Word</Application>
  <DocSecurity>0</DocSecurity>
  <Lines>313</Lines>
  <Paragraphs>88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rg-adguard</Company>
  <LinksUpToDate>false</LinksUpToDate>
  <CharactersWithSpaces>44147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Belay</dc:creator>
  <cp:lastModifiedBy>Belay </cp:lastModifiedBy>
  <cp:revision>4</cp:revision>
  <cp:lastPrinted>2021-12-17T15:20:00Z</cp:lastPrinted>
  <dcterms:created xsi:type="dcterms:W3CDTF">2022-01-04T10:10:00Z</dcterms:created>
  <dcterms:modified xsi:type="dcterms:W3CDTF">2022-02-11T13:14:00Z</dcterms:modified>
</cp:coreProperties>
</file>