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5F60" w14:textId="5E2AC2B7" w:rsidR="00766C9C" w:rsidRPr="00523BFE" w:rsidRDefault="00766C9C" w:rsidP="00766C9C">
      <w:pPr>
        <w:widowControl/>
        <w:spacing w:before="120" w:after="240" w:line="360" w:lineRule="auto"/>
        <w:rPr>
          <w:rFonts w:ascii="Times New Roman" w:hAnsi="Times New Roman" w:cs="Times New Roman"/>
          <w:b/>
          <w:kern w:val="0"/>
          <w:sz w:val="24"/>
          <w:szCs w:val="21"/>
          <w:lang w:eastAsia="en-US"/>
        </w:rPr>
      </w:pPr>
      <w:r w:rsidRPr="00523BFE">
        <w:rPr>
          <w:rFonts w:ascii="Times New Roman" w:hAnsi="Times New Roman" w:cs="Times New Roman"/>
          <w:b/>
          <w:kern w:val="0"/>
          <w:sz w:val="24"/>
          <w:szCs w:val="21"/>
          <w:lang w:eastAsia="en-US"/>
        </w:rPr>
        <w:t>APPENDI</w:t>
      </w:r>
      <w:r w:rsidR="001A0AC2">
        <w:rPr>
          <w:rFonts w:ascii="Times New Roman" w:hAnsi="Times New Roman" w:cs="Times New Roman"/>
          <w:b/>
          <w:kern w:val="0"/>
          <w:sz w:val="24"/>
          <w:szCs w:val="21"/>
          <w:lang w:eastAsia="en-US"/>
        </w:rPr>
        <w:t>X</w:t>
      </w:r>
      <w:r w:rsidRPr="00523BFE">
        <w:rPr>
          <w:rFonts w:ascii="Times New Roman" w:hAnsi="Times New Roman" w:cs="Times New Roman"/>
          <w:b/>
          <w:kern w:val="0"/>
          <w:sz w:val="24"/>
          <w:szCs w:val="21"/>
          <w:lang w:eastAsia="en-US"/>
        </w:rPr>
        <w:t>:</w:t>
      </w:r>
    </w:p>
    <w:p w14:paraId="1C7EDB71" w14:textId="77777777" w:rsidR="00766C9C" w:rsidRPr="00523BFE" w:rsidRDefault="00766C9C" w:rsidP="00766C9C">
      <w:pPr>
        <w:jc w:val="left"/>
        <w:rPr>
          <w:rFonts w:ascii="Times New Roman" w:eastAsia="黑体" w:hAnsi="Times New Roman" w:cs="Times New Roman"/>
          <w:b/>
          <w:bCs/>
          <w:sz w:val="18"/>
          <w:szCs w:val="18"/>
        </w:rPr>
      </w:pPr>
      <w:r w:rsidRPr="00523BFE">
        <w:rPr>
          <w:rFonts w:ascii="Times New Roman" w:eastAsia="黑体" w:hAnsi="Times New Roman" w:cs="Times New Roman"/>
          <w:b/>
          <w:bCs/>
          <w:sz w:val="18"/>
          <w:szCs w:val="18"/>
        </w:rPr>
        <w:t xml:space="preserve">Tab. A1  </w:t>
      </w:r>
    </w:p>
    <w:p w14:paraId="49B5314D" w14:textId="77777777" w:rsidR="00766C9C" w:rsidRPr="00523BFE" w:rsidRDefault="00766C9C" w:rsidP="00766C9C">
      <w:pPr>
        <w:jc w:val="left"/>
        <w:rPr>
          <w:rFonts w:ascii="Times New Roman" w:eastAsia="黑体" w:hAnsi="Times New Roman" w:cs="Times New Roman"/>
          <w:b/>
          <w:bCs/>
          <w:sz w:val="18"/>
          <w:szCs w:val="18"/>
        </w:rPr>
      </w:pPr>
      <w:r w:rsidRPr="00523BFE">
        <w:rPr>
          <w:rFonts w:ascii="Times New Roman" w:eastAsia="黑体" w:hAnsi="Times New Roman" w:cs="Times New Roman"/>
          <w:b/>
          <w:bCs/>
          <w:sz w:val="18"/>
          <w:szCs w:val="18"/>
        </w:rPr>
        <w:t>The city-regions and cities</w:t>
      </w:r>
      <w:r w:rsidRPr="00523BFE">
        <w:rPr>
          <w:rStyle w:val="a5"/>
          <w:rFonts w:ascii="Times New Roman" w:eastAsia="黑体" w:hAnsi="Times New Roman" w:cs="Times New Roman"/>
          <w:b/>
          <w:bCs/>
          <w:sz w:val="18"/>
          <w:szCs w:val="18"/>
        </w:rPr>
        <w:footnoteReference w:id="1"/>
      </w:r>
      <w:r w:rsidRPr="00523BFE">
        <w:rPr>
          <w:rStyle w:val="a5"/>
          <w:rFonts w:ascii="Times New Roman" w:eastAsia="黑体" w:hAnsi="Times New Roman" w:cs="Times New Roman"/>
          <w:b/>
          <w:bCs/>
          <w:sz w:val="18"/>
          <w:szCs w:val="18"/>
        </w:rPr>
        <w:footnoteReference w:id="2"/>
      </w:r>
      <w:bookmarkStart w:id="0" w:name="_GoBack"/>
      <w:bookmarkEnd w:id="0"/>
    </w:p>
    <w:tbl>
      <w:tblPr>
        <w:tblW w:w="5000" w:type="pct"/>
        <w:tblBorders>
          <w:top w:val="none" w:sz="4" w:space="0" w:color="auto"/>
          <w:bottom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613"/>
        <w:gridCol w:w="2203"/>
        <w:gridCol w:w="3782"/>
      </w:tblGrid>
      <w:tr w:rsidR="00766C9C" w:rsidRPr="00523BFE" w14:paraId="42092A44" w14:textId="77777777" w:rsidTr="0012099B">
        <w:trPr>
          <w:trHeight w:val="23"/>
          <w:tblHeader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3A1A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Number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DD33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Name of city-regions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BAA0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Planning document</w:t>
            </w: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AC88CE" w14:textId="77777777" w:rsidR="00766C9C" w:rsidRPr="00523BFE" w:rsidRDefault="00766C9C" w:rsidP="0012099B">
            <w:pPr>
              <w:widowControl/>
              <w:ind w:firstLineChars="50" w:firstLine="75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Cities</w:t>
            </w:r>
          </w:p>
        </w:tc>
      </w:tr>
      <w:tr w:rsidR="00766C9C" w:rsidRPr="00523BFE" w14:paraId="77CC1F14" w14:textId="77777777" w:rsidTr="0012099B">
        <w:trPr>
          <w:trHeight w:val="23"/>
          <w:tblHeader/>
        </w:trPr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A74DF7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6DFB6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Beijing-Tianjin-Hebei 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12101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Regional Planning of Beijing-Tianjin-Hebei Metropolitan Circle, National Main Function Zone Planning</w:t>
            </w:r>
          </w:p>
        </w:tc>
        <w:tc>
          <w:tcPr>
            <w:tcW w:w="2300" w:type="pct"/>
            <w:tcBorders>
              <w:top w:val="single" w:sz="4" w:space="0" w:color="auto"/>
              <w:left w:val="nil"/>
            </w:tcBorders>
            <w:vAlign w:val="center"/>
          </w:tcPr>
          <w:p w14:paraId="2A7C260A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Beijing, Tianjin, Shijiazhuang, Qinhuangdao, Tangshan,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Langfang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Baoding,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Cangzhou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, Zhangjiakou, Chengde</w:t>
            </w:r>
          </w:p>
        </w:tc>
      </w:tr>
      <w:tr w:rsidR="00766C9C" w:rsidRPr="00523BFE" w14:paraId="07B920F4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6CD12D1C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C8C46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Yangtze River Delta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6F5E3211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Outline of Regional Planning in the Yangtze River Delta, National Main Function Zone Planning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0BB3B1D0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Shanghai, Nanjing, Wuxi, Changzhou, Suzhou, Nantong, Yangzhou, Zhenjiang, Taizhou, Hangzhou, Ningbo, Jiaxing, Huzhou, Shaoxing, Zhoushan, Taizhou</w:t>
            </w:r>
          </w:p>
        </w:tc>
      </w:tr>
      <w:tr w:rsidR="00766C9C" w:rsidRPr="00523BFE" w14:paraId="1DCE641D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6431E071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C4AE8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Pearl River Delta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035289CA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Outline of the Plan for the Reform and Development of the Pearl River Delta region (2008-2020), National Main Function Zone Planning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107CC641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Shenzhen, Guangzhou, Zhuhai, Foshan, Jiangmen,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Zhaoqing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Huizhou, Dongguan,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Zhongshan</w:t>
            </w:r>
            <w:proofErr w:type="spellEnd"/>
          </w:p>
        </w:tc>
      </w:tr>
      <w:tr w:rsidR="00766C9C" w:rsidRPr="00523BFE" w14:paraId="6186AA4F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11E3755E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A5FE7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Southern Liaoning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34DE0912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National Main Function Zone Planning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450EBD72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Shenyang, Dalian, Anshan, Fushun, Benxi, Liaoyang, Dandong,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Yingkou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Panjin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Tieling</w:t>
            </w:r>
            <w:proofErr w:type="spellEnd"/>
          </w:p>
        </w:tc>
      </w:tr>
      <w:tr w:rsidR="00766C9C" w:rsidRPr="00523BFE" w14:paraId="243C8181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0640881F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2C48E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Shandong Peninsula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092B7DBD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General Plan of Shandong Peninsula City-region (2006-2020), National Main Function Zone Planning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648382C4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Jinan, Qingdao, Yantai, Zibo, Weihai, Weifang,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Dongying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, Rizhao</w:t>
            </w:r>
          </w:p>
        </w:tc>
      </w:tr>
      <w:tr w:rsidR="00766C9C" w:rsidRPr="00523BFE" w14:paraId="5F60FB21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404105B5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4D469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Harbin-Chang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17D589F4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National Main Function Zone Planning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761A05E4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Harbin, Changchun, Daqing, Qiqihar, Mudanjiang, Jilin,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Songyuan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Yanbian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Korean Autonomous Prefecture</w:t>
            </w:r>
          </w:p>
        </w:tc>
      </w:tr>
      <w:tr w:rsidR="00766C9C" w:rsidRPr="00523BFE" w14:paraId="5A80DCE7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268F1235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A4056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Jianghuai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59430F36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National Main Function Zone Planning, Strategic Planning of National Economic Development during the 12</w:t>
            </w: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  <w:vertAlign w:val="superscript"/>
              </w:rPr>
              <w:t xml:space="preserve">th </w:t>
            </w: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five-year Plan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7CAB8100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Hefei, Wuhu,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Maanshan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Tongling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Anqing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Chuzhou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Chizhou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Liu'an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Huainan, Bengbu,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Xuancheng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Chaohu</w:t>
            </w:r>
            <w:proofErr w:type="spellEnd"/>
          </w:p>
        </w:tc>
      </w:tr>
      <w:tr w:rsidR="00766C9C" w:rsidRPr="00523BFE" w14:paraId="3B7AB9E4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1CA76628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6D702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Strait West Coast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6A7356B1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National Main Function Zone Planning, Coordinated Development Planning of City-region in the West Bank of the Straits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65D1C4E0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Xiamen, Fuzhou,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Putian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Sanming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Quanzhou, Zhangzhou,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Nanping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Longyan,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Ningde</w:t>
            </w:r>
            <w:proofErr w:type="spellEnd"/>
          </w:p>
        </w:tc>
      </w:tr>
      <w:tr w:rsidR="00766C9C" w:rsidRPr="00523BFE" w14:paraId="45AB3382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6E3A249C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B6B22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Central Henan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3069D7EF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Outline of Overall Development Planning for Central Henan City-region</w:t>
            </w:r>
            <w:r w:rsidRPr="00523BFE">
              <w:rPr>
                <w:rFonts w:ascii="Times New Roman" w:eastAsia="宋体" w:hAnsi="Times New Roman" w:cs="Times New Roman" w:hint="eastAsia"/>
                <w:i/>
                <w:kern w:val="0"/>
                <w:sz w:val="15"/>
                <w:szCs w:val="15"/>
              </w:rPr>
              <w:t>、</w:t>
            </w: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National Main Function Zone Planning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678DCAD5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Zhengzhou, Kaifeng, Luoyang,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Pingdingshan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Xinxiang, Jiaozuo,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Xuchang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Luohe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Jiyuan</w:t>
            </w:r>
            <w:proofErr w:type="spellEnd"/>
          </w:p>
        </w:tc>
      </w:tr>
      <w:tr w:rsidR="00766C9C" w:rsidRPr="00523BFE" w14:paraId="4F2F4094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53E3CBCE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E85E9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Wuhan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793420F2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General Planning of Wuhan Urban Circle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5FE0D3EE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bookmarkStart w:id="1" w:name="RANGE!C12"/>
            <w:bookmarkEnd w:id="1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Wuhan,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Huangshi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Ezhou,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Xiaogan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Xianning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Huanggang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Tianmen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Xiantao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Qianjiang</w:t>
            </w:r>
            <w:proofErr w:type="spellEnd"/>
          </w:p>
        </w:tc>
      </w:tr>
      <w:tr w:rsidR="00766C9C" w:rsidRPr="00523BFE" w14:paraId="1C9BD0B9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62CD55EA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5DE47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Chang- Zhu-Tan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310D35B1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The Hunan Development Plan of Chang-Zhu-Tan City-region during the 12</w:t>
            </w: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  <w:vertAlign w:val="superscript"/>
              </w:rPr>
              <w:t>th</w:t>
            </w: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 xml:space="preserve"> five-year Plan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62D1905B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Changsha, Zhuzhou, Xiangtan, Hengyang,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Yueyang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Yiyang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Changde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, Loudi</w:t>
            </w:r>
          </w:p>
        </w:tc>
      </w:tr>
      <w:tr w:rsidR="00766C9C" w:rsidRPr="00523BFE" w14:paraId="5AC4E250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20A2FEA2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F53E3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Poyang Lake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6F11E66E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Planning of Poyang Lake Ecological Economic Zone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1CC2084B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Nanchang,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Jiujiang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Xinyu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Jian,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Yichun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Jingdezhen,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Yingtan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Fuzhou,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Shangrao</w:t>
            </w:r>
            <w:proofErr w:type="spellEnd"/>
          </w:p>
        </w:tc>
      </w:tr>
      <w:tr w:rsidR="00766C9C" w:rsidRPr="00523BFE" w14:paraId="6E9FE84C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4E2AF253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13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3D22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Chengdu-Chongqing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57F9192B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Regional Planning of Chengdu-Chongqing Economic Zone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0A475BF8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Chongqing, Chengdu,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Deyang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Mianyang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Meishan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Ziyang,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Suining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Leshan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Yaan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Zigong,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Luzhou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Neijiang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Nanchong,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Yibin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Dazhou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Guangan</w:t>
            </w:r>
            <w:proofErr w:type="spellEnd"/>
          </w:p>
        </w:tc>
      </w:tr>
      <w:tr w:rsidR="00766C9C" w:rsidRPr="00523BFE" w14:paraId="7AE89AB3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079F9616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D81D1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Guanzhong-Tianshui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0879EEC5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 xml:space="preserve">Development Planning of </w:t>
            </w:r>
            <w:proofErr w:type="spellStart"/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Guanzhong-Tianshui</w:t>
            </w:r>
            <w:proofErr w:type="spellEnd"/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 xml:space="preserve"> Economic Zone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48C9A5C0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Xi'an,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Tongchuan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Baoji, Xianyang,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Weinan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Shangluo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Tianshui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, Yang Ling</w:t>
            </w:r>
          </w:p>
        </w:tc>
      </w:tr>
      <w:tr w:rsidR="00766C9C" w:rsidRPr="00523BFE" w14:paraId="3FB44D72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4883D111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865C0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Taiyuan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6B6431CB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Strategic Planning of National Economic Development during the 12</w:t>
            </w: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  <w:vertAlign w:val="superscript"/>
              </w:rPr>
              <w:t xml:space="preserve">th </w:t>
            </w: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five-year Plan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7DD717AD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Taiyuan,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Jinzhong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Yangquan,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Lvliang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Qizhou</w:t>
            </w:r>
            <w:proofErr w:type="spellEnd"/>
          </w:p>
        </w:tc>
      </w:tr>
      <w:tr w:rsidR="00766C9C" w:rsidRPr="00523BFE" w14:paraId="68D855F8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030BE329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66013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Beibu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Gulf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4770C459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 xml:space="preserve">Development Planning of Guangxi </w:t>
            </w:r>
            <w:proofErr w:type="spellStart"/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Beibu</w:t>
            </w:r>
            <w:proofErr w:type="spellEnd"/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 xml:space="preserve"> Gulf Economic Zone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4C295616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Nanning, Beihai, Qinzhou, </w:t>
            </w:r>
            <w:proofErr w:type="spellStart"/>
            <w:r w:rsidRPr="00523BFE">
              <w:rPr>
                <w:rFonts w:ascii="Times New Roman" w:eastAsia="宋体" w:hAnsi="Times New Roman" w:cs="Times New Roman"/>
                <w:sz w:val="15"/>
                <w:szCs w:val="15"/>
              </w:rPr>
              <w:t>Fangchenggang</w:t>
            </w:r>
            <w:proofErr w:type="spellEnd"/>
          </w:p>
        </w:tc>
      </w:tr>
      <w:tr w:rsidR="00766C9C" w:rsidRPr="00523BFE" w14:paraId="74E07380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4E66EBFA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7AA57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Lanzhou-Xining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52CEA13F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The 12</w:t>
            </w: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  <w:vertAlign w:val="superscript"/>
              </w:rPr>
              <w:t>th</w:t>
            </w: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 xml:space="preserve"> five-year Plan of Western Development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5C0CDF54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Lanzhou, Xining,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Baiyin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Dingxi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Linxia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Hui Autonomous Prefecture</w:t>
            </w:r>
          </w:p>
        </w:tc>
      </w:tr>
      <w:tr w:rsidR="00766C9C" w:rsidRPr="00523BFE" w14:paraId="79841A0F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61BBFB78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B221C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Central Yunnan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574834C8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National Main Function Zone Planning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081DC7BC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Kunming,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Qujing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Yuxi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Chuxiong</w:t>
            </w:r>
            <w:proofErr w:type="spellEnd"/>
          </w:p>
        </w:tc>
      </w:tr>
      <w:tr w:rsidR="00766C9C" w:rsidRPr="00523BFE" w14:paraId="36ECFE60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5BE8BC71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212CC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Central Guizhou 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20E7C420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National Main Function Zone Planning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765BB2F3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Guiyang,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Zunyi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Anshun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Bijie</w:t>
            </w:r>
            <w:proofErr w:type="spellEnd"/>
            <w:r w:rsidRPr="00523BFE">
              <w:rPr>
                <w:rFonts w:ascii="Times New Roman" w:eastAsia="宋体" w:hAnsi="Times New Roman" w:cs="Times New Roman" w:hint="eastAsia"/>
                <w:bCs/>
                <w:kern w:val="0"/>
                <w:sz w:val="15"/>
                <w:szCs w:val="15"/>
              </w:rPr>
              <w:t>、</w:t>
            </w:r>
            <w:proofErr w:type="spellStart"/>
            <w:r w:rsidRPr="00523BFE">
              <w:rPr>
                <w:rFonts w:ascii="Times New Roman" w:eastAsia="宋体" w:hAnsi="Times New Roman" w:cs="Times New Roman"/>
                <w:bCs/>
                <w:kern w:val="0"/>
                <w:sz w:val="15"/>
                <w:szCs w:val="15"/>
              </w:rPr>
              <w:t>Qiandongnan</w:t>
            </w:r>
            <w:proofErr w:type="spellEnd"/>
            <w:r w:rsidRPr="00523BFE">
              <w:rPr>
                <w:rFonts w:ascii="Times New Roman" w:eastAsia="宋体" w:hAnsi="Times New Roman" w:cs="Times New Roman"/>
                <w:bCs/>
                <w:kern w:val="0"/>
                <w:sz w:val="15"/>
                <w:szCs w:val="15"/>
              </w:rPr>
              <w:t xml:space="preserve"> prefecture</w:t>
            </w:r>
            <w:r w:rsidRPr="00523BFE">
              <w:rPr>
                <w:rFonts w:ascii="Times New Roman" w:eastAsia="宋体" w:hAnsi="Times New Roman" w:cs="Times New Roman" w:hint="eastAsia"/>
                <w:bCs/>
                <w:kern w:val="0"/>
                <w:sz w:val="15"/>
                <w:szCs w:val="15"/>
              </w:rPr>
              <w:t>、</w:t>
            </w:r>
            <w:proofErr w:type="spellStart"/>
            <w:r w:rsidRPr="00523BFE">
              <w:rPr>
                <w:rFonts w:ascii="Times New Roman" w:eastAsia="宋体" w:hAnsi="Times New Roman" w:cs="Times New Roman"/>
                <w:bCs/>
                <w:kern w:val="0"/>
                <w:sz w:val="15"/>
                <w:szCs w:val="15"/>
              </w:rPr>
              <w:t>Qiannan</w:t>
            </w:r>
            <w:proofErr w:type="spellEnd"/>
            <w:r w:rsidRPr="00523BFE">
              <w:rPr>
                <w:rFonts w:ascii="Times New Roman" w:eastAsia="宋体" w:hAnsi="Times New Roman" w:cs="Times New Roman"/>
                <w:bCs/>
                <w:kern w:val="0"/>
                <w:sz w:val="15"/>
                <w:szCs w:val="15"/>
              </w:rPr>
              <w:t xml:space="preserve"> prefecture</w:t>
            </w: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</w:p>
        </w:tc>
      </w:tr>
      <w:tr w:rsidR="00766C9C" w:rsidRPr="00523BFE" w14:paraId="0AA5257B" w14:textId="77777777" w:rsidTr="0012099B">
        <w:trPr>
          <w:trHeight w:val="23"/>
          <w:tblHeader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14:paraId="3CE78A82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96AB5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Hu-Bao-E-Yu </w:t>
            </w:r>
          </w:p>
        </w:tc>
        <w:tc>
          <w:tcPr>
            <w:tcW w:w="1350" w:type="pct"/>
            <w:tcBorders>
              <w:left w:val="nil"/>
              <w:right w:val="single" w:sz="4" w:space="0" w:color="auto"/>
            </w:tcBorders>
            <w:vAlign w:val="center"/>
          </w:tcPr>
          <w:p w14:paraId="793F4E2F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National Main Function Zone Planning</w:t>
            </w:r>
          </w:p>
        </w:tc>
        <w:tc>
          <w:tcPr>
            <w:tcW w:w="2300" w:type="pct"/>
            <w:tcBorders>
              <w:left w:val="nil"/>
            </w:tcBorders>
            <w:vAlign w:val="center"/>
          </w:tcPr>
          <w:p w14:paraId="0CA75644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Huhhot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Baotou, Ordos,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Yulin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</w:t>
            </w:r>
          </w:p>
        </w:tc>
      </w:tr>
      <w:tr w:rsidR="00766C9C" w:rsidRPr="00523BFE" w14:paraId="46772B4F" w14:textId="77777777" w:rsidTr="0012099B">
        <w:trPr>
          <w:trHeight w:val="23"/>
          <w:tblHeader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B8AB0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8C2D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along the Yellow River in Ningxia</w:t>
            </w:r>
          </w:p>
        </w:tc>
        <w:tc>
          <w:tcPr>
            <w:tcW w:w="135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29F7E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Outline of the 12</w:t>
            </w: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  <w:vertAlign w:val="superscript"/>
              </w:rPr>
              <w:t>th</w:t>
            </w:r>
            <w:r w:rsidRPr="00523BFE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 xml:space="preserve"> Five-Year Plan</w:t>
            </w:r>
          </w:p>
        </w:tc>
        <w:tc>
          <w:tcPr>
            <w:tcW w:w="2300" w:type="pct"/>
            <w:tcBorders>
              <w:left w:val="nil"/>
              <w:bottom w:val="single" w:sz="4" w:space="0" w:color="auto"/>
            </w:tcBorders>
            <w:vAlign w:val="center"/>
          </w:tcPr>
          <w:p w14:paraId="124D9C70" w14:textId="77777777" w:rsidR="00766C9C" w:rsidRPr="00523BFE" w:rsidRDefault="00766C9C" w:rsidP="0012099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Yinchuan,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Shizuishan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Wuzhong</w:t>
            </w:r>
            <w:proofErr w:type="spellEnd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, </w:t>
            </w:r>
            <w:proofErr w:type="spellStart"/>
            <w:r w:rsidRPr="00523BFE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Zhongwei</w:t>
            </w:r>
            <w:proofErr w:type="spellEnd"/>
          </w:p>
        </w:tc>
      </w:tr>
    </w:tbl>
    <w:p w14:paraId="6FEDD956" w14:textId="77777777" w:rsidR="00B72917" w:rsidRDefault="00B72917"/>
    <w:sectPr w:rsidR="00B7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6E5B4" w14:textId="77777777" w:rsidR="00676B75" w:rsidRDefault="00676B75" w:rsidP="00766C9C">
      <w:r>
        <w:separator/>
      </w:r>
    </w:p>
  </w:endnote>
  <w:endnote w:type="continuationSeparator" w:id="0">
    <w:p w14:paraId="1BE2E3FB" w14:textId="77777777" w:rsidR="00676B75" w:rsidRDefault="00676B75" w:rsidP="0076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15E21" w14:textId="77777777" w:rsidR="00676B75" w:rsidRDefault="00676B75" w:rsidP="00766C9C">
      <w:r>
        <w:separator/>
      </w:r>
    </w:p>
  </w:footnote>
  <w:footnote w:type="continuationSeparator" w:id="0">
    <w:p w14:paraId="561341B1" w14:textId="77777777" w:rsidR="00676B75" w:rsidRDefault="00676B75" w:rsidP="00766C9C">
      <w:r>
        <w:continuationSeparator/>
      </w:r>
    </w:p>
  </w:footnote>
  <w:footnote w:id="1">
    <w:p w14:paraId="64C55F7F" w14:textId="77777777" w:rsidR="00766C9C" w:rsidRPr="00CC24B2" w:rsidRDefault="00766C9C" w:rsidP="00766C9C">
      <w:pPr>
        <w:pStyle w:val="a3"/>
        <w:rPr>
          <w:rFonts w:ascii="Times New Roman" w:hAnsi="Times New Roman" w:cs="Times New Roman"/>
        </w:rPr>
      </w:pPr>
      <w:r w:rsidRPr="00CC24B2">
        <w:rPr>
          <w:rStyle w:val="a5"/>
          <w:rFonts w:ascii="Times New Roman" w:hAnsi="Times New Roman" w:cs="Times New Roman"/>
        </w:rPr>
        <w:footnoteRef/>
      </w:r>
      <w:r w:rsidRPr="00CC24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C00000"/>
        </w:rPr>
        <w:t>This paper</w:t>
      </w:r>
      <w:r w:rsidRPr="00CC24B2">
        <w:rPr>
          <w:rFonts w:ascii="Times New Roman" w:hAnsi="Times New Roman" w:cs="Times New Roman"/>
        </w:rPr>
        <w:t xml:space="preserve"> ha</w:t>
      </w:r>
      <w:r>
        <w:rPr>
          <w:rFonts w:ascii="Times New Roman" w:hAnsi="Times New Roman" w:cs="Times New Roman"/>
        </w:rPr>
        <w:t>s</w:t>
      </w:r>
      <w:r w:rsidRPr="00CC24B2">
        <w:rPr>
          <w:rFonts w:ascii="Times New Roman" w:hAnsi="Times New Roman" w:cs="Times New Roman"/>
        </w:rPr>
        <w:t xml:space="preserve"> dealt with the 24 urban agglomerations identified in the </w:t>
      </w:r>
      <w:r w:rsidRPr="00CC24B2">
        <w:rPr>
          <w:rFonts w:ascii="Times New Roman" w:hAnsi="Times New Roman" w:cs="Times New Roman"/>
          <w:i/>
        </w:rPr>
        <w:t>2013 China Regional Economic Development Repor</w:t>
      </w:r>
      <w:r w:rsidRPr="00CC24B2">
        <w:rPr>
          <w:rFonts w:ascii="Times New Roman" w:hAnsi="Times New Roman" w:cs="Times New Roman"/>
        </w:rPr>
        <w:t xml:space="preserve">t by deleting three urban agglomerations, namely East </w:t>
      </w:r>
      <w:proofErr w:type="spellStart"/>
      <w:r w:rsidRPr="00CC24B2">
        <w:rPr>
          <w:rFonts w:ascii="Times New Roman" w:hAnsi="Times New Roman" w:cs="Times New Roman"/>
        </w:rPr>
        <w:t>longHai</w:t>
      </w:r>
      <w:proofErr w:type="spellEnd"/>
      <w:r w:rsidRPr="00CC24B2">
        <w:rPr>
          <w:rFonts w:ascii="Times New Roman" w:hAnsi="Times New Roman" w:cs="Times New Roman"/>
        </w:rPr>
        <w:t xml:space="preserve">, Central and South Tibet and Northern Slope of </w:t>
      </w:r>
      <w:proofErr w:type="spellStart"/>
      <w:r w:rsidRPr="00CC24B2">
        <w:rPr>
          <w:rFonts w:ascii="Times New Roman" w:hAnsi="Times New Roman" w:cs="Times New Roman"/>
        </w:rPr>
        <w:t>Tianshan</w:t>
      </w:r>
      <w:proofErr w:type="spellEnd"/>
      <w:r w:rsidRPr="00CC24B2">
        <w:rPr>
          <w:rFonts w:ascii="Times New Roman" w:hAnsi="Times New Roman" w:cs="Times New Roman"/>
        </w:rPr>
        <w:t>. Because the number of cities in these three urban agglomerations is so few and each of them contains only three cities.</w:t>
      </w:r>
    </w:p>
  </w:footnote>
  <w:footnote w:id="2">
    <w:p w14:paraId="02ED7743" w14:textId="77777777" w:rsidR="00766C9C" w:rsidRDefault="00766C9C" w:rsidP="00766C9C">
      <w:pPr>
        <w:pStyle w:val="a3"/>
      </w:pPr>
      <w:r w:rsidRPr="00CC24B2">
        <w:rPr>
          <w:rStyle w:val="a5"/>
          <w:rFonts w:ascii="Times New Roman" w:hAnsi="Times New Roman" w:cs="Times New Roman"/>
        </w:rPr>
        <w:footnoteRef/>
      </w:r>
      <w:r w:rsidRPr="00CC24B2">
        <w:rPr>
          <w:rFonts w:ascii="Times New Roman" w:hAnsi="Times New Roman" w:cs="Times New Roman"/>
        </w:rPr>
        <w:t xml:space="preserve"> </w:t>
      </w:r>
      <w:r w:rsidRPr="00CC24B2">
        <w:rPr>
          <w:rFonts w:ascii="Times New Roman" w:hAnsi="Times New Roman" w:cs="Times New Roman"/>
          <w:kern w:val="0"/>
        </w:rPr>
        <w:t xml:space="preserve">The 21 urban agglomerations contain 173 urban units. But </w:t>
      </w:r>
      <w:proofErr w:type="spellStart"/>
      <w:r w:rsidRPr="00CC24B2">
        <w:rPr>
          <w:rFonts w:ascii="Times New Roman" w:hAnsi="Times New Roman" w:cs="Times New Roman"/>
          <w:kern w:val="0"/>
        </w:rPr>
        <w:t>Yanbian</w:t>
      </w:r>
      <w:proofErr w:type="spellEnd"/>
      <w:r w:rsidRPr="00CC24B2">
        <w:rPr>
          <w:rFonts w:ascii="Times New Roman" w:hAnsi="Times New Roman" w:cs="Times New Roman"/>
          <w:kern w:val="0"/>
        </w:rPr>
        <w:t xml:space="preserve"> Korean Autonomous Prefecture, </w:t>
      </w:r>
      <w:proofErr w:type="spellStart"/>
      <w:r w:rsidRPr="00CC24B2">
        <w:rPr>
          <w:rFonts w:ascii="Times New Roman" w:hAnsi="Times New Roman" w:cs="Times New Roman"/>
          <w:kern w:val="0"/>
        </w:rPr>
        <w:t>Linxia</w:t>
      </w:r>
      <w:proofErr w:type="spellEnd"/>
      <w:r w:rsidRPr="00CC24B2">
        <w:rPr>
          <w:rFonts w:ascii="Times New Roman" w:hAnsi="Times New Roman" w:cs="Times New Roman"/>
          <w:kern w:val="0"/>
        </w:rPr>
        <w:t xml:space="preserve"> Hui Autonomous Prefecture, </w:t>
      </w:r>
      <w:proofErr w:type="spellStart"/>
      <w:r w:rsidRPr="00CC24B2">
        <w:rPr>
          <w:rFonts w:ascii="Times New Roman" w:hAnsi="Times New Roman" w:cs="Times New Roman"/>
          <w:kern w:val="0"/>
        </w:rPr>
        <w:t>Chuxiong</w:t>
      </w:r>
      <w:proofErr w:type="spellEnd"/>
      <w:r w:rsidRPr="00CC24B2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CC24B2">
        <w:rPr>
          <w:rFonts w:ascii="Times New Roman" w:hAnsi="Times New Roman" w:cs="Times New Roman"/>
          <w:kern w:val="0"/>
        </w:rPr>
        <w:t>Qiandongnan</w:t>
      </w:r>
      <w:proofErr w:type="spellEnd"/>
      <w:r w:rsidRPr="00CC24B2">
        <w:rPr>
          <w:rFonts w:ascii="Times New Roman" w:hAnsi="Times New Roman" w:cs="Times New Roman"/>
          <w:kern w:val="0"/>
        </w:rPr>
        <w:t xml:space="preserve"> Prefecture, </w:t>
      </w:r>
      <w:proofErr w:type="spellStart"/>
      <w:r w:rsidRPr="00CC24B2">
        <w:rPr>
          <w:rFonts w:ascii="Times New Roman" w:hAnsi="Times New Roman" w:cs="Times New Roman"/>
          <w:kern w:val="0"/>
        </w:rPr>
        <w:t>Jiyuan</w:t>
      </w:r>
      <w:proofErr w:type="spellEnd"/>
      <w:r w:rsidRPr="00CC24B2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CC24B2">
        <w:rPr>
          <w:rFonts w:ascii="Times New Roman" w:hAnsi="Times New Roman" w:cs="Times New Roman"/>
          <w:kern w:val="0"/>
        </w:rPr>
        <w:t>Tianmen</w:t>
      </w:r>
      <w:proofErr w:type="spellEnd"/>
      <w:r w:rsidRPr="00CC24B2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CC24B2">
        <w:rPr>
          <w:rFonts w:ascii="Times New Roman" w:hAnsi="Times New Roman" w:cs="Times New Roman"/>
          <w:kern w:val="0"/>
        </w:rPr>
        <w:t>Xiantao</w:t>
      </w:r>
      <w:proofErr w:type="spellEnd"/>
      <w:r w:rsidRPr="00CC24B2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CC24B2">
        <w:rPr>
          <w:rFonts w:ascii="Times New Roman" w:hAnsi="Times New Roman" w:cs="Times New Roman"/>
          <w:kern w:val="0"/>
        </w:rPr>
        <w:t>Qianjiang</w:t>
      </w:r>
      <w:proofErr w:type="spellEnd"/>
      <w:r w:rsidRPr="00CC24B2">
        <w:rPr>
          <w:rFonts w:ascii="Times New Roman" w:hAnsi="Times New Roman" w:cs="Times New Roman"/>
          <w:kern w:val="0"/>
        </w:rPr>
        <w:t xml:space="preserve"> and Yang Ling do not belong to the prefecture level city, so delete; the data of </w:t>
      </w:r>
      <w:proofErr w:type="spellStart"/>
      <w:r w:rsidRPr="00CC24B2">
        <w:rPr>
          <w:rFonts w:ascii="Times New Roman" w:hAnsi="Times New Roman" w:cs="Times New Roman"/>
          <w:kern w:val="0"/>
        </w:rPr>
        <w:t>Bijie</w:t>
      </w:r>
      <w:proofErr w:type="spellEnd"/>
      <w:r w:rsidRPr="00CC24B2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CC24B2">
        <w:rPr>
          <w:rFonts w:ascii="Times New Roman" w:hAnsi="Times New Roman" w:cs="Times New Roman"/>
          <w:kern w:val="0"/>
        </w:rPr>
        <w:t>Zhongwei</w:t>
      </w:r>
      <w:proofErr w:type="spellEnd"/>
      <w:r w:rsidRPr="00CC24B2">
        <w:rPr>
          <w:rFonts w:ascii="Times New Roman" w:hAnsi="Times New Roman" w:cs="Times New Roman"/>
          <w:kern w:val="0"/>
        </w:rPr>
        <w:t xml:space="preserve">, </w:t>
      </w:r>
      <w:proofErr w:type="spellStart"/>
      <w:r w:rsidRPr="00CC24B2">
        <w:rPr>
          <w:rFonts w:ascii="Times New Roman" w:hAnsi="Times New Roman" w:cs="Times New Roman"/>
          <w:kern w:val="0"/>
        </w:rPr>
        <w:t>Chaohu</w:t>
      </w:r>
      <w:proofErr w:type="spellEnd"/>
      <w:r w:rsidRPr="00CC24B2">
        <w:rPr>
          <w:rFonts w:ascii="Times New Roman" w:hAnsi="Times New Roman" w:cs="Times New Roman"/>
          <w:kern w:val="0"/>
        </w:rPr>
        <w:t xml:space="preserve"> in the sample observation period miss more, so delete. Therefore, the number of prefecture-level city (including municipalities) is 160.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17"/>
    <w:rsid w:val="001A0AC2"/>
    <w:rsid w:val="004636CC"/>
    <w:rsid w:val="00676B75"/>
    <w:rsid w:val="00766C9C"/>
    <w:rsid w:val="00B7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5E17"/>
  <w15:chartTrackingRefBased/>
  <w15:docId w15:val="{EB3199B4-8C91-4386-9DCB-60312E8A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766C9C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qFormat/>
    <w:rsid w:val="00766C9C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766C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Xu</dc:creator>
  <cp:keywords/>
  <dc:description/>
  <cp:lastModifiedBy>Han Xu</cp:lastModifiedBy>
  <cp:revision>3</cp:revision>
  <dcterms:created xsi:type="dcterms:W3CDTF">2022-06-20T07:30:00Z</dcterms:created>
  <dcterms:modified xsi:type="dcterms:W3CDTF">2022-06-20T07:32:00Z</dcterms:modified>
</cp:coreProperties>
</file>