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widowControl/>
        <w:rPr>
          <w:rFonts w:ascii="Times New Roman" w:hAnsi="Times New Roman"/>
          <w:bCs/>
          <w:iCs/>
          <w:sz w:val="24"/>
          <w:szCs w:val="28"/>
          <w:lang w:eastAsia="en-US"/>
        </w:rPr>
      </w:pPr>
      <w:r>
        <w:rPr>
          <w:rFonts w:hint="eastAsia" w:ascii="Times New Roman" w:hAnsi="Times New Roman"/>
          <w:bCs/>
          <w:iCs/>
          <w:sz w:val="24"/>
          <w:szCs w:val="28"/>
          <w:lang w:eastAsia="en-US"/>
        </w:rPr>
        <w:t>Supplementary</w:t>
      </w:r>
      <w:r>
        <w:rPr>
          <w:rFonts w:ascii="Times New Roman" w:hAnsi="Times New Roman"/>
          <w:bCs/>
          <w:iCs/>
          <w:sz w:val="24"/>
          <w:szCs w:val="28"/>
          <w:lang w:eastAsia="en-US"/>
        </w:rPr>
        <w:t xml:space="preserve"> materials</w:t>
      </w:r>
    </w:p>
    <w:p>
      <w:pPr>
        <w:jc w:val="left"/>
        <w:rPr>
          <w:rFonts w:ascii="Times New Roman" w:hAnsi="Times New Roman" w:cs="Times New Roman"/>
          <w:b/>
          <w:bCs/>
          <w:sz w:val="24"/>
          <w:szCs w:val="28"/>
          <w:lang w:eastAsia="en-US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1  </w:t>
      </w:r>
      <w:r>
        <w:rPr>
          <w:rFonts w:hint="eastAsia" w:ascii="Times New Roman" w:hAnsi="Times New Roman" w:cs="Times New Roman"/>
          <w:b/>
          <w:bCs/>
          <w:sz w:val="24"/>
          <w:szCs w:val="28"/>
          <w:lang w:eastAsia="en-US"/>
        </w:rPr>
        <w:t>Supplementary Figures and Tables</w:t>
      </w:r>
    </w:p>
    <w:p>
      <w:pPr>
        <w:jc w:val="left"/>
        <w:rPr>
          <w:rFonts w:ascii="Times New Roman" w:hAnsi="Times New Roman" w:cs="Times New Roman"/>
          <w:b/>
          <w:bCs/>
          <w:sz w:val="24"/>
          <w:szCs w:val="28"/>
          <w:lang w:eastAsia="en-US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1.1  </w:t>
      </w:r>
      <w:r>
        <w:rPr>
          <w:rFonts w:ascii="Times New Roman" w:hAnsi="Times New Roman" w:cs="Times New Roman"/>
          <w:b/>
          <w:bCs/>
          <w:sz w:val="24"/>
          <w:szCs w:val="28"/>
          <w:lang w:eastAsia="en-US"/>
        </w:rPr>
        <w:t>Supplementary Figures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drawing>
          <wp:inline distT="0" distB="0" distL="114300" distR="114300">
            <wp:extent cx="5997575" cy="8213090"/>
            <wp:effectExtent l="0" t="0" r="3175" b="0"/>
            <wp:docPr id="5" name="图片 5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9085" cy="82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 w:eastAsiaTheme="minorHAnsi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Figure S1. </w:t>
      </w:r>
      <w:r>
        <w:rPr>
          <w:rFonts w:hint="eastAsia" w:ascii="Times New Roman" w:hAnsi="Times New Roman" w:cs="Times New Roman"/>
          <w:sz w:val="24"/>
          <w:szCs w:val="28"/>
        </w:rPr>
        <w:t>Metabolic signaling pathways significantly dysregulated in CD4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 xml:space="preserve">T cells. </w:t>
      </w:r>
      <w:r>
        <w:rPr>
          <w:rFonts w:hint="eastAsia" w:ascii="Times New Roman" w:hAnsi="Times New Roman" w:cs="Times New Roman" w:eastAsiaTheme="minorHAnsi"/>
          <w:kern w:val="0"/>
          <w:sz w:val="24"/>
          <w:szCs w:val="24"/>
        </w:rPr>
        <w:t>A-B</w:t>
      </w:r>
      <w:r>
        <w:rPr>
          <w:rFonts w:ascii="Times New Roman" w:hAnsi="Times New Roman" w:cs="Times New Roman" w:eastAsiaTheme="minorHAnsi"/>
          <w:kern w:val="0"/>
          <w:sz w:val="24"/>
          <w:szCs w:val="24"/>
          <w:lang w:eastAsia="en-US"/>
        </w:rPr>
        <w:t>. Map of metabolic signaling pathways significantly dysregulated in microenvironmental CD4</w:t>
      </w:r>
      <w:r>
        <w:rPr>
          <w:rFonts w:ascii="Times New Roman" w:hAnsi="Times New Roman" w:eastAsia="Calibri" w:cs="Times New Roman"/>
          <w:kern w:val="0"/>
          <w:sz w:val="24"/>
          <w:szCs w:val="24"/>
          <w:vertAlign w:val="superscript"/>
          <w:lang w:eastAsia="en-US"/>
        </w:rPr>
        <w:t>+</w:t>
      </w:r>
      <w:r>
        <w:rPr>
          <w:rFonts w:ascii="Times New Roman" w:hAnsi="Times New Roman" w:cs="Times New Roman" w:eastAsiaTheme="minorHAnsi"/>
          <w:kern w:val="0"/>
          <w:sz w:val="24"/>
          <w:szCs w:val="24"/>
          <w:lang w:eastAsia="en-US"/>
        </w:rPr>
        <w:t xml:space="preserve"> T cells in HT (</w:t>
      </w:r>
      <w:r>
        <w:rPr>
          <w:rFonts w:hint="eastAsia" w:ascii="Times New Roman" w:hAnsi="Times New Roman" w:cs="Times New Roman" w:eastAsiaTheme="minorHAnsi"/>
          <w:kern w:val="0"/>
          <w:sz w:val="24"/>
          <w:szCs w:val="24"/>
        </w:rPr>
        <w:t>A</w:t>
      </w:r>
      <w:r>
        <w:rPr>
          <w:rFonts w:ascii="Times New Roman" w:hAnsi="Times New Roman" w:cs="Times New Roman" w:eastAsiaTheme="minorHAnsi"/>
          <w:kern w:val="0"/>
          <w:sz w:val="24"/>
          <w:szCs w:val="24"/>
          <w:lang w:eastAsia="en-US"/>
        </w:rPr>
        <w:t>) and GD (</w:t>
      </w:r>
      <w:r>
        <w:rPr>
          <w:rFonts w:hint="eastAsia" w:ascii="Times New Roman" w:hAnsi="Times New Roman" w:cs="Times New Roman" w:eastAsiaTheme="minorHAnsi"/>
          <w:kern w:val="0"/>
          <w:sz w:val="24"/>
          <w:szCs w:val="24"/>
        </w:rPr>
        <w:t>B</w:t>
      </w:r>
      <w:r>
        <w:rPr>
          <w:rFonts w:ascii="Times New Roman" w:hAnsi="Times New Roman" w:cs="Times New Roman" w:eastAsiaTheme="minorHAnsi"/>
          <w:kern w:val="0"/>
          <w:sz w:val="24"/>
          <w:szCs w:val="24"/>
          <w:lang w:eastAsia="en-US"/>
        </w:rPr>
        <w:t>) patient.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drawing>
          <wp:inline distT="0" distB="0" distL="114300" distR="114300">
            <wp:extent cx="5997575" cy="7647940"/>
            <wp:effectExtent l="0" t="0" r="3175" b="10160"/>
            <wp:docPr id="2" name="图片 2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Figure S2. </w:t>
      </w:r>
      <w:r>
        <w:rPr>
          <w:rFonts w:hint="eastAsia" w:ascii="Times New Roman" w:hAnsi="Times New Roman" w:cs="Times New Roman"/>
          <w:sz w:val="24"/>
          <w:szCs w:val="28"/>
        </w:rPr>
        <w:t>Metabolic signaling pathways significantly dysregulated in CD8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>T cells. A-B. Map of metabolic signaling pathways significantly dysregulated in microenvironmental CD8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>T cells in HT (A) and GD (B) patient.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drawing>
          <wp:inline distT="0" distB="0" distL="114300" distR="114300">
            <wp:extent cx="5997575" cy="8520430"/>
            <wp:effectExtent l="0" t="0" r="3175" b="13970"/>
            <wp:docPr id="3" name="图片 3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Figure S3. </w:t>
      </w:r>
      <w:r>
        <w:rPr>
          <w:rFonts w:hint="eastAsia" w:ascii="Times New Roman" w:hAnsi="Times New Roman" w:cs="Times New Roman"/>
          <w:sz w:val="24"/>
          <w:szCs w:val="28"/>
        </w:rPr>
        <w:t xml:space="preserve">Metabolic signaling pathways significantly dysregulated in </w:t>
      </w:r>
      <w:r>
        <w:rPr>
          <w:rFonts w:ascii="Times New Roman" w:hAnsi="Times New Roman" w:cs="Times New Roman"/>
          <w:sz w:val="24"/>
          <w:szCs w:val="28"/>
        </w:rPr>
        <w:t>macrophages</w:t>
      </w:r>
      <w:r>
        <w:rPr>
          <w:rFonts w:hint="eastAsia" w:ascii="Times New Roman" w:hAnsi="Times New Roman" w:cs="Times New Roman"/>
          <w:sz w:val="24"/>
          <w:szCs w:val="28"/>
        </w:rPr>
        <w:t>. A-B</w:t>
      </w:r>
      <w:r>
        <w:rPr>
          <w:rFonts w:ascii="Times New Roman" w:hAnsi="Times New Roman" w:cs="Times New Roman"/>
          <w:sz w:val="24"/>
          <w:szCs w:val="28"/>
        </w:rPr>
        <w:t>. Map of significantly dysregulated metabolic signaling pathways of microenvironmental Mac cells in HT (</w:t>
      </w:r>
      <w:r>
        <w:rPr>
          <w:rFonts w:hint="eastAsia" w:ascii="Times New Roman" w:hAnsi="Times New Roman" w:cs="Times New Roman"/>
          <w:sz w:val="24"/>
          <w:szCs w:val="28"/>
        </w:rPr>
        <w:t>A</w:t>
      </w:r>
      <w:r>
        <w:rPr>
          <w:rFonts w:ascii="Times New Roman" w:hAnsi="Times New Roman" w:cs="Times New Roman"/>
          <w:sz w:val="24"/>
          <w:szCs w:val="28"/>
        </w:rPr>
        <w:t>) and GD (</w:t>
      </w:r>
      <w:r>
        <w:rPr>
          <w:rFonts w:hint="eastAsia" w:ascii="Times New Roman" w:hAnsi="Times New Roman" w:cs="Times New Roman"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 xml:space="preserve">) patient. 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1.2  </w:t>
      </w:r>
      <w:r>
        <w:rPr>
          <w:rFonts w:ascii="Times New Roman" w:hAnsi="Times New Roman" w:cs="Times New Roman"/>
          <w:b/>
          <w:bCs/>
          <w:sz w:val="24"/>
          <w:szCs w:val="28"/>
          <w:lang w:eastAsia="en-US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 Table</w:t>
      </w:r>
    </w:p>
    <w:p>
      <w:pPr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>T</w:t>
      </w:r>
      <w:r>
        <w:rPr>
          <w:rFonts w:ascii="Times New Roman" w:hAnsi="Times New Roman" w:cs="Times New Roman"/>
          <w:b/>
          <w:bCs/>
          <w:sz w:val="24"/>
          <w:szCs w:val="28"/>
        </w:rPr>
        <w:t>able S1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8"/>
        </w:rPr>
        <w:t>Demographic and clinical data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.</w:t>
      </w:r>
    </w:p>
    <w:p>
      <w:pPr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rPr>
          <w:rFonts w:hint="eastAsia"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>Table S2. Marker genes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sz w:val="24"/>
          <w:szCs w:val="28"/>
        </w:rPr>
        <w:t>CD4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/>
          <w:b/>
          <w:bCs/>
          <w:sz w:val="24"/>
          <w:szCs w:val="28"/>
        </w:rPr>
        <w:t>T cell, CD8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/>
          <w:b/>
          <w:bCs/>
          <w:sz w:val="24"/>
          <w:szCs w:val="28"/>
        </w:rPr>
        <w:t>T cell and macrophage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.</w:t>
      </w:r>
    </w:p>
    <w:p>
      <w:pPr>
        <w:rPr>
          <w:rFonts w:hint="eastAsia" w:ascii="Times New Roman" w:hAnsi="Times New Roman" w:cs="Times New Roman"/>
          <w:b/>
          <w:bCs/>
          <w:sz w:val="24"/>
          <w:szCs w:val="28"/>
        </w:rPr>
      </w:pPr>
    </w:p>
    <w:p>
      <w:pPr>
        <w:rPr>
          <w:rFonts w:hint="default" w:ascii="Times New Roman" w:hAnsi="Times New Roman" w:cs="Times New Roman" w:eastAsiaTheme="minorEastAsia"/>
          <w:b/>
          <w:bCs/>
          <w:sz w:val="24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  <w:lang w:val="en-US" w:eastAsia="zh-CN"/>
        </w:rPr>
        <w:t>Table S3. Primer sequences for qPCR.</w:t>
      </w:r>
    </w:p>
    <w:p>
      <w:pPr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b/>
          <w:bCs/>
          <w:sz w:val="24"/>
          <w:szCs w:val="28"/>
        </w:rPr>
        <w:t>Table S</w:t>
      </w:r>
      <w:r>
        <w:rPr>
          <w:rFonts w:hint="eastAsia" w:ascii="Times New Roman" w:hAnsi="Times New Roman" w:cs="Times New Roman"/>
          <w:b/>
          <w:bCs/>
          <w:sz w:val="24"/>
          <w:szCs w:val="28"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bCs/>
          <w:sz w:val="24"/>
          <w:szCs w:val="28"/>
        </w:rPr>
        <w:t>Dysregulated genes in HT and GD patients.</w:t>
      </w:r>
      <w:bookmarkEnd w:id="0"/>
    </w:p>
    <w:sectPr>
      <w:pgSz w:w="11906" w:h="16838"/>
      <w:pgMar w:top="1134" w:right="1179" w:bottom="1134" w:left="128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643218"/>
    <w:rsid w:val="001B2020"/>
    <w:rsid w:val="00237CF7"/>
    <w:rsid w:val="00363C6B"/>
    <w:rsid w:val="00402077"/>
    <w:rsid w:val="00490658"/>
    <w:rsid w:val="00614DB8"/>
    <w:rsid w:val="006701F8"/>
    <w:rsid w:val="007926C7"/>
    <w:rsid w:val="008754F7"/>
    <w:rsid w:val="009715EA"/>
    <w:rsid w:val="00A76F8F"/>
    <w:rsid w:val="00B0122F"/>
    <w:rsid w:val="00B976EE"/>
    <w:rsid w:val="075D1687"/>
    <w:rsid w:val="15572180"/>
    <w:rsid w:val="1E116CA0"/>
    <w:rsid w:val="21A150F5"/>
    <w:rsid w:val="260429C9"/>
    <w:rsid w:val="26F22B1B"/>
    <w:rsid w:val="394D397B"/>
    <w:rsid w:val="4B697750"/>
    <w:rsid w:val="5193793E"/>
    <w:rsid w:val="56AD7886"/>
    <w:rsid w:val="6BCA76F1"/>
    <w:rsid w:val="76C30EF7"/>
    <w:rsid w:val="7B643218"/>
    <w:rsid w:val="7ECE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qFormat/>
    <w:uiPriority w:val="2"/>
    <w:pPr>
      <w:numPr>
        <w:ilvl w:val="1"/>
      </w:numPr>
      <w:spacing w:after="200"/>
      <w:outlineLvl w:val="1"/>
    </w:p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10">
    <w:name w:val="Supplementary Material"/>
    <w:basedOn w:val="7"/>
    <w:next w:val="7"/>
    <w:qFormat/>
    <w:uiPriority w:val="0"/>
    <w:pPr>
      <w:spacing w:after="120"/>
    </w:pPr>
    <w:rPr>
      <w:i/>
    </w:rPr>
  </w:style>
  <w:style w:type="character" w:customStyle="1" w:styleId="11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9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135</Words>
  <Characters>816</Characters>
  <Lines>6</Lines>
  <Paragraphs>1</Paragraphs>
  <TotalTime>1</TotalTime>
  <ScaleCrop>false</ScaleCrop>
  <LinksUpToDate>false</LinksUpToDate>
  <CharactersWithSpaces>944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2022-03-29T07:18:00Z</dcterms:created>
  <dc:creator>Edith Chen</dc:creator>
  <cp:lastModifiedBy>阿宅</cp:lastModifiedBy>
  <dcterms:modified xsi:type="dcterms:W3CDTF">2022-04-16T09:53:42Z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8EAC3CEE2D2B4DE5B1450D0B91F5B5FF</vt:lpwstr>
  </property>
</Properties>
</file>