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D6B01" w14:textId="77777777" w:rsidR="005C3C00" w:rsidRPr="005C3C00" w:rsidRDefault="005C3C00" w:rsidP="005C3C00">
      <w:pPr>
        <w:keepNext/>
        <w:keepLines/>
        <w:widowControl w:val="0"/>
        <w:spacing w:beforeLines="0" w:before="340" w:after="330" w:line="578" w:lineRule="auto"/>
        <w:ind w:firstLineChars="0" w:firstLine="0"/>
        <w:jc w:val="center"/>
        <w:outlineLvl w:val="0"/>
        <w:rPr>
          <w:rFonts w:eastAsiaTheme="minorEastAsia"/>
          <w:b/>
          <w:color w:val="auto"/>
          <w:kern w:val="44"/>
          <w:sz w:val="32"/>
          <w:szCs w:val="32"/>
        </w:rPr>
      </w:pPr>
      <w:r w:rsidRPr="005C3C00">
        <w:rPr>
          <w:rFonts w:eastAsiaTheme="minorEastAsia"/>
          <w:b/>
          <w:color w:val="auto"/>
          <w:kern w:val="44"/>
          <w:sz w:val="44"/>
          <w:szCs w:val="44"/>
        </w:rPr>
        <w:t>Supplementary Material</w:t>
      </w:r>
    </w:p>
    <w:p w14:paraId="3D625114" w14:textId="07CB8184" w:rsidR="005C3C00" w:rsidRPr="005C3C00" w:rsidRDefault="005C3C00" w:rsidP="005C3C00">
      <w:pPr>
        <w:keepNext/>
        <w:keepLines/>
        <w:widowControl w:val="0"/>
        <w:spacing w:beforeLines="0" w:before="260" w:line="416" w:lineRule="auto"/>
        <w:ind w:firstLineChars="0" w:firstLine="0"/>
        <w:outlineLvl w:val="1"/>
        <w:rPr>
          <w:rFonts w:eastAsiaTheme="majorEastAsia"/>
          <w:b/>
          <w:color w:val="auto"/>
          <w:kern w:val="2"/>
          <w:sz w:val="32"/>
          <w:szCs w:val="32"/>
        </w:rPr>
      </w:pPr>
      <w:r w:rsidRPr="005C3C00">
        <w:rPr>
          <w:rFonts w:eastAsiaTheme="majorEastAsia"/>
          <w:b/>
          <w:color w:val="auto"/>
          <w:kern w:val="2"/>
          <w:sz w:val="32"/>
          <w:szCs w:val="32"/>
        </w:rPr>
        <w:t>Supplementary Figures</w:t>
      </w:r>
    </w:p>
    <w:p w14:paraId="10DA6AD5" w14:textId="561AE561" w:rsidR="005C3C00" w:rsidRPr="006466E2" w:rsidRDefault="005C3C00" w:rsidP="005C3C00">
      <w:pPr>
        <w:spacing w:beforeLines="0" w:before="120" w:after="240" w:line="240" w:lineRule="auto"/>
        <w:ind w:firstLineChars="0" w:firstLine="0"/>
      </w:pPr>
      <w:r>
        <w:rPr>
          <w:noProof/>
        </w:rPr>
        <w:drawing>
          <wp:inline distT="0" distB="0" distL="0" distR="0" wp14:anchorId="2D98FE74" wp14:editId="21493D8E">
            <wp:extent cx="4700016" cy="6110224"/>
            <wp:effectExtent l="0" t="0" r="571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016" cy="611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A9BA6" w14:textId="62821908" w:rsidR="005C3C00" w:rsidRPr="005C3C00" w:rsidRDefault="005C3C00" w:rsidP="005C3C00">
      <w:pPr>
        <w:spacing w:beforeLines="0" w:before="120" w:after="240" w:line="240" w:lineRule="auto"/>
        <w:ind w:firstLineChars="0" w:firstLine="0"/>
        <w:jc w:val="left"/>
      </w:pPr>
      <w:bookmarkStart w:id="0" w:name="OLE_LINK66"/>
      <w:r w:rsidRPr="006466E2">
        <w:rPr>
          <w:b/>
          <w:bCs w:val="0"/>
        </w:rPr>
        <w:t>Figure S1</w:t>
      </w:r>
      <w:r w:rsidRPr="006466E2">
        <w:t>. Flow chart of the study.</w:t>
      </w:r>
    </w:p>
    <w:p w14:paraId="694BB280" w14:textId="340725A5" w:rsidR="005C3C00" w:rsidRDefault="005C3C00" w:rsidP="005C3C00">
      <w:pPr>
        <w:spacing w:before="156" w:after="0"/>
        <w:ind w:firstLine="482"/>
        <w:jc w:val="center"/>
        <w:rPr>
          <w:b/>
          <w:bCs w:val="0"/>
        </w:rPr>
      </w:pPr>
      <w:r>
        <w:rPr>
          <w:b/>
          <w:bCs w:val="0"/>
        </w:rPr>
        <w:br w:type="page"/>
      </w:r>
    </w:p>
    <w:p w14:paraId="06E5B6DC" w14:textId="77777777" w:rsidR="00A334F5" w:rsidRDefault="005C3C00" w:rsidP="005C3C00">
      <w:pPr>
        <w:spacing w:before="156" w:after="0"/>
        <w:ind w:firstLine="482"/>
        <w:rPr>
          <w:b/>
          <w:bCs w:val="0"/>
        </w:rPr>
      </w:pPr>
      <w:r>
        <w:rPr>
          <w:b/>
          <w:bCs w:val="0"/>
          <w:noProof/>
        </w:rPr>
        <w:lastRenderedPageBreak/>
        <w:drawing>
          <wp:inline distT="0" distB="0" distL="0" distR="0" wp14:anchorId="5C9B66DF" wp14:editId="3B8359AC">
            <wp:extent cx="4610100" cy="5956548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091" cy="596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1164B" w14:textId="6FD038F2" w:rsidR="005C3C00" w:rsidRPr="005C3C00" w:rsidRDefault="005C3C00" w:rsidP="007B41B9">
      <w:pPr>
        <w:spacing w:beforeLines="0" w:before="0" w:after="0" w:line="240" w:lineRule="auto"/>
        <w:ind w:firstLineChars="0" w:firstLine="0"/>
        <w:rPr>
          <w:b/>
          <w:bCs w:val="0"/>
        </w:rPr>
      </w:pPr>
      <w:r w:rsidRPr="006466E2">
        <w:rPr>
          <w:rFonts w:hint="eastAsia"/>
          <w:b/>
          <w:bCs w:val="0"/>
        </w:rPr>
        <w:t>F</w:t>
      </w:r>
      <w:r w:rsidRPr="006466E2">
        <w:rPr>
          <w:b/>
          <w:bCs w:val="0"/>
        </w:rPr>
        <w:t>igure S2</w:t>
      </w:r>
      <w:r w:rsidRPr="006466E2">
        <w:t xml:space="preserve">. </w:t>
      </w:r>
      <w:r w:rsidR="007B41B9" w:rsidRPr="007B41B9">
        <w:t xml:space="preserve">Differential clinicopathological features and immune landscape of LGG among different clusters in </w:t>
      </w:r>
      <w:r w:rsidR="007B41B9">
        <w:rPr>
          <w:rFonts w:hint="eastAsia"/>
        </w:rPr>
        <w:t>CGG</w:t>
      </w:r>
      <w:r w:rsidR="007B41B9">
        <w:t>A dataset</w:t>
      </w:r>
      <w:r w:rsidR="007B41B9" w:rsidRPr="007B41B9">
        <w:t>.</w:t>
      </w:r>
      <w:r w:rsidRPr="006466E2">
        <w:t xml:space="preserve"> </w:t>
      </w:r>
    </w:p>
    <w:p w14:paraId="45645635" w14:textId="06CAF34F" w:rsidR="005C3C00" w:rsidRDefault="005C3C00" w:rsidP="007B41B9">
      <w:pPr>
        <w:spacing w:beforeLines="0" w:before="0" w:after="240" w:line="240" w:lineRule="auto"/>
        <w:ind w:firstLineChars="0" w:firstLine="0"/>
      </w:pPr>
      <w:r w:rsidRPr="006466E2">
        <w:t>(A) Consensus clustering matrix for k =</w:t>
      </w:r>
      <w:r w:rsidR="009569CC">
        <w:t xml:space="preserve"> </w:t>
      </w:r>
      <w:r w:rsidRPr="006466E2">
        <w:t>3. (B) Cumulative distribution function curves for k = 2</w:t>
      </w:r>
      <w:r w:rsidR="009569CC">
        <w:t xml:space="preserve"> - </w:t>
      </w:r>
      <w:r w:rsidRPr="006466E2">
        <w:t xml:space="preserve">9. (C) Kaplan-Meier curve of overall survival among three clusters. </w:t>
      </w:r>
      <w:r w:rsidR="005A2875">
        <w:rPr>
          <w:rFonts w:hint="eastAsia"/>
        </w:rPr>
        <w:t>(</w:t>
      </w:r>
      <w:r w:rsidR="009569CC" w:rsidRPr="009569CC">
        <w:rPr>
          <w:rFonts w:hint="eastAsia"/>
        </w:rPr>
        <w:t>D</w:t>
      </w:r>
      <w:r w:rsidR="005A2875">
        <w:rPr>
          <w:rFonts w:hint="eastAsia"/>
        </w:rPr>
        <w:t>)</w:t>
      </w:r>
      <w:r w:rsidR="005A2875">
        <w:t xml:space="preserve"> </w:t>
      </w:r>
      <w:r w:rsidR="009569CC" w:rsidRPr="009569CC">
        <w:rPr>
          <w:rFonts w:hint="eastAsia"/>
        </w:rPr>
        <w:t>Heatmap and clinicopathologic features of the three clusters. (E) The proportion of clinical characteristics in 3 clusters.</w:t>
      </w:r>
      <w:r w:rsidR="009569CC" w:rsidRPr="009569CC">
        <w:t xml:space="preserve"> </w:t>
      </w:r>
      <w:r w:rsidRPr="006466E2">
        <w:t>(</w:t>
      </w:r>
      <w:r w:rsidR="00A334F5">
        <w:t>F</w:t>
      </w:r>
      <w:r w:rsidRPr="006466E2">
        <w:t>-</w:t>
      </w:r>
      <w:r w:rsidR="00A334F5">
        <w:t>H</w:t>
      </w:r>
      <w:r w:rsidRPr="006466E2">
        <w:t xml:space="preserve">) Distribution of </w:t>
      </w:r>
      <w:proofErr w:type="spellStart"/>
      <w:r w:rsidRPr="006466E2">
        <w:t>immuneScore</w:t>
      </w:r>
      <w:proofErr w:type="spellEnd"/>
      <w:r w:rsidRPr="006466E2">
        <w:t xml:space="preserve"> (</w:t>
      </w:r>
      <w:r w:rsidR="00A334F5">
        <w:t>F</w:t>
      </w:r>
      <w:r w:rsidRPr="006466E2">
        <w:t>)</w:t>
      </w:r>
      <w:r w:rsidR="005A2875">
        <w:t>,</w:t>
      </w:r>
      <w:r w:rsidRPr="006466E2">
        <w:t xml:space="preserve"> 28 immune cells (</w:t>
      </w:r>
      <w:r w:rsidR="00A334F5">
        <w:t>G</w:t>
      </w:r>
      <w:r w:rsidRPr="006466E2">
        <w:t>)</w:t>
      </w:r>
      <w:r w:rsidR="005A2875">
        <w:t>,</w:t>
      </w:r>
      <w:r w:rsidRPr="006466E2">
        <w:t xml:space="preserve"> and typical biology pathways (</w:t>
      </w:r>
      <w:r w:rsidR="00A334F5">
        <w:t>H</w:t>
      </w:r>
      <w:r w:rsidRPr="006466E2">
        <w:t xml:space="preserve">) across the 3 ferroptosis subtypes. </w:t>
      </w:r>
      <w:r w:rsidR="00A334F5" w:rsidRPr="00A334F5">
        <w:t>The horizontal line of the box plot represented the median values (*p &lt; 0.05, **p &lt; 0.01, ***p &lt; 0.001 and ns, non-significant).</w:t>
      </w:r>
      <w:r>
        <w:br w:type="page"/>
      </w:r>
    </w:p>
    <w:p w14:paraId="07BD3533" w14:textId="2DBE8163" w:rsidR="005C3C00" w:rsidRPr="006466E2" w:rsidRDefault="005C3C00" w:rsidP="005C3C00">
      <w:pPr>
        <w:spacing w:beforeLines="0" w:before="120" w:after="240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00768CF5" wp14:editId="633B316E">
            <wp:extent cx="5274310" cy="4828296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01D5B53E" w14:textId="565D5A82" w:rsidR="005C3C00" w:rsidRPr="006466E2" w:rsidRDefault="005C3C00" w:rsidP="007B41B9">
      <w:pPr>
        <w:spacing w:beforeLines="0" w:before="0" w:after="0" w:line="240" w:lineRule="auto"/>
        <w:ind w:firstLineChars="0" w:firstLine="0"/>
      </w:pPr>
      <w:r w:rsidRPr="006466E2">
        <w:rPr>
          <w:b/>
          <w:bCs w:val="0"/>
        </w:rPr>
        <w:t>Figure S3</w:t>
      </w:r>
      <w:r w:rsidRPr="006466E2">
        <w:t xml:space="preserve">. </w:t>
      </w:r>
      <w:r w:rsidR="007B41B9" w:rsidRPr="007B41B9">
        <w:t xml:space="preserve">Differential clinicopathological features and immune landscape of LGG among different clusters in </w:t>
      </w:r>
      <w:r w:rsidR="007B41B9">
        <w:t>Rembrandt</w:t>
      </w:r>
      <w:r w:rsidR="007B41B9">
        <w:t xml:space="preserve"> dataset</w:t>
      </w:r>
      <w:r w:rsidR="007B41B9" w:rsidRPr="007B41B9">
        <w:t>.</w:t>
      </w:r>
    </w:p>
    <w:p w14:paraId="1ADCEA43" w14:textId="5B958B82" w:rsidR="005C3C00" w:rsidRDefault="005C3C00" w:rsidP="007B41B9">
      <w:pPr>
        <w:spacing w:beforeLines="0" w:before="0" w:after="240" w:line="240" w:lineRule="auto"/>
        <w:ind w:firstLineChars="0" w:firstLine="0"/>
      </w:pPr>
      <w:r w:rsidRPr="006466E2">
        <w:t>(A) Consensus clustering matrix for k = 3. (B) Cumulative distribution function curves for k = 2</w:t>
      </w:r>
      <w:r w:rsidR="009569CC">
        <w:t xml:space="preserve"> - </w:t>
      </w:r>
      <w:r w:rsidRPr="006466E2">
        <w:t xml:space="preserve">9. (C) Kaplan-Meier curve of overall survival among three clusters. </w:t>
      </w:r>
      <w:r w:rsidR="005A2875">
        <w:rPr>
          <w:rFonts w:hint="eastAsia"/>
        </w:rPr>
        <w:t>(</w:t>
      </w:r>
      <w:r w:rsidR="009569CC" w:rsidRPr="009569CC">
        <w:rPr>
          <w:rFonts w:hint="eastAsia"/>
        </w:rPr>
        <w:t>D</w:t>
      </w:r>
      <w:r w:rsidR="005A2875">
        <w:rPr>
          <w:rFonts w:hint="eastAsia"/>
        </w:rPr>
        <w:t>)</w:t>
      </w:r>
      <w:r w:rsidR="005A2875">
        <w:t xml:space="preserve"> </w:t>
      </w:r>
      <w:r w:rsidR="009569CC" w:rsidRPr="009569CC">
        <w:rPr>
          <w:rFonts w:hint="eastAsia"/>
        </w:rPr>
        <w:t>Heatmap and clinicopathologic features of the three clusters. (E) The proportion of clinical characteristics in 3 clusters.</w:t>
      </w:r>
      <w:r w:rsidR="009569CC" w:rsidRPr="009569CC">
        <w:t xml:space="preserve"> </w:t>
      </w:r>
      <w:r w:rsidRPr="006466E2">
        <w:t>(</w:t>
      </w:r>
      <w:r w:rsidR="00A334F5">
        <w:t>F</w:t>
      </w:r>
      <w:r w:rsidRPr="006466E2">
        <w:t>-</w:t>
      </w:r>
      <w:r w:rsidR="00A334F5">
        <w:t>H</w:t>
      </w:r>
      <w:r w:rsidRPr="006466E2">
        <w:t xml:space="preserve">) Distribution of </w:t>
      </w:r>
      <w:proofErr w:type="spellStart"/>
      <w:r w:rsidRPr="006466E2">
        <w:t>immuneScore</w:t>
      </w:r>
      <w:proofErr w:type="spellEnd"/>
      <w:r w:rsidRPr="006466E2">
        <w:t xml:space="preserve"> (</w:t>
      </w:r>
      <w:r w:rsidR="00A334F5">
        <w:t>F</w:t>
      </w:r>
      <w:r w:rsidRPr="006466E2">
        <w:t>)</w:t>
      </w:r>
      <w:r w:rsidR="005A2875">
        <w:t>,</w:t>
      </w:r>
      <w:r w:rsidRPr="006466E2">
        <w:t xml:space="preserve"> 28 immune cells</w:t>
      </w:r>
      <w:r w:rsidR="00A334F5">
        <w:t xml:space="preserve"> </w:t>
      </w:r>
      <w:r w:rsidRPr="006466E2">
        <w:t>(</w:t>
      </w:r>
      <w:r w:rsidR="00A334F5">
        <w:t>G</w:t>
      </w:r>
      <w:r w:rsidRPr="006466E2">
        <w:t>)</w:t>
      </w:r>
      <w:r w:rsidR="005A2875">
        <w:t>,</w:t>
      </w:r>
      <w:r w:rsidRPr="006466E2">
        <w:t xml:space="preserve"> and typical biology pathways (</w:t>
      </w:r>
      <w:r w:rsidR="00A334F5">
        <w:t>H</w:t>
      </w:r>
      <w:r w:rsidRPr="006466E2">
        <w:t xml:space="preserve">) across the 3 ferroptosis subtypes. </w:t>
      </w:r>
      <w:r w:rsidR="00A334F5" w:rsidRPr="00A334F5">
        <w:t>The horizontal line of the box plot represented the median values (*p &lt; 0.05, **p &lt; 0.01, ***p &lt; 0.001 and ns, non-significant).</w:t>
      </w:r>
      <w:r>
        <w:br w:type="page"/>
      </w:r>
    </w:p>
    <w:p w14:paraId="479997B2" w14:textId="1BFFA094" w:rsidR="005C3C00" w:rsidRPr="006466E2" w:rsidRDefault="005C3C00" w:rsidP="005C3C00">
      <w:pPr>
        <w:spacing w:beforeLines="0" w:before="120" w:after="240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38C010D4" wp14:editId="12C085E0">
            <wp:extent cx="5274310" cy="3672447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19F76" w14:textId="0FB60210" w:rsidR="005C3C00" w:rsidRPr="006466E2" w:rsidRDefault="005C3C00" w:rsidP="0095711B">
      <w:pPr>
        <w:spacing w:beforeLines="0" w:before="0" w:after="0" w:line="240" w:lineRule="auto"/>
        <w:ind w:firstLineChars="0" w:firstLine="0"/>
      </w:pPr>
      <w:r w:rsidRPr="006466E2">
        <w:rPr>
          <w:b/>
          <w:bCs w:val="0"/>
        </w:rPr>
        <w:t>Figure S4</w:t>
      </w:r>
      <w:r w:rsidRPr="006466E2">
        <w:t xml:space="preserve">. Kaplan–Meier survival curves for the low- and high-risk groups stratified by clinicopathological variables in the CGGA dataset. </w:t>
      </w:r>
    </w:p>
    <w:p w14:paraId="2B4F7106" w14:textId="4BCEE97F" w:rsidR="005C3C00" w:rsidRDefault="005C3C00" w:rsidP="0095711B">
      <w:pPr>
        <w:spacing w:beforeLines="0" w:before="0" w:after="0" w:line="240" w:lineRule="auto"/>
        <w:ind w:firstLineChars="0" w:firstLine="0"/>
      </w:pPr>
      <w:r w:rsidRPr="006466E2">
        <w:t xml:space="preserve">(A, B) Age. (C, D) Gender. (E, F) WHO grade. (G, H) </w:t>
      </w:r>
      <w:proofErr w:type="spellStart"/>
      <w:r w:rsidRPr="006466E2">
        <w:t>IDH_status</w:t>
      </w:r>
      <w:proofErr w:type="spellEnd"/>
      <w:r w:rsidRPr="006466E2">
        <w:t>. (</w:t>
      </w:r>
      <w:proofErr w:type="gramStart"/>
      <w:r w:rsidRPr="006466E2">
        <w:t>I,J</w:t>
      </w:r>
      <w:proofErr w:type="gramEnd"/>
      <w:r w:rsidRPr="006466E2">
        <w:t xml:space="preserve">) 1p19q_status. (K, L) </w:t>
      </w:r>
      <w:proofErr w:type="spellStart"/>
      <w:r w:rsidRPr="006466E2">
        <w:t>MGMTp_status</w:t>
      </w:r>
      <w:proofErr w:type="spellEnd"/>
      <w:r w:rsidRPr="006466E2">
        <w:t>.</w:t>
      </w:r>
    </w:p>
    <w:p w14:paraId="5BE0925D" w14:textId="77777777" w:rsidR="005C3C00" w:rsidRDefault="005C3C00">
      <w:pPr>
        <w:spacing w:before="156" w:after="0"/>
        <w:ind w:firstLine="480"/>
        <w:jc w:val="center"/>
      </w:pPr>
      <w:r>
        <w:br w:type="page"/>
      </w:r>
    </w:p>
    <w:p w14:paraId="45A7A76D" w14:textId="4D19F88B" w:rsidR="005C3C00" w:rsidRPr="006466E2" w:rsidRDefault="005C3C00" w:rsidP="005C3C00">
      <w:pPr>
        <w:spacing w:beforeLines="0" w:before="120" w:after="240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7860CD4D" wp14:editId="33977C1E">
            <wp:extent cx="5274310" cy="13550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FB019" w14:textId="5479CCC5" w:rsidR="005C3C00" w:rsidRPr="006466E2" w:rsidRDefault="005C3C00" w:rsidP="0095711B">
      <w:pPr>
        <w:spacing w:beforeLines="0" w:before="0" w:after="0" w:line="240" w:lineRule="auto"/>
        <w:ind w:firstLineChars="0" w:firstLine="0"/>
      </w:pPr>
      <w:r w:rsidRPr="006466E2">
        <w:rPr>
          <w:b/>
          <w:bCs w:val="0"/>
        </w:rPr>
        <w:t>Figure S5</w:t>
      </w:r>
      <w:r w:rsidRPr="006466E2">
        <w:t>. Development of a nomogram by integrating the risk score and clinicopathological characters in the CCGA cohort.</w:t>
      </w:r>
    </w:p>
    <w:p w14:paraId="6C037C68" w14:textId="0FDFAC22" w:rsidR="005C3C00" w:rsidRDefault="00AC1B49" w:rsidP="0095711B">
      <w:pPr>
        <w:spacing w:beforeLines="0" w:before="0" w:after="0" w:line="240" w:lineRule="auto"/>
        <w:ind w:firstLineChars="0" w:firstLine="0"/>
      </w:pPr>
      <w:r>
        <w:t>(</w:t>
      </w:r>
      <w:r w:rsidR="005C3C00" w:rsidRPr="006466E2">
        <w:t>A</w:t>
      </w:r>
      <w:r>
        <w:t>)</w:t>
      </w:r>
      <w:r w:rsidR="00A334F5">
        <w:t xml:space="preserve"> </w:t>
      </w:r>
      <w:r w:rsidR="005C3C00" w:rsidRPr="006466E2">
        <w:t>Nomogram constructed to predict OS rates at 1, 3, and 5 years. (B)</w:t>
      </w:r>
      <w:r w:rsidR="00A334F5">
        <w:t xml:space="preserve"> </w:t>
      </w:r>
      <w:r w:rsidR="005C3C00" w:rsidRPr="006466E2">
        <w:t>The calibration curves predicted 1-, 3-, and 5-year survival.</w:t>
      </w:r>
    </w:p>
    <w:p w14:paraId="00469C12" w14:textId="77777777" w:rsidR="005C3C00" w:rsidRDefault="005C3C00">
      <w:pPr>
        <w:spacing w:before="156" w:after="0"/>
        <w:ind w:firstLine="480"/>
        <w:jc w:val="center"/>
      </w:pPr>
      <w:r>
        <w:br w:type="page"/>
      </w:r>
    </w:p>
    <w:p w14:paraId="5CC88D01" w14:textId="12DB4EB9" w:rsidR="005C3C00" w:rsidRPr="006466E2" w:rsidRDefault="005C3C00" w:rsidP="0095711B">
      <w:pPr>
        <w:spacing w:beforeLines="0" w:before="0" w:after="0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0F04E54E" wp14:editId="13974F77">
            <wp:extent cx="5274310" cy="47910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66E2">
        <w:rPr>
          <w:b/>
          <w:bCs w:val="0"/>
        </w:rPr>
        <w:t>Figure S6</w:t>
      </w:r>
      <w:r w:rsidRPr="006466E2">
        <w:t>. Immune microenvironment and biological process characteristics among distinct risk groups in the CGGA and Rembrandt dataset</w:t>
      </w:r>
      <w:r w:rsidR="00AC1B49">
        <w:t>s</w:t>
      </w:r>
      <w:r w:rsidRPr="006466E2">
        <w:t>.</w:t>
      </w:r>
    </w:p>
    <w:p w14:paraId="2BCAE2E2" w14:textId="2E3DC0BC" w:rsidR="00CF726A" w:rsidRDefault="005C3C00" w:rsidP="0095711B">
      <w:pPr>
        <w:spacing w:beforeLines="0" w:before="0" w:after="0" w:line="240" w:lineRule="auto"/>
        <w:ind w:firstLineChars="0" w:firstLine="0"/>
      </w:pPr>
      <w:bookmarkStart w:id="1" w:name="OLE_LINK44"/>
      <w:r w:rsidRPr="006466E2">
        <w:t xml:space="preserve">(A-C) Distribution of </w:t>
      </w:r>
      <w:proofErr w:type="spellStart"/>
      <w:r w:rsidRPr="006466E2">
        <w:t>immuneScore</w:t>
      </w:r>
      <w:proofErr w:type="spellEnd"/>
      <w:r w:rsidRPr="006466E2">
        <w:t xml:space="preserve"> (A)</w:t>
      </w:r>
      <w:r w:rsidR="0095711B">
        <w:t>,</w:t>
      </w:r>
      <w:r w:rsidRPr="006466E2">
        <w:t xml:space="preserve"> 28 immune cells (B)</w:t>
      </w:r>
      <w:r w:rsidR="0095711B">
        <w:t>,</w:t>
      </w:r>
      <w:r w:rsidRPr="006466E2">
        <w:t xml:space="preserve"> and typical biology pathways (C) between the high- and low-risk groups in the CGGA dataset.</w:t>
      </w:r>
      <w:bookmarkEnd w:id="1"/>
      <w:r w:rsidRPr="006466E2">
        <w:t xml:space="preserve"> (D-F) Distribution of </w:t>
      </w:r>
      <w:proofErr w:type="spellStart"/>
      <w:r w:rsidRPr="006466E2">
        <w:t>immuneScore</w:t>
      </w:r>
      <w:proofErr w:type="spellEnd"/>
      <w:r w:rsidRPr="006466E2">
        <w:t xml:space="preserve"> (D)</w:t>
      </w:r>
      <w:r w:rsidR="0095711B">
        <w:t>,</w:t>
      </w:r>
      <w:r w:rsidRPr="006466E2">
        <w:t xml:space="preserve"> 28 immune cells (E)</w:t>
      </w:r>
      <w:r w:rsidR="0095711B">
        <w:t>,</w:t>
      </w:r>
      <w:r w:rsidRPr="006466E2">
        <w:t xml:space="preserve"> and typical biology pathways (F) between the high- and low-risk groups in the Rembrandt dataset. </w:t>
      </w:r>
      <w:r w:rsidR="00A334F5" w:rsidRPr="00A334F5">
        <w:t>The horizontal line of the box plot represented the median values (*p &lt; 0.05, **p &lt; 0.01, ***p &lt; 0.001 and ns, non-significant).</w:t>
      </w:r>
    </w:p>
    <w:sectPr w:rsidR="00CF726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BF866" w14:textId="77777777" w:rsidR="00FD302F" w:rsidRDefault="00FD302F" w:rsidP="005C3C00">
      <w:pPr>
        <w:spacing w:before="120" w:after="0" w:line="240" w:lineRule="auto"/>
        <w:ind w:firstLine="480"/>
      </w:pPr>
      <w:r>
        <w:separator/>
      </w:r>
    </w:p>
  </w:endnote>
  <w:endnote w:type="continuationSeparator" w:id="0">
    <w:p w14:paraId="62F62D82" w14:textId="77777777" w:rsidR="00FD302F" w:rsidRDefault="00FD302F" w:rsidP="005C3C00">
      <w:pPr>
        <w:spacing w:before="120" w:after="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FBD84" w14:textId="77777777" w:rsidR="005C3C00" w:rsidRDefault="005C3C00">
    <w:pPr>
      <w:pStyle w:val="a5"/>
      <w:spacing w:before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A8B30" w14:textId="77777777" w:rsidR="005C3C00" w:rsidRDefault="005C3C00">
    <w:pPr>
      <w:pStyle w:val="a5"/>
      <w:spacing w:before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8CEA8" w14:textId="77777777" w:rsidR="005C3C00" w:rsidRDefault="005C3C00">
    <w:pPr>
      <w:pStyle w:val="a5"/>
      <w:spacing w:before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ADFB8" w14:textId="77777777" w:rsidR="00FD302F" w:rsidRDefault="00FD302F" w:rsidP="005C3C00">
      <w:pPr>
        <w:spacing w:before="120" w:after="0" w:line="240" w:lineRule="auto"/>
        <w:ind w:firstLine="480"/>
      </w:pPr>
      <w:r>
        <w:separator/>
      </w:r>
    </w:p>
  </w:footnote>
  <w:footnote w:type="continuationSeparator" w:id="0">
    <w:p w14:paraId="46CFF8A1" w14:textId="77777777" w:rsidR="00FD302F" w:rsidRDefault="00FD302F" w:rsidP="005C3C00">
      <w:pPr>
        <w:spacing w:before="120" w:after="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04E1F" w14:textId="77777777" w:rsidR="005C3C00" w:rsidRDefault="005C3C00">
    <w:pPr>
      <w:pStyle w:val="a3"/>
      <w:spacing w:before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C8B13" w14:textId="77777777" w:rsidR="005C3C00" w:rsidRDefault="005C3C00">
    <w:pPr>
      <w:pStyle w:val="a3"/>
      <w:spacing w:before="120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EA6FD" w14:textId="77777777" w:rsidR="005C3C00" w:rsidRDefault="005C3C00">
    <w:pPr>
      <w:pStyle w:val="a3"/>
      <w:spacing w:before="12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A1tDA1NjYzsDAyNTVV0lEKTi0uzszPAykwqQUAsydxgiwAAAA="/>
  </w:docVars>
  <w:rsids>
    <w:rsidRoot w:val="006E3211"/>
    <w:rsid w:val="005A2875"/>
    <w:rsid w:val="005C3C00"/>
    <w:rsid w:val="006E3211"/>
    <w:rsid w:val="007B41B9"/>
    <w:rsid w:val="009569CC"/>
    <w:rsid w:val="0095711B"/>
    <w:rsid w:val="009C75A7"/>
    <w:rsid w:val="00A211EE"/>
    <w:rsid w:val="00A334F5"/>
    <w:rsid w:val="00A6620F"/>
    <w:rsid w:val="00AC1B49"/>
    <w:rsid w:val="00CF726A"/>
    <w:rsid w:val="00D53F26"/>
    <w:rsid w:val="00FD3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80C4E4"/>
  <w15:chartTrackingRefBased/>
  <w15:docId w15:val="{15A39FC5-D2BE-49D9-A8B0-D720A3342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bCs/>
        <w:color w:val="000000"/>
        <w:sz w:val="24"/>
        <w:szCs w:val="24"/>
        <w:lang w:val="en-US" w:eastAsia="zh-CN" w:bidi="ar-SA"/>
      </w:rPr>
    </w:rPrDefault>
    <w:pPrDefault>
      <w:pPr>
        <w:spacing w:beforeLines="50" w:before="50" w:line="360" w:lineRule="auto"/>
        <w:ind w:firstLineChars="200" w:firstLine="20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3C00"/>
    <w:pPr>
      <w:spacing w:after="26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C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C3C0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C3C0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C3C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377</Words>
  <Characters>2154</Characters>
  <Application>Microsoft Office Word</Application>
  <DocSecurity>0</DocSecurity>
  <Lines>17</Lines>
  <Paragraphs>5</Paragraphs>
  <ScaleCrop>false</ScaleCrop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 xiuwei</dc:creator>
  <cp:keywords/>
  <dc:description/>
  <cp:lastModifiedBy>yan xiuwei</cp:lastModifiedBy>
  <cp:revision>9</cp:revision>
  <dcterms:created xsi:type="dcterms:W3CDTF">2022-02-05T07:08:00Z</dcterms:created>
  <dcterms:modified xsi:type="dcterms:W3CDTF">2022-03-14T00:36:00Z</dcterms:modified>
</cp:coreProperties>
</file>