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8A4F" w14:textId="0E112C11" w:rsidR="00D26731" w:rsidRDefault="00AA2626" w:rsidP="00E97D25">
      <w:pPr>
        <w:rPr>
          <w:b/>
          <w:bCs/>
        </w:rPr>
      </w:pPr>
      <w:r>
        <w:rPr>
          <w:b/>
          <w:bCs/>
        </w:rPr>
        <w:t xml:space="preserve">Supplemental </w:t>
      </w:r>
      <w:r w:rsidR="00D26731" w:rsidRPr="00AA2626">
        <w:rPr>
          <w:b/>
          <w:bCs/>
        </w:rPr>
        <w:t>Table 1. Examples of PLP-dependent enzymes and known allosteric mechanisms</w:t>
      </w:r>
    </w:p>
    <w:tbl>
      <w:tblPr>
        <w:tblStyle w:val="TableGrid"/>
        <w:tblW w:w="0" w:type="auto"/>
        <w:tblLook w:val="04A0" w:firstRow="1" w:lastRow="0" w:firstColumn="1" w:lastColumn="0" w:noHBand="0" w:noVBand="1"/>
      </w:tblPr>
      <w:tblGrid>
        <w:gridCol w:w="1849"/>
        <w:gridCol w:w="1705"/>
        <w:gridCol w:w="1338"/>
        <w:gridCol w:w="3202"/>
        <w:gridCol w:w="1673"/>
      </w:tblGrid>
      <w:tr w:rsidR="00D26731" w14:paraId="5B2AB80B" w14:textId="77777777" w:rsidTr="0040753E">
        <w:tc>
          <w:tcPr>
            <w:tcW w:w="1849" w:type="dxa"/>
            <w:vAlign w:val="center"/>
          </w:tcPr>
          <w:p w14:paraId="19BDAE47" w14:textId="77777777" w:rsidR="00D26731" w:rsidRPr="00AA2626" w:rsidRDefault="00D26731" w:rsidP="00AA2626">
            <w:pPr>
              <w:jc w:val="center"/>
              <w:rPr>
                <w:b/>
                <w:bCs/>
                <w:sz w:val="20"/>
                <w:szCs w:val="20"/>
              </w:rPr>
            </w:pPr>
            <w:r w:rsidRPr="00AA2626">
              <w:rPr>
                <w:b/>
                <w:bCs/>
                <w:sz w:val="20"/>
                <w:szCs w:val="20"/>
              </w:rPr>
              <w:t>Enzyme</w:t>
            </w:r>
          </w:p>
        </w:tc>
        <w:tc>
          <w:tcPr>
            <w:tcW w:w="1705" w:type="dxa"/>
            <w:vAlign w:val="center"/>
          </w:tcPr>
          <w:p w14:paraId="1CD38867" w14:textId="77777777" w:rsidR="00D26731" w:rsidRPr="00AA2626" w:rsidRDefault="00D26731" w:rsidP="00AA2626">
            <w:pPr>
              <w:jc w:val="center"/>
              <w:rPr>
                <w:b/>
                <w:bCs/>
                <w:sz w:val="20"/>
                <w:szCs w:val="20"/>
              </w:rPr>
            </w:pPr>
            <w:r>
              <w:rPr>
                <w:b/>
                <w:bCs/>
                <w:sz w:val="20"/>
                <w:szCs w:val="20"/>
              </w:rPr>
              <w:t>Pathway</w:t>
            </w:r>
          </w:p>
        </w:tc>
        <w:tc>
          <w:tcPr>
            <w:tcW w:w="1338" w:type="dxa"/>
            <w:vAlign w:val="center"/>
          </w:tcPr>
          <w:p w14:paraId="7A248A24" w14:textId="77777777" w:rsidR="00D26731" w:rsidRPr="00AA2626" w:rsidRDefault="00D26731" w:rsidP="00AA2626">
            <w:pPr>
              <w:jc w:val="center"/>
              <w:rPr>
                <w:b/>
                <w:bCs/>
                <w:sz w:val="20"/>
                <w:szCs w:val="20"/>
              </w:rPr>
            </w:pPr>
            <w:r w:rsidRPr="00AA2626">
              <w:rPr>
                <w:b/>
                <w:bCs/>
                <w:sz w:val="20"/>
                <w:szCs w:val="20"/>
              </w:rPr>
              <w:t>Oligomeric State</w:t>
            </w:r>
          </w:p>
        </w:tc>
        <w:tc>
          <w:tcPr>
            <w:tcW w:w="3202" w:type="dxa"/>
            <w:vAlign w:val="center"/>
          </w:tcPr>
          <w:p w14:paraId="66D48628" w14:textId="77777777" w:rsidR="00D26731" w:rsidRPr="00AA2626" w:rsidRDefault="00D26731" w:rsidP="00AA2626">
            <w:pPr>
              <w:jc w:val="center"/>
              <w:rPr>
                <w:b/>
                <w:bCs/>
                <w:sz w:val="20"/>
                <w:szCs w:val="20"/>
              </w:rPr>
            </w:pPr>
            <w:r w:rsidRPr="00AA2626">
              <w:rPr>
                <w:b/>
                <w:bCs/>
                <w:sz w:val="20"/>
                <w:szCs w:val="20"/>
              </w:rPr>
              <w:t>Allosteric Mechanism</w:t>
            </w:r>
          </w:p>
        </w:tc>
        <w:tc>
          <w:tcPr>
            <w:tcW w:w="1673" w:type="dxa"/>
            <w:vAlign w:val="center"/>
          </w:tcPr>
          <w:p w14:paraId="022B88C6" w14:textId="77777777" w:rsidR="00D26731" w:rsidRPr="00AA2626" w:rsidRDefault="00D26731" w:rsidP="00AA2626">
            <w:pPr>
              <w:jc w:val="center"/>
              <w:rPr>
                <w:b/>
                <w:bCs/>
                <w:sz w:val="20"/>
                <w:szCs w:val="20"/>
              </w:rPr>
            </w:pPr>
            <w:r w:rsidRPr="00AA2626">
              <w:rPr>
                <w:b/>
                <w:bCs/>
                <w:sz w:val="20"/>
                <w:szCs w:val="20"/>
              </w:rPr>
              <w:t>References</w:t>
            </w:r>
          </w:p>
        </w:tc>
      </w:tr>
      <w:tr w:rsidR="00D26731" w14:paraId="0DDE3BCE" w14:textId="77777777" w:rsidTr="0040753E">
        <w:tc>
          <w:tcPr>
            <w:tcW w:w="1849" w:type="dxa"/>
            <w:shd w:val="clear" w:color="auto" w:fill="D9D9D9" w:themeFill="background1" w:themeFillShade="D9"/>
          </w:tcPr>
          <w:p w14:paraId="10E36CF8" w14:textId="77777777" w:rsidR="00D26731" w:rsidRPr="00AA2626" w:rsidRDefault="00D26731" w:rsidP="00BA2D29">
            <w:pPr>
              <w:rPr>
                <w:i/>
                <w:iCs/>
                <w:sz w:val="20"/>
                <w:szCs w:val="20"/>
              </w:rPr>
            </w:pPr>
            <w:r w:rsidRPr="00AA2626">
              <w:rPr>
                <w:b/>
                <w:bCs/>
                <w:sz w:val="20"/>
                <w:szCs w:val="20"/>
              </w:rPr>
              <w:t>Fold Type I</w:t>
            </w:r>
          </w:p>
        </w:tc>
        <w:tc>
          <w:tcPr>
            <w:tcW w:w="1705" w:type="dxa"/>
            <w:shd w:val="clear" w:color="auto" w:fill="D9D9D9" w:themeFill="background1" w:themeFillShade="D9"/>
          </w:tcPr>
          <w:p w14:paraId="7FD830F2" w14:textId="77777777" w:rsidR="00D26731" w:rsidRPr="00AA2626" w:rsidRDefault="00D26731" w:rsidP="00BA2D29">
            <w:pPr>
              <w:rPr>
                <w:b/>
                <w:bCs/>
                <w:sz w:val="20"/>
                <w:szCs w:val="20"/>
              </w:rPr>
            </w:pPr>
          </w:p>
        </w:tc>
        <w:tc>
          <w:tcPr>
            <w:tcW w:w="1338" w:type="dxa"/>
            <w:shd w:val="clear" w:color="auto" w:fill="D9D9D9" w:themeFill="background1" w:themeFillShade="D9"/>
          </w:tcPr>
          <w:p w14:paraId="23DA9F5D" w14:textId="77777777" w:rsidR="00D26731" w:rsidRPr="00AA2626" w:rsidRDefault="00D26731" w:rsidP="00BA2D29">
            <w:pPr>
              <w:rPr>
                <w:b/>
                <w:bCs/>
                <w:sz w:val="20"/>
                <w:szCs w:val="20"/>
              </w:rPr>
            </w:pPr>
          </w:p>
        </w:tc>
        <w:tc>
          <w:tcPr>
            <w:tcW w:w="3202" w:type="dxa"/>
            <w:shd w:val="clear" w:color="auto" w:fill="D9D9D9" w:themeFill="background1" w:themeFillShade="D9"/>
          </w:tcPr>
          <w:p w14:paraId="1520788C" w14:textId="77777777" w:rsidR="00D26731" w:rsidRPr="00AA2626" w:rsidRDefault="00D26731" w:rsidP="00BA2D29">
            <w:pPr>
              <w:rPr>
                <w:b/>
                <w:bCs/>
                <w:sz w:val="20"/>
                <w:szCs w:val="20"/>
              </w:rPr>
            </w:pPr>
          </w:p>
        </w:tc>
        <w:tc>
          <w:tcPr>
            <w:tcW w:w="1673" w:type="dxa"/>
            <w:shd w:val="clear" w:color="auto" w:fill="D9D9D9" w:themeFill="background1" w:themeFillShade="D9"/>
          </w:tcPr>
          <w:p w14:paraId="19BD4A75" w14:textId="77777777" w:rsidR="00D26731" w:rsidRPr="00AA2626" w:rsidRDefault="00D26731" w:rsidP="00BA2D29">
            <w:pPr>
              <w:rPr>
                <w:b/>
                <w:bCs/>
                <w:sz w:val="20"/>
                <w:szCs w:val="20"/>
              </w:rPr>
            </w:pPr>
          </w:p>
        </w:tc>
      </w:tr>
      <w:tr w:rsidR="00D26731" w14:paraId="4D167703" w14:textId="77777777" w:rsidTr="0040753E">
        <w:tc>
          <w:tcPr>
            <w:tcW w:w="1849" w:type="dxa"/>
          </w:tcPr>
          <w:p w14:paraId="21A90463" w14:textId="77777777" w:rsidR="00D26731" w:rsidRPr="00AA2626" w:rsidRDefault="00D26731" w:rsidP="00BA2D29">
            <w:pPr>
              <w:rPr>
                <w:sz w:val="20"/>
                <w:szCs w:val="20"/>
              </w:rPr>
            </w:pPr>
            <w:r w:rsidRPr="00AA2626">
              <w:rPr>
                <w:sz w:val="20"/>
                <w:szCs w:val="20"/>
              </w:rPr>
              <w:t>Aminolevulinic acid synthase (ALAS)</w:t>
            </w:r>
          </w:p>
        </w:tc>
        <w:tc>
          <w:tcPr>
            <w:tcW w:w="1705" w:type="dxa"/>
          </w:tcPr>
          <w:p w14:paraId="6C1A066E" w14:textId="77777777" w:rsidR="00D26731" w:rsidRPr="00AA2626" w:rsidRDefault="00D26731" w:rsidP="00BA2D29">
            <w:pPr>
              <w:rPr>
                <w:b/>
                <w:bCs/>
                <w:sz w:val="20"/>
                <w:szCs w:val="20"/>
              </w:rPr>
            </w:pPr>
            <w:r w:rsidRPr="00AA2626">
              <w:rPr>
                <w:sz w:val="20"/>
                <w:szCs w:val="20"/>
              </w:rPr>
              <w:t xml:space="preserve">Tetrapyrrole biosynthesis (animals, yeast, </w:t>
            </w:r>
            <w:r w:rsidRPr="00AA2626">
              <w:rPr>
                <w:sz w:val="20"/>
                <w:szCs w:val="20"/>
                <w:lang w:val="el-GR"/>
              </w:rPr>
              <w:t>α</w:t>
            </w:r>
            <w:r w:rsidRPr="00AA2626">
              <w:rPr>
                <w:sz w:val="20"/>
                <w:szCs w:val="20"/>
              </w:rPr>
              <w:t>-proteobacteria)</w:t>
            </w:r>
          </w:p>
        </w:tc>
        <w:tc>
          <w:tcPr>
            <w:tcW w:w="1338" w:type="dxa"/>
          </w:tcPr>
          <w:p w14:paraId="3D759A34" w14:textId="77777777" w:rsidR="00D26731" w:rsidRPr="00AA2626" w:rsidRDefault="00D26731" w:rsidP="00BA2D29">
            <w:pPr>
              <w:rPr>
                <w:sz w:val="20"/>
                <w:szCs w:val="20"/>
              </w:rPr>
            </w:pPr>
            <w:r>
              <w:rPr>
                <w:sz w:val="20"/>
                <w:szCs w:val="20"/>
              </w:rPr>
              <w:t>Homodimer</w:t>
            </w:r>
          </w:p>
        </w:tc>
        <w:tc>
          <w:tcPr>
            <w:tcW w:w="3202" w:type="dxa"/>
          </w:tcPr>
          <w:p w14:paraId="63A99AA0" w14:textId="16326B31" w:rsidR="00D26731" w:rsidRPr="00AA2626" w:rsidRDefault="00D26731" w:rsidP="00BA2D29">
            <w:pPr>
              <w:rPr>
                <w:sz w:val="20"/>
                <w:szCs w:val="20"/>
              </w:rPr>
            </w:pPr>
            <w:r w:rsidRPr="00AA2626">
              <w:rPr>
                <w:sz w:val="20"/>
                <w:szCs w:val="20"/>
              </w:rPr>
              <w:t xml:space="preserve">In the human erythroid-specific isoform (ALAS2), access to the active site is </w:t>
            </w:r>
            <w:r>
              <w:rPr>
                <w:sz w:val="20"/>
                <w:szCs w:val="20"/>
              </w:rPr>
              <w:t>occluded</w:t>
            </w:r>
            <w:r w:rsidRPr="00AA2626">
              <w:rPr>
                <w:sz w:val="20"/>
                <w:szCs w:val="20"/>
              </w:rPr>
              <w:t xml:space="preserve"> by steric hindrance </w:t>
            </w:r>
            <w:r>
              <w:rPr>
                <w:sz w:val="20"/>
                <w:szCs w:val="20"/>
              </w:rPr>
              <w:t>from</w:t>
            </w:r>
            <w:r w:rsidRPr="00AA2626">
              <w:rPr>
                <w:sz w:val="20"/>
                <w:szCs w:val="20"/>
              </w:rPr>
              <w:t xml:space="preserve"> the C-terminal extension, which forms a salt-bridge network with the active site loop.</w:t>
            </w:r>
            <w:r>
              <w:rPr>
                <w:sz w:val="20"/>
                <w:szCs w:val="20"/>
              </w:rPr>
              <w:t xml:space="preserve"> </w:t>
            </w:r>
          </w:p>
        </w:tc>
        <w:tc>
          <w:tcPr>
            <w:tcW w:w="1673" w:type="dxa"/>
          </w:tcPr>
          <w:p w14:paraId="7C9DCEE1" w14:textId="77777777" w:rsidR="00D26731" w:rsidRPr="00AA2626" w:rsidRDefault="00D26731" w:rsidP="00BA2D29">
            <w:pPr>
              <w:rPr>
                <w:sz w:val="20"/>
                <w:szCs w:val="20"/>
              </w:rPr>
            </w:pPr>
            <w:r>
              <w:rPr>
                <w:noProof/>
                <w:sz w:val="20"/>
                <w:szCs w:val="20"/>
              </w:rPr>
              <w:t>(Bailey et al. 2020)</w:t>
            </w:r>
          </w:p>
        </w:tc>
      </w:tr>
      <w:tr w:rsidR="00D26731" w14:paraId="7A28486C" w14:textId="77777777" w:rsidTr="0040753E">
        <w:tc>
          <w:tcPr>
            <w:tcW w:w="1849" w:type="dxa"/>
          </w:tcPr>
          <w:p w14:paraId="71E08FDE" w14:textId="77777777" w:rsidR="00D26731" w:rsidRPr="00AA2626" w:rsidRDefault="00D26731" w:rsidP="00BA2D29">
            <w:pPr>
              <w:rPr>
                <w:sz w:val="20"/>
                <w:szCs w:val="20"/>
              </w:rPr>
            </w:pPr>
            <w:r w:rsidRPr="00AA2626">
              <w:rPr>
                <w:sz w:val="20"/>
                <w:szCs w:val="20"/>
              </w:rPr>
              <w:t>Arginine decarboxylase (</w:t>
            </w:r>
            <w:proofErr w:type="spellStart"/>
            <w:r w:rsidRPr="00AA2626">
              <w:rPr>
                <w:sz w:val="20"/>
                <w:szCs w:val="20"/>
              </w:rPr>
              <w:t>AdiA</w:t>
            </w:r>
            <w:proofErr w:type="spellEnd"/>
            <w:r w:rsidRPr="00AA2626">
              <w:rPr>
                <w:sz w:val="20"/>
                <w:szCs w:val="20"/>
              </w:rPr>
              <w:t>)</w:t>
            </w:r>
          </w:p>
        </w:tc>
        <w:tc>
          <w:tcPr>
            <w:tcW w:w="1705" w:type="dxa"/>
          </w:tcPr>
          <w:p w14:paraId="4EFC396C" w14:textId="77777777" w:rsidR="00D26731" w:rsidRPr="005C01DD" w:rsidRDefault="00D26731" w:rsidP="00BA2D29">
            <w:pPr>
              <w:rPr>
                <w:i/>
                <w:iCs/>
                <w:sz w:val="20"/>
                <w:szCs w:val="20"/>
              </w:rPr>
            </w:pPr>
            <w:r>
              <w:rPr>
                <w:sz w:val="20"/>
                <w:szCs w:val="20"/>
              </w:rPr>
              <w:t>Bacterial and viral acid stress response system</w:t>
            </w:r>
          </w:p>
        </w:tc>
        <w:tc>
          <w:tcPr>
            <w:tcW w:w="1338" w:type="dxa"/>
          </w:tcPr>
          <w:p w14:paraId="3D33D527" w14:textId="77777777" w:rsidR="00D26731" w:rsidRDefault="00D26731" w:rsidP="00BA2D29">
            <w:pPr>
              <w:rPr>
                <w:sz w:val="20"/>
                <w:szCs w:val="20"/>
              </w:rPr>
            </w:pPr>
            <w:r>
              <w:rPr>
                <w:sz w:val="20"/>
                <w:szCs w:val="20"/>
              </w:rPr>
              <w:t xml:space="preserve">Homodimer or </w:t>
            </w:r>
            <w:proofErr w:type="spellStart"/>
            <w:r>
              <w:rPr>
                <w:sz w:val="20"/>
                <w:szCs w:val="20"/>
              </w:rPr>
              <w:t>Decamer</w:t>
            </w:r>
            <w:proofErr w:type="spellEnd"/>
            <w:r>
              <w:rPr>
                <w:sz w:val="20"/>
                <w:szCs w:val="20"/>
              </w:rPr>
              <w:t xml:space="preserve"> (pentamer of homodimers)</w:t>
            </w:r>
          </w:p>
        </w:tc>
        <w:tc>
          <w:tcPr>
            <w:tcW w:w="3202" w:type="dxa"/>
          </w:tcPr>
          <w:p w14:paraId="088508BF" w14:textId="77777777" w:rsidR="00D26731" w:rsidRPr="00D8787D" w:rsidRDefault="00D26731" w:rsidP="00BA2D29">
            <w:pPr>
              <w:rPr>
                <w:b/>
                <w:bCs/>
                <w:sz w:val="20"/>
                <w:szCs w:val="20"/>
              </w:rPr>
            </w:pPr>
            <w:r>
              <w:rPr>
                <w:sz w:val="20"/>
                <w:szCs w:val="20"/>
              </w:rPr>
              <w:t>Arginine decarboxylase is specifically known as acid-induced arginine decarboxylase (</w:t>
            </w:r>
            <w:proofErr w:type="spellStart"/>
            <w:r>
              <w:rPr>
                <w:sz w:val="20"/>
                <w:szCs w:val="20"/>
              </w:rPr>
              <w:t>AdiA</w:t>
            </w:r>
            <w:proofErr w:type="spellEnd"/>
            <w:r>
              <w:rPr>
                <w:sz w:val="20"/>
                <w:szCs w:val="20"/>
              </w:rPr>
              <w:t xml:space="preserve">). At low pH conditions, the surface charges of </w:t>
            </w:r>
            <w:proofErr w:type="spellStart"/>
            <w:r>
              <w:rPr>
                <w:sz w:val="20"/>
                <w:szCs w:val="20"/>
              </w:rPr>
              <w:t>homodimeric</w:t>
            </w:r>
            <w:proofErr w:type="spellEnd"/>
            <w:r>
              <w:rPr>
                <w:sz w:val="20"/>
                <w:szCs w:val="20"/>
              </w:rPr>
              <w:t xml:space="preserve"> units are neutralized, and </w:t>
            </w:r>
            <w:proofErr w:type="spellStart"/>
            <w:r>
              <w:rPr>
                <w:sz w:val="20"/>
                <w:szCs w:val="20"/>
              </w:rPr>
              <w:t>AdiA</w:t>
            </w:r>
            <w:proofErr w:type="spellEnd"/>
            <w:r>
              <w:rPr>
                <w:sz w:val="20"/>
                <w:szCs w:val="20"/>
              </w:rPr>
              <w:t xml:space="preserve"> forms catalytically active </w:t>
            </w:r>
            <w:proofErr w:type="spellStart"/>
            <w:r>
              <w:rPr>
                <w:sz w:val="20"/>
                <w:szCs w:val="20"/>
              </w:rPr>
              <w:t>decamers</w:t>
            </w:r>
            <w:proofErr w:type="spellEnd"/>
            <w:r>
              <w:rPr>
                <w:sz w:val="20"/>
                <w:szCs w:val="20"/>
              </w:rPr>
              <w:t xml:space="preserve">. </w:t>
            </w:r>
          </w:p>
        </w:tc>
        <w:tc>
          <w:tcPr>
            <w:tcW w:w="1673" w:type="dxa"/>
          </w:tcPr>
          <w:p w14:paraId="72AD371D" w14:textId="77777777" w:rsidR="00D26731" w:rsidRPr="00AA2626" w:rsidRDefault="00D26731" w:rsidP="00BA2D29">
            <w:pPr>
              <w:rPr>
                <w:sz w:val="20"/>
                <w:szCs w:val="20"/>
              </w:rPr>
            </w:pPr>
            <w:r>
              <w:rPr>
                <w:noProof/>
                <w:sz w:val="20"/>
                <w:szCs w:val="20"/>
              </w:rPr>
              <w:t>(Andrell et al. 2009)</w:t>
            </w:r>
          </w:p>
        </w:tc>
      </w:tr>
      <w:tr w:rsidR="00D26731" w14:paraId="6BAD95F3" w14:textId="77777777" w:rsidTr="0040753E">
        <w:tc>
          <w:tcPr>
            <w:tcW w:w="1849" w:type="dxa"/>
          </w:tcPr>
          <w:p w14:paraId="766F3EDB" w14:textId="77777777" w:rsidR="00D26731" w:rsidRPr="00AA2626" w:rsidRDefault="00D26731" w:rsidP="00BA2D29">
            <w:pPr>
              <w:rPr>
                <w:sz w:val="20"/>
                <w:szCs w:val="20"/>
              </w:rPr>
            </w:pPr>
            <w:proofErr w:type="spellStart"/>
            <w:r w:rsidRPr="00AA2626">
              <w:rPr>
                <w:sz w:val="20"/>
                <w:szCs w:val="20"/>
              </w:rPr>
              <w:t>Dialkylglycine</w:t>
            </w:r>
            <w:proofErr w:type="spellEnd"/>
            <w:r w:rsidRPr="00AA2626">
              <w:rPr>
                <w:sz w:val="20"/>
                <w:szCs w:val="20"/>
              </w:rPr>
              <w:t xml:space="preserve"> decarboxylase (DGD)</w:t>
            </w:r>
          </w:p>
        </w:tc>
        <w:tc>
          <w:tcPr>
            <w:tcW w:w="1705" w:type="dxa"/>
          </w:tcPr>
          <w:p w14:paraId="24CB5FDB" w14:textId="77777777" w:rsidR="00D26731" w:rsidRPr="00AA2626" w:rsidRDefault="00D26731" w:rsidP="00BA2D29">
            <w:pPr>
              <w:rPr>
                <w:sz w:val="20"/>
                <w:szCs w:val="20"/>
              </w:rPr>
            </w:pPr>
            <w:proofErr w:type="gramStart"/>
            <w:r w:rsidRPr="00D87EE4">
              <w:rPr>
                <w:sz w:val="20"/>
                <w:szCs w:val="20"/>
              </w:rPr>
              <w:t>α,α</w:t>
            </w:r>
            <w:proofErr w:type="gramEnd"/>
            <w:r w:rsidRPr="00D87EE4">
              <w:rPr>
                <w:sz w:val="20"/>
                <w:szCs w:val="20"/>
              </w:rPr>
              <w:t>-dialkylamino acid degradation</w:t>
            </w:r>
          </w:p>
        </w:tc>
        <w:tc>
          <w:tcPr>
            <w:tcW w:w="1338" w:type="dxa"/>
          </w:tcPr>
          <w:p w14:paraId="2929179F" w14:textId="77777777" w:rsidR="00D26731" w:rsidRPr="00D87EE4" w:rsidRDefault="00D26731" w:rsidP="00BA2D29">
            <w:pPr>
              <w:rPr>
                <w:sz w:val="20"/>
                <w:szCs w:val="20"/>
              </w:rPr>
            </w:pPr>
            <w:r w:rsidRPr="00D87EE4">
              <w:rPr>
                <w:sz w:val="20"/>
                <w:szCs w:val="20"/>
              </w:rPr>
              <w:t>Tetramer (dimer of homodimers)</w:t>
            </w:r>
          </w:p>
        </w:tc>
        <w:tc>
          <w:tcPr>
            <w:tcW w:w="3202" w:type="dxa"/>
          </w:tcPr>
          <w:p w14:paraId="287BF80B" w14:textId="77777777" w:rsidR="00D26731" w:rsidRPr="00D87EE4" w:rsidRDefault="00D26731" w:rsidP="00BA2D29">
            <w:pPr>
              <w:rPr>
                <w:b/>
                <w:bCs/>
                <w:sz w:val="20"/>
                <w:szCs w:val="20"/>
              </w:rPr>
            </w:pPr>
            <w:r w:rsidRPr="00D87EE4">
              <w:rPr>
                <w:sz w:val="20"/>
                <w:szCs w:val="20"/>
              </w:rPr>
              <w:t>DGD has two metal ion binding sites, one of which helps regulate catalysis. Site 1 near the active site can interact with monovalent cations with ionic radii of 1.3 to 1.5 Å to activate DGD by promoting cofactor binding and organization of the active site. Binding of smaller monovalent cations to Site 1 causes inhibition.</w:t>
            </w:r>
          </w:p>
        </w:tc>
        <w:tc>
          <w:tcPr>
            <w:tcW w:w="1673" w:type="dxa"/>
          </w:tcPr>
          <w:p w14:paraId="36E78A33" w14:textId="77777777" w:rsidR="00D26731" w:rsidRPr="00907CA4" w:rsidRDefault="00D26731" w:rsidP="00BA2D29">
            <w:pPr>
              <w:rPr>
                <w:b/>
                <w:bCs/>
                <w:sz w:val="20"/>
                <w:szCs w:val="20"/>
              </w:rPr>
            </w:pPr>
            <w:r>
              <w:rPr>
                <w:noProof/>
                <w:sz w:val="20"/>
                <w:szCs w:val="20"/>
              </w:rPr>
              <w:t>(Toney et al. 1993, Hohenester et al. 1994, Toney et al. 1995)</w:t>
            </w:r>
          </w:p>
        </w:tc>
      </w:tr>
      <w:tr w:rsidR="00D26731" w14:paraId="3092E387" w14:textId="77777777" w:rsidTr="0040753E">
        <w:tc>
          <w:tcPr>
            <w:tcW w:w="1849" w:type="dxa"/>
          </w:tcPr>
          <w:p w14:paraId="7D5E79CB" w14:textId="77777777" w:rsidR="00D26731" w:rsidRPr="00C7583B" w:rsidRDefault="00D26731" w:rsidP="005C57DE">
            <w:pPr>
              <w:rPr>
                <w:sz w:val="20"/>
                <w:szCs w:val="20"/>
              </w:rPr>
            </w:pPr>
            <w:r w:rsidRPr="00C7583B">
              <w:rPr>
                <w:sz w:val="20"/>
                <w:szCs w:val="20"/>
              </w:rPr>
              <w:t>DOPA decarboxylase (DDC</w:t>
            </w:r>
            <w:r w:rsidRPr="00AA2626">
              <w:rPr>
                <w:sz w:val="20"/>
                <w:szCs w:val="20"/>
              </w:rPr>
              <w:t>; AKA Aromatic amino acid decarboxylase, AADC</w:t>
            </w:r>
            <w:r w:rsidRPr="00C7583B">
              <w:rPr>
                <w:sz w:val="20"/>
                <w:szCs w:val="20"/>
              </w:rPr>
              <w:t>)</w:t>
            </w:r>
          </w:p>
        </w:tc>
        <w:tc>
          <w:tcPr>
            <w:tcW w:w="1705" w:type="dxa"/>
          </w:tcPr>
          <w:p w14:paraId="2C735DF4" w14:textId="77777777" w:rsidR="00D26731" w:rsidRPr="00C7583B" w:rsidRDefault="00D26731" w:rsidP="005C57DE">
            <w:pPr>
              <w:rPr>
                <w:sz w:val="20"/>
                <w:szCs w:val="20"/>
              </w:rPr>
            </w:pPr>
            <w:r w:rsidRPr="00C7583B">
              <w:rPr>
                <w:sz w:val="20"/>
                <w:szCs w:val="20"/>
              </w:rPr>
              <w:t>Epinephrine biosynthesis</w:t>
            </w:r>
          </w:p>
        </w:tc>
        <w:tc>
          <w:tcPr>
            <w:tcW w:w="1338" w:type="dxa"/>
          </w:tcPr>
          <w:p w14:paraId="60E82132" w14:textId="77777777" w:rsidR="00D26731" w:rsidRPr="00C7583B" w:rsidRDefault="00D26731" w:rsidP="005C57DE">
            <w:pPr>
              <w:rPr>
                <w:sz w:val="20"/>
                <w:szCs w:val="20"/>
              </w:rPr>
            </w:pPr>
            <w:r w:rsidRPr="00C7583B">
              <w:rPr>
                <w:sz w:val="20"/>
                <w:szCs w:val="20"/>
              </w:rPr>
              <w:t>Homodimer</w:t>
            </w:r>
          </w:p>
        </w:tc>
        <w:tc>
          <w:tcPr>
            <w:tcW w:w="3202" w:type="dxa"/>
          </w:tcPr>
          <w:p w14:paraId="444E66E9" w14:textId="27470600" w:rsidR="00D26731" w:rsidRPr="00C7583B" w:rsidRDefault="00D26731" w:rsidP="005C57DE">
            <w:pPr>
              <w:rPr>
                <w:sz w:val="20"/>
                <w:szCs w:val="20"/>
              </w:rPr>
            </w:pPr>
            <w:r w:rsidRPr="00C7583B">
              <w:rPr>
                <w:sz w:val="20"/>
                <w:szCs w:val="20"/>
              </w:rPr>
              <w:t xml:space="preserve">DDC has a flexible loop containing a conserved tyrosine residue. This loop regulates catalysis in </w:t>
            </w:r>
            <w:r w:rsidRPr="00C7583B">
              <w:rPr>
                <w:i/>
                <w:iCs/>
                <w:sz w:val="20"/>
                <w:szCs w:val="20"/>
              </w:rPr>
              <w:t xml:space="preserve">trans </w:t>
            </w:r>
            <w:r w:rsidRPr="00C7583B">
              <w:rPr>
                <w:sz w:val="20"/>
                <w:szCs w:val="20"/>
              </w:rPr>
              <w:t>by extending toward and occluding the active site of the neighboring monomer upon substrate binding. This closed conformation stabilizes reaction intermediates and allows tyrosine to play a part in the reaction mechanism.</w:t>
            </w:r>
            <w:r w:rsidRPr="00AA2626">
              <w:rPr>
                <w:sz w:val="20"/>
                <w:szCs w:val="20"/>
              </w:rPr>
              <w:t xml:space="preserve"> In plant AADCs, replacement of the conserved tyrosine with phenylalanine can convert enzyme activity from decarboxylation only to decarboxylation-deamination.    </w:t>
            </w:r>
          </w:p>
        </w:tc>
        <w:tc>
          <w:tcPr>
            <w:tcW w:w="1673" w:type="dxa"/>
          </w:tcPr>
          <w:p w14:paraId="0ECEDA21" w14:textId="77777777" w:rsidR="00D26731" w:rsidRPr="00C7583B" w:rsidRDefault="00D26731" w:rsidP="005C57DE">
            <w:pPr>
              <w:rPr>
                <w:sz w:val="20"/>
                <w:szCs w:val="20"/>
              </w:rPr>
            </w:pPr>
            <w:r w:rsidRPr="00AA2626">
              <w:rPr>
                <w:noProof/>
                <w:sz w:val="20"/>
                <w:szCs w:val="20"/>
              </w:rPr>
              <w:t>(Bertoldi et al. 2002, Giardina et al. 2011, Bertoldi 2014)</w:t>
            </w:r>
          </w:p>
        </w:tc>
      </w:tr>
      <w:tr w:rsidR="00D26731" w14:paraId="25D553CA" w14:textId="77777777" w:rsidTr="0040753E">
        <w:tc>
          <w:tcPr>
            <w:tcW w:w="1849" w:type="dxa"/>
          </w:tcPr>
          <w:p w14:paraId="0E2F8D16" w14:textId="77777777" w:rsidR="00D26731" w:rsidRPr="005C01DD" w:rsidRDefault="00D26731" w:rsidP="005C57DE">
            <w:pPr>
              <w:rPr>
                <w:sz w:val="20"/>
                <w:szCs w:val="20"/>
              </w:rPr>
            </w:pPr>
            <w:r w:rsidRPr="005C01DD">
              <w:rPr>
                <w:sz w:val="20"/>
                <w:szCs w:val="20"/>
              </w:rPr>
              <w:t>Glutamic acid decarboxylase (G</w:t>
            </w:r>
            <w:r>
              <w:rPr>
                <w:sz w:val="20"/>
                <w:szCs w:val="20"/>
              </w:rPr>
              <w:t>A</w:t>
            </w:r>
            <w:r w:rsidRPr="005C01DD">
              <w:rPr>
                <w:sz w:val="20"/>
                <w:szCs w:val="20"/>
              </w:rPr>
              <w:t>D)</w:t>
            </w:r>
          </w:p>
        </w:tc>
        <w:tc>
          <w:tcPr>
            <w:tcW w:w="1705" w:type="dxa"/>
          </w:tcPr>
          <w:p w14:paraId="51442CB4" w14:textId="77777777" w:rsidR="00D26731" w:rsidRDefault="00D26731" w:rsidP="005C57DE">
            <w:pPr>
              <w:rPr>
                <w:sz w:val="20"/>
                <w:szCs w:val="20"/>
              </w:rPr>
            </w:pPr>
            <w:r>
              <w:rPr>
                <w:sz w:val="20"/>
                <w:szCs w:val="20"/>
              </w:rPr>
              <w:t>GABA biosynthesis</w:t>
            </w:r>
          </w:p>
        </w:tc>
        <w:tc>
          <w:tcPr>
            <w:tcW w:w="1338" w:type="dxa"/>
          </w:tcPr>
          <w:p w14:paraId="3F73D992" w14:textId="77777777" w:rsidR="00D26731" w:rsidRPr="005C01DD" w:rsidRDefault="00D26731" w:rsidP="005C57DE">
            <w:pPr>
              <w:rPr>
                <w:sz w:val="20"/>
                <w:szCs w:val="20"/>
              </w:rPr>
            </w:pPr>
            <w:r w:rsidRPr="005C01DD">
              <w:rPr>
                <w:sz w:val="20"/>
                <w:szCs w:val="20"/>
              </w:rPr>
              <w:t>Homodimer</w:t>
            </w:r>
          </w:p>
        </w:tc>
        <w:tc>
          <w:tcPr>
            <w:tcW w:w="3202" w:type="dxa"/>
          </w:tcPr>
          <w:p w14:paraId="5DBAE61C" w14:textId="6ABE079D" w:rsidR="00D26731" w:rsidRDefault="00D26731" w:rsidP="001E289A">
            <w:pPr>
              <w:rPr>
                <w:sz w:val="20"/>
                <w:szCs w:val="20"/>
              </w:rPr>
            </w:pPr>
            <w:r>
              <w:rPr>
                <w:sz w:val="20"/>
                <w:szCs w:val="20"/>
              </w:rPr>
              <w:t xml:space="preserve">The 65 kDa isoform of GAD (GAD65) can auto-inactivate through flexibility of a catalytic loop. The GAD65 loop has a similar mechanism as the DDC loop by acting in </w:t>
            </w:r>
            <w:r>
              <w:rPr>
                <w:i/>
                <w:iCs/>
                <w:sz w:val="20"/>
                <w:szCs w:val="20"/>
              </w:rPr>
              <w:t>trans</w:t>
            </w:r>
            <w:r>
              <w:rPr>
                <w:sz w:val="20"/>
                <w:szCs w:val="20"/>
              </w:rPr>
              <w:t xml:space="preserve"> from one monomer to its neighbor to contribute a tyrosine residue important in the reaction mechanism. Phosphorylation also differentially regulates GAD activity in the brain by activating GAD65 but inhibiting GAD67.  </w:t>
            </w:r>
          </w:p>
        </w:tc>
        <w:tc>
          <w:tcPr>
            <w:tcW w:w="1673" w:type="dxa"/>
          </w:tcPr>
          <w:p w14:paraId="661A9BBB" w14:textId="77777777" w:rsidR="00D26731" w:rsidRDefault="00D26731" w:rsidP="005C57DE">
            <w:pPr>
              <w:rPr>
                <w:sz w:val="20"/>
                <w:szCs w:val="20"/>
              </w:rPr>
            </w:pPr>
            <w:r>
              <w:rPr>
                <w:noProof/>
                <w:sz w:val="20"/>
                <w:szCs w:val="20"/>
              </w:rPr>
              <w:t>(Fenalti et al. 2007, Langendorf et al. 2013, Chou et al. 2017)</w:t>
            </w:r>
          </w:p>
        </w:tc>
      </w:tr>
      <w:tr w:rsidR="00D26731" w14:paraId="071B19AB" w14:textId="77777777" w:rsidTr="0040753E">
        <w:tc>
          <w:tcPr>
            <w:tcW w:w="1849" w:type="dxa"/>
          </w:tcPr>
          <w:p w14:paraId="03FC33B8" w14:textId="77777777" w:rsidR="00D26731" w:rsidRPr="005C01DD" w:rsidRDefault="00D26731" w:rsidP="005C57DE">
            <w:pPr>
              <w:rPr>
                <w:sz w:val="20"/>
                <w:szCs w:val="20"/>
              </w:rPr>
            </w:pPr>
            <w:r w:rsidRPr="005C01DD">
              <w:rPr>
                <w:sz w:val="20"/>
                <w:szCs w:val="20"/>
              </w:rPr>
              <w:t xml:space="preserve">Glutamate-1-semialdehyde </w:t>
            </w:r>
            <w:r w:rsidRPr="005C01DD">
              <w:rPr>
                <w:sz w:val="20"/>
                <w:szCs w:val="20"/>
              </w:rPr>
              <w:lastRenderedPageBreak/>
              <w:t>aminomutase (GSAM)</w:t>
            </w:r>
          </w:p>
        </w:tc>
        <w:tc>
          <w:tcPr>
            <w:tcW w:w="1705" w:type="dxa"/>
          </w:tcPr>
          <w:p w14:paraId="7D58CA52" w14:textId="77777777" w:rsidR="00D26731" w:rsidRDefault="00D26731" w:rsidP="005C57DE">
            <w:pPr>
              <w:rPr>
                <w:sz w:val="20"/>
                <w:szCs w:val="20"/>
              </w:rPr>
            </w:pPr>
            <w:r>
              <w:rPr>
                <w:sz w:val="20"/>
                <w:szCs w:val="20"/>
              </w:rPr>
              <w:lastRenderedPageBreak/>
              <w:t xml:space="preserve">Tetrapyrrole biosynthesis (plants, green </w:t>
            </w:r>
            <w:r>
              <w:rPr>
                <w:sz w:val="20"/>
                <w:szCs w:val="20"/>
              </w:rPr>
              <w:lastRenderedPageBreak/>
              <w:t>algae, most bacteria)</w:t>
            </w:r>
          </w:p>
        </w:tc>
        <w:tc>
          <w:tcPr>
            <w:tcW w:w="1338" w:type="dxa"/>
          </w:tcPr>
          <w:p w14:paraId="525699A2" w14:textId="77777777" w:rsidR="00D26731" w:rsidRPr="005C01DD" w:rsidRDefault="00D26731" w:rsidP="005C57DE">
            <w:pPr>
              <w:rPr>
                <w:sz w:val="20"/>
                <w:szCs w:val="20"/>
              </w:rPr>
            </w:pPr>
            <w:r w:rsidRPr="005C01DD">
              <w:rPr>
                <w:sz w:val="20"/>
                <w:szCs w:val="20"/>
              </w:rPr>
              <w:lastRenderedPageBreak/>
              <w:t>Homodimer</w:t>
            </w:r>
          </w:p>
        </w:tc>
        <w:tc>
          <w:tcPr>
            <w:tcW w:w="3202" w:type="dxa"/>
          </w:tcPr>
          <w:p w14:paraId="5F50C0C7" w14:textId="77777777" w:rsidR="00D26731" w:rsidRDefault="00D26731" w:rsidP="005C57DE">
            <w:pPr>
              <w:rPr>
                <w:sz w:val="20"/>
                <w:szCs w:val="20"/>
              </w:rPr>
            </w:pPr>
            <w:r>
              <w:rPr>
                <w:sz w:val="20"/>
                <w:szCs w:val="20"/>
              </w:rPr>
              <w:t xml:space="preserve">GSAM has an active site “gating loop” that acts within the same subunit to regulate access for </w:t>
            </w:r>
            <w:r>
              <w:rPr>
                <w:sz w:val="20"/>
                <w:szCs w:val="20"/>
              </w:rPr>
              <w:lastRenderedPageBreak/>
              <w:t>substrate binding in a cofactor-dependent manner. Initially, GSAM is bound to PMP, and the gating loop is in the open conformation to allow product release and substrate access. As the reaction progresses, PMP converts to PLP, and the loop adopts a closed conformation to occlude the active site. Since substrates bind successively, GSAM can simultaneously bind PMP and PLP, causing negative cooperativity. GSAM has also been reported to form a complex with glutamyl-tRNA reductase (</w:t>
            </w:r>
            <w:proofErr w:type="spellStart"/>
            <w:r>
              <w:rPr>
                <w:sz w:val="20"/>
                <w:szCs w:val="20"/>
              </w:rPr>
              <w:t>HemA</w:t>
            </w:r>
            <w:proofErr w:type="spellEnd"/>
            <w:r>
              <w:rPr>
                <w:sz w:val="20"/>
                <w:szCs w:val="20"/>
              </w:rPr>
              <w:t xml:space="preserve">) to facilitate substrate channeling from </w:t>
            </w:r>
            <w:proofErr w:type="spellStart"/>
            <w:r>
              <w:rPr>
                <w:sz w:val="20"/>
                <w:szCs w:val="20"/>
              </w:rPr>
              <w:t>HemA</w:t>
            </w:r>
            <w:proofErr w:type="spellEnd"/>
            <w:r>
              <w:rPr>
                <w:sz w:val="20"/>
                <w:szCs w:val="20"/>
              </w:rPr>
              <w:t xml:space="preserve"> to GSAM.  </w:t>
            </w:r>
          </w:p>
        </w:tc>
        <w:tc>
          <w:tcPr>
            <w:tcW w:w="1673" w:type="dxa"/>
          </w:tcPr>
          <w:p w14:paraId="380085D5" w14:textId="77777777" w:rsidR="00D26731" w:rsidRDefault="00D26731" w:rsidP="005C57DE">
            <w:pPr>
              <w:rPr>
                <w:sz w:val="20"/>
                <w:szCs w:val="20"/>
              </w:rPr>
            </w:pPr>
            <w:r>
              <w:rPr>
                <w:noProof/>
                <w:sz w:val="20"/>
                <w:szCs w:val="20"/>
              </w:rPr>
              <w:lastRenderedPageBreak/>
              <w:t xml:space="preserve">(Hennig et al. 1997, Stetefeld et </w:t>
            </w:r>
            <w:r>
              <w:rPr>
                <w:noProof/>
                <w:sz w:val="20"/>
                <w:szCs w:val="20"/>
              </w:rPr>
              <w:lastRenderedPageBreak/>
              <w:t>al. 2006, Nardella et al. 2019)</w:t>
            </w:r>
          </w:p>
        </w:tc>
      </w:tr>
      <w:tr w:rsidR="00D26731" w14:paraId="28583AD2" w14:textId="77777777" w:rsidTr="0040753E">
        <w:tc>
          <w:tcPr>
            <w:tcW w:w="1849" w:type="dxa"/>
          </w:tcPr>
          <w:p w14:paraId="35B46E11" w14:textId="77777777" w:rsidR="00D26731" w:rsidRPr="005C01DD" w:rsidRDefault="00D26731" w:rsidP="005C57DE">
            <w:pPr>
              <w:rPr>
                <w:sz w:val="20"/>
                <w:szCs w:val="20"/>
              </w:rPr>
            </w:pPr>
            <w:r w:rsidRPr="005C01DD">
              <w:rPr>
                <w:sz w:val="20"/>
                <w:szCs w:val="20"/>
              </w:rPr>
              <w:lastRenderedPageBreak/>
              <w:t>Phosphoserine aminotransferase (PSAT)</w:t>
            </w:r>
          </w:p>
        </w:tc>
        <w:tc>
          <w:tcPr>
            <w:tcW w:w="1705" w:type="dxa"/>
          </w:tcPr>
          <w:p w14:paraId="65EF5DD0" w14:textId="77777777" w:rsidR="00D26731" w:rsidRDefault="00D26731" w:rsidP="005C57DE">
            <w:pPr>
              <w:rPr>
                <w:sz w:val="20"/>
                <w:szCs w:val="20"/>
              </w:rPr>
            </w:pPr>
            <w:r>
              <w:rPr>
                <w:sz w:val="20"/>
                <w:szCs w:val="20"/>
              </w:rPr>
              <w:t xml:space="preserve">Serine biosynthesis </w:t>
            </w:r>
          </w:p>
        </w:tc>
        <w:tc>
          <w:tcPr>
            <w:tcW w:w="1338" w:type="dxa"/>
          </w:tcPr>
          <w:p w14:paraId="2AEED406" w14:textId="77777777" w:rsidR="00D26731" w:rsidRPr="005C57DE" w:rsidRDefault="00D26731" w:rsidP="005C57DE">
            <w:pPr>
              <w:rPr>
                <w:sz w:val="20"/>
                <w:szCs w:val="20"/>
              </w:rPr>
            </w:pPr>
            <w:r>
              <w:rPr>
                <w:sz w:val="20"/>
                <w:szCs w:val="20"/>
              </w:rPr>
              <w:t>Homodimer</w:t>
            </w:r>
          </w:p>
        </w:tc>
        <w:tc>
          <w:tcPr>
            <w:tcW w:w="3202" w:type="dxa"/>
          </w:tcPr>
          <w:p w14:paraId="2748AD64" w14:textId="77777777" w:rsidR="00D26731" w:rsidRDefault="00D26731" w:rsidP="005C57DE">
            <w:pPr>
              <w:rPr>
                <w:sz w:val="20"/>
                <w:szCs w:val="20"/>
              </w:rPr>
            </w:pPr>
            <w:r>
              <w:rPr>
                <w:sz w:val="20"/>
                <w:szCs w:val="20"/>
              </w:rPr>
              <w:t xml:space="preserve">PSAT has a “gating loop” that acts within the same subunit to occlude access to the active site. The loop is first in its open conformation where it can guide substrates toward the catalytic site and orients them for catalysis. Upon substrate binding to the active site, the loop adopts a closed conformation to stabilize the substrate.  </w:t>
            </w:r>
          </w:p>
        </w:tc>
        <w:tc>
          <w:tcPr>
            <w:tcW w:w="1673" w:type="dxa"/>
          </w:tcPr>
          <w:p w14:paraId="2A30AC8C" w14:textId="77777777" w:rsidR="00D26731" w:rsidRDefault="00D26731" w:rsidP="005C57DE">
            <w:pPr>
              <w:rPr>
                <w:sz w:val="20"/>
                <w:szCs w:val="20"/>
              </w:rPr>
            </w:pPr>
            <w:r>
              <w:rPr>
                <w:noProof/>
                <w:sz w:val="20"/>
                <w:szCs w:val="20"/>
              </w:rPr>
              <w:t>(Sekula et al. 2018)</w:t>
            </w:r>
          </w:p>
        </w:tc>
      </w:tr>
      <w:tr w:rsidR="00D26731" w14:paraId="50B4CB8B" w14:textId="77777777" w:rsidTr="0040753E">
        <w:tc>
          <w:tcPr>
            <w:tcW w:w="1849" w:type="dxa"/>
          </w:tcPr>
          <w:p w14:paraId="5BD55A76" w14:textId="77777777" w:rsidR="00D26731" w:rsidRDefault="00D26731" w:rsidP="005C57DE">
            <w:pPr>
              <w:rPr>
                <w:sz w:val="20"/>
                <w:szCs w:val="20"/>
              </w:rPr>
            </w:pPr>
            <w:r>
              <w:rPr>
                <w:sz w:val="20"/>
                <w:szCs w:val="20"/>
              </w:rPr>
              <w:t>Serine hydroxymethyl</w:t>
            </w:r>
          </w:p>
          <w:p w14:paraId="22FC4858" w14:textId="77777777" w:rsidR="00D26731" w:rsidRPr="005C01DD" w:rsidRDefault="00D26731" w:rsidP="005C57DE">
            <w:pPr>
              <w:rPr>
                <w:sz w:val="20"/>
                <w:szCs w:val="20"/>
              </w:rPr>
            </w:pPr>
            <w:r>
              <w:rPr>
                <w:sz w:val="20"/>
                <w:szCs w:val="20"/>
              </w:rPr>
              <w:t>transferase (SHMT)</w:t>
            </w:r>
          </w:p>
        </w:tc>
        <w:tc>
          <w:tcPr>
            <w:tcW w:w="1705" w:type="dxa"/>
          </w:tcPr>
          <w:p w14:paraId="43702BE3" w14:textId="77777777" w:rsidR="00D26731" w:rsidRDefault="00D26731" w:rsidP="005C57DE">
            <w:pPr>
              <w:rPr>
                <w:sz w:val="20"/>
                <w:szCs w:val="20"/>
              </w:rPr>
            </w:pPr>
            <w:proofErr w:type="spellStart"/>
            <w:r>
              <w:rPr>
                <w:sz w:val="20"/>
                <w:szCs w:val="20"/>
              </w:rPr>
              <w:t>Deoxythymidylate</w:t>
            </w:r>
            <w:proofErr w:type="spellEnd"/>
            <w:r>
              <w:rPr>
                <w:sz w:val="20"/>
                <w:szCs w:val="20"/>
              </w:rPr>
              <w:t xml:space="preserve"> (dTMP) biosynthesis </w:t>
            </w:r>
          </w:p>
        </w:tc>
        <w:tc>
          <w:tcPr>
            <w:tcW w:w="1338" w:type="dxa"/>
          </w:tcPr>
          <w:p w14:paraId="41508E17" w14:textId="1736F52B" w:rsidR="00D26731" w:rsidRDefault="00D26731" w:rsidP="005C57DE">
            <w:pPr>
              <w:rPr>
                <w:sz w:val="20"/>
                <w:szCs w:val="20"/>
              </w:rPr>
            </w:pPr>
            <w:r>
              <w:rPr>
                <w:sz w:val="20"/>
                <w:szCs w:val="20"/>
              </w:rPr>
              <w:t>Tetramers (dimer of homodimers) or Homodimers in eukaryotes and bacteria</w:t>
            </w:r>
          </w:p>
        </w:tc>
        <w:tc>
          <w:tcPr>
            <w:tcW w:w="3202" w:type="dxa"/>
          </w:tcPr>
          <w:p w14:paraId="4A67CE0A" w14:textId="77777777" w:rsidR="00D26731" w:rsidRDefault="00D26731" w:rsidP="005C57DE">
            <w:pPr>
              <w:rPr>
                <w:sz w:val="20"/>
                <w:szCs w:val="20"/>
              </w:rPr>
            </w:pPr>
            <w:r>
              <w:rPr>
                <w:sz w:val="20"/>
                <w:szCs w:val="20"/>
              </w:rPr>
              <w:t xml:space="preserve">Mammalian SHMT isoforms function as tetramers that are formed as dimers of obligate dimers. The tetrameric interface is only available when the obligate dimer units adopt a closed conformation. PLP binding in mitochondrial SHMT (SHMT2) causes folding of unstructured regions near the active site that drives the dimer to favor the closed conformation, thus shifting toward tetramerization to lock in the catalytically active closed dimer. A conserved flap motif of one monomer links to the active site of the opposite monomer in an obligate dimer. This motif is therefore integral to stabilizing the tetrameric state through facilitating PLP and substrate binding. </w:t>
            </w:r>
          </w:p>
        </w:tc>
        <w:tc>
          <w:tcPr>
            <w:tcW w:w="1673" w:type="dxa"/>
          </w:tcPr>
          <w:p w14:paraId="0B582CA1" w14:textId="77777777" w:rsidR="00D26731" w:rsidRDefault="00D26731" w:rsidP="005C57DE">
            <w:pPr>
              <w:rPr>
                <w:sz w:val="20"/>
                <w:szCs w:val="20"/>
              </w:rPr>
            </w:pPr>
            <w:r>
              <w:rPr>
                <w:noProof/>
                <w:sz w:val="20"/>
                <w:szCs w:val="20"/>
              </w:rPr>
              <w:t>(Giardina et al. 2015, Ubonprasert et al. 2019)</w:t>
            </w:r>
          </w:p>
        </w:tc>
      </w:tr>
      <w:tr w:rsidR="00D26731" w14:paraId="77FEBE40" w14:textId="77777777" w:rsidTr="0040753E">
        <w:tc>
          <w:tcPr>
            <w:tcW w:w="1849" w:type="dxa"/>
          </w:tcPr>
          <w:p w14:paraId="42F17008" w14:textId="77777777" w:rsidR="00D26731" w:rsidRDefault="00D26731" w:rsidP="005C57DE">
            <w:pPr>
              <w:rPr>
                <w:sz w:val="20"/>
                <w:szCs w:val="20"/>
              </w:rPr>
            </w:pPr>
            <w:r>
              <w:rPr>
                <w:sz w:val="20"/>
                <w:szCs w:val="20"/>
              </w:rPr>
              <w:t>Serine palmitoyltransferase (SPT)</w:t>
            </w:r>
          </w:p>
        </w:tc>
        <w:tc>
          <w:tcPr>
            <w:tcW w:w="1705" w:type="dxa"/>
          </w:tcPr>
          <w:p w14:paraId="4363C942" w14:textId="77777777" w:rsidR="00D26731" w:rsidRDefault="00D26731" w:rsidP="005C57DE">
            <w:pPr>
              <w:rPr>
                <w:sz w:val="20"/>
                <w:szCs w:val="20"/>
              </w:rPr>
            </w:pPr>
            <w:r>
              <w:rPr>
                <w:sz w:val="20"/>
                <w:szCs w:val="20"/>
              </w:rPr>
              <w:t>Sphingolipid biosynthesis</w:t>
            </w:r>
          </w:p>
        </w:tc>
        <w:tc>
          <w:tcPr>
            <w:tcW w:w="1338" w:type="dxa"/>
          </w:tcPr>
          <w:p w14:paraId="662CC776" w14:textId="77777777" w:rsidR="00D26731" w:rsidRDefault="00D26731" w:rsidP="005C57DE">
            <w:pPr>
              <w:rPr>
                <w:sz w:val="20"/>
                <w:szCs w:val="20"/>
              </w:rPr>
            </w:pPr>
            <w:r>
              <w:rPr>
                <w:sz w:val="20"/>
                <w:szCs w:val="20"/>
              </w:rPr>
              <w:t>Heterodimer (SPTLC1 and SPTLC2)</w:t>
            </w:r>
          </w:p>
        </w:tc>
        <w:tc>
          <w:tcPr>
            <w:tcW w:w="3202" w:type="dxa"/>
          </w:tcPr>
          <w:p w14:paraId="5EECD594" w14:textId="32683203" w:rsidR="00D26731" w:rsidRDefault="00D26731" w:rsidP="005C57DE">
            <w:pPr>
              <w:rPr>
                <w:sz w:val="20"/>
                <w:szCs w:val="20"/>
              </w:rPr>
            </w:pPr>
            <w:r>
              <w:rPr>
                <w:sz w:val="20"/>
                <w:szCs w:val="20"/>
              </w:rPr>
              <w:t xml:space="preserve">The SPT heterodimer associates with additional regulatory units. Small subunits of serine </w:t>
            </w:r>
            <w:proofErr w:type="spellStart"/>
            <w:r>
              <w:rPr>
                <w:sz w:val="20"/>
                <w:szCs w:val="20"/>
              </w:rPr>
              <w:t>palmitoyltransferase</w:t>
            </w:r>
            <w:proofErr w:type="spellEnd"/>
            <w:r>
              <w:rPr>
                <w:sz w:val="20"/>
                <w:szCs w:val="20"/>
              </w:rPr>
              <w:t xml:space="preserve"> (</w:t>
            </w:r>
            <w:proofErr w:type="spellStart"/>
            <w:r>
              <w:rPr>
                <w:sz w:val="20"/>
                <w:szCs w:val="20"/>
              </w:rPr>
              <w:t>ssSPTs</w:t>
            </w:r>
            <w:proofErr w:type="spellEnd"/>
            <w:r>
              <w:rPr>
                <w:sz w:val="20"/>
                <w:szCs w:val="20"/>
              </w:rPr>
              <w:t xml:space="preserve">) activate SPT nearly 100-fold and dictate substrate preference for acyl-CoA. On the other hand, </w:t>
            </w:r>
            <w:proofErr w:type="spellStart"/>
            <w:r w:rsidRPr="009A7644">
              <w:rPr>
                <w:sz w:val="20"/>
                <w:szCs w:val="20"/>
              </w:rPr>
              <w:t>orosomucoid</w:t>
            </w:r>
            <w:proofErr w:type="spellEnd"/>
            <w:r w:rsidRPr="009A7644">
              <w:rPr>
                <w:sz w:val="20"/>
                <w:szCs w:val="20"/>
              </w:rPr>
              <w:t>-like (ORM) proteins</w:t>
            </w:r>
            <w:r>
              <w:rPr>
                <w:sz w:val="20"/>
                <w:szCs w:val="20"/>
              </w:rPr>
              <w:t xml:space="preserve"> negatively regulate SPT. Recent </w:t>
            </w:r>
            <w:proofErr w:type="spellStart"/>
            <w:r>
              <w:rPr>
                <w:sz w:val="20"/>
                <w:szCs w:val="20"/>
              </w:rPr>
              <w:t>cryoEM</w:t>
            </w:r>
            <w:proofErr w:type="spellEnd"/>
            <w:r>
              <w:rPr>
                <w:sz w:val="20"/>
                <w:szCs w:val="20"/>
              </w:rPr>
              <w:t xml:space="preserve"> structures of the human SPTLC1-SPTLC2-ssSPTa-</w:t>
            </w:r>
            <w:r>
              <w:rPr>
                <w:sz w:val="20"/>
                <w:szCs w:val="20"/>
              </w:rPr>
              <w:lastRenderedPageBreak/>
              <w:t xml:space="preserve">ORMDL3 complex have shown that </w:t>
            </w:r>
            <w:proofErr w:type="spellStart"/>
            <w:r>
              <w:rPr>
                <w:sz w:val="20"/>
                <w:szCs w:val="20"/>
              </w:rPr>
              <w:t>ssSPTa</w:t>
            </w:r>
            <w:proofErr w:type="spellEnd"/>
            <w:r>
              <w:rPr>
                <w:sz w:val="20"/>
                <w:szCs w:val="20"/>
              </w:rPr>
              <w:t xml:space="preserve"> shapes the substrate-binding tunnel of SPT, whereas ORMDL3 blocks the tunnel and competes with substrate binding. </w:t>
            </w:r>
          </w:p>
        </w:tc>
        <w:tc>
          <w:tcPr>
            <w:tcW w:w="1673" w:type="dxa"/>
          </w:tcPr>
          <w:p w14:paraId="3ECA7531" w14:textId="77777777" w:rsidR="00D26731" w:rsidRDefault="00D26731" w:rsidP="005C57DE">
            <w:pPr>
              <w:rPr>
                <w:sz w:val="20"/>
                <w:szCs w:val="20"/>
              </w:rPr>
            </w:pPr>
            <w:r>
              <w:rPr>
                <w:noProof/>
                <w:sz w:val="20"/>
                <w:szCs w:val="20"/>
              </w:rPr>
              <w:lastRenderedPageBreak/>
              <w:t>(Siow and Wattenberg 2012, Harmon et al. 2013, Wang et al. 2021)</w:t>
            </w:r>
          </w:p>
        </w:tc>
      </w:tr>
      <w:tr w:rsidR="00D26731" w14:paraId="1EADE602" w14:textId="77777777" w:rsidTr="0040753E">
        <w:tc>
          <w:tcPr>
            <w:tcW w:w="1849" w:type="dxa"/>
          </w:tcPr>
          <w:p w14:paraId="02D59B35" w14:textId="77777777" w:rsidR="00D26731" w:rsidRPr="00513851" w:rsidRDefault="00D26731" w:rsidP="005C57DE">
            <w:pPr>
              <w:rPr>
                <w:sz w:val="20"/>
                <w:szCs w:val="20"/>
              </w:rPr>
            </w:pPr>
            <w:r w:rsidRPr="00513851">
              <w:rPr>
                <w:sz w:val="20"/>
                <w:szCs w:val="20"/>
              </w:rPr>
              <w:t>Tryptophanase (</w:t>
            </w:r>
            <w:proofErr w:type="spellStart"/>
            <w:r w:rsidRPr="00513851">
              <w:rPr>
                <w:sz w:val="20"/>
                <w:szCs w:val="20"/>
              </w:rPr>
              <w:t>Trpase</w:t>
            </w:r>
            <w:proofErr w:type="spellEnd"/>
            <w:r w:rsidRPr="00513851">
              <w:rPr>
                <w:sz w:val="20"/>
                <w:szCs w:val="20"/>
              </w:rPr>
              <w:t>)</w:t>
            </w:r>
          </w:p>
        </w:tc>
        <w:tc>
          <w:tcPr>
            <w:tcW w:w="1705" w:type="dxa"/>
          </w:tcPr>
          <w:p w14:paraId="57B000C4" w14:textId="77777777" w:rsidR="00D26731" w:rsidRPr="00513851" w:rsidRDefault="00D26731" w:rsidP="005C57DE">
            <w:pPr>
              <w:rPr>
                <w:sz w:val="20"/>
                <w:szCs w:val="20"/>
              </w:rPr>
            </w:pPr>
            <w:r w:rsidRPr="00513851">
              <w:rPr>
                <w:sz w:val="20"/>
                <w:szCs w:val="20"/>
              </w:rPr>
              <w:t>L-tryptophan metabolism; Nitrogen metabolism</w:t>
            </w:r>
          </w:p>
        </w:tc>
        <w:tc>
          <w:tcPr>
            <w:tcW w:w="1338" w:type="dxa"/>
          </w:tcPr>
          <w:p w14:paraId="161A481C" w14:textId="77777777" w:rsidR="00D26731" w:rsidRPr="00513851" w:rsidRDefault="00D26731" w:rsidP="005C57DE">
            <w:pPr>
              <w:rPr>
                <w:sz w:val="20"/>
                <w:szCs w:val="20"/>
              </w:rPr>
            </w:pPr>
            <w:r w:rsidRPr="00513851">
              <w:rPr>
                <w:sz w:val="20"/>
                <w:szCs w:val="20"/>
              </w:rPr>
              <w:t>Tetramer (dimer of homodimers)</w:t>
            </w:r>
          </w:p>
        </w:tc>
        <w:tc>
          <w:tcPr>
            <w:tcW w:w="3202" w:type="dxa"/>
          </w:tcPr>
          <w:p w14:paraId="094D09AE" w14:textId="77777777" w:rsidR="00D26731" w:rsidRPr="00513851" w:rsidRDefault="00D26731" w:rsidP="00442C27">
            <w:pPr>
              <w:rPr>
                <w:sz w:val="20"/>
                <w:szCs w:val="20"/>
              </w:rPr>
            </w:pPr>
            <w:proofErr w:type="spellStart"/>
            <w:r w:rsidRPr="00513851">
              <w:rPr>
                <w:sz w:val="20"/>
                <w:szCs w:val="20"/>
              </w:rPr>
              <w:t>Trpase</w:t>
            </w:r>
            <w:proofErr w:type="spellEnd"/>
            <w:r w:rsidRPr="00513851">
              <w:rPr>
                <w:sz w:val="20"/>
                <w:szCs w:val="20"/>
              </w:rPr>
              <w:t xml:space="preserve"> binds </w:t>
            </w:r>
            <w:proofErr w:type="spellStart"/>
            <w:r w:rsidRPr="00513851">
              <w:rPr>
                <w:sz w:val="20"/>
                <w:szCs w:val="20"/>
              </w:rPr>
              <w:t>Rcd</w:t>
            </w:r>
            <w:proofErr w:type="spellEnd"/>
            <w:r w:rsidRPr="00513851">
              <w:rPr>
                <w:sz w:val="20"/>
                <w:szCs w:val="20"/>
              </w:rPr>
              <w:t xml:space="preserve">, which is a short, untranslated RNA involved in cell division. Through this interaction, </w:t>
            </w:r>
            <w:proofErr w:type="spellStart"/>
            <w:r w:rsidRPr="00513851">
              <w:rPr>
                <w:sz w:val="20"/>
                <w:szCs w:val="20"/>
              </w:rPr>
              <w:t>Trpase</w:t>
            </w:r>
            <w:proofErr w:type="spellEnd"/>
            <w:r w:rsidRPr="00513851">
              <w:rPr>
                <w:sz w:val="20"/>
                <w:szCs w:val="20"/>
              </w:rPr>
              <w:t xml:space="preserve"> tryptophan affinity is increased, leading to tryptophan degradation and subsequent indole production that delays cell division. </w:t>
            </w:r>
            <w:proofErr w:type="spellStart"/>
            <w:r w:rsidRPr="00513851">
              <w:rPr>
                <w:sz w:val="20"/>
                <w:szCs w:val="20"/>
              </w:rPr>
              <w:t>Trpase</w:t>
            </w:r>
            <w:proofErr w:type="spellEnd"/>
            <w:r w:rsidRPr="00513851">
              <w:rPr>
                <w:sz w:val="20"/>
                <w:szCs w:val="20"/>
              </w:rPr>
              <w:t xml:space="preserve"> also contains a cation-binding site whereby the identity of the bound cation modulates activity. Binding of smaller ions (Li</w:t>
            </w:r>
            <w:r w:rsidRPr="00AA2626">
              <w:rPr>
                <w:sz w:val="20"/>
                <w:szCs w:val="20"/>
                <w:vertAlign w:val="superscript"/>
              </w:rPr>
              <w:t>+</w:t>
            </w:r>
            <w:r w:rsidRPr="00513851">
              <w:rPr>
                <w:sz w:val="20"/>
                <w:szCs w:val="20"/>
              </w:rPr>
              <w:t xml:space="preserve"> and Na</w:t>
            </w:r>
            <w:r w:rsidRPr="00AA2626">
              <w:rPr>
                <w:sz w:val="20"/>
                <w:szCs w:val="20"/>
                <w:vertAlign w:val="superscript"/>
              </w:rPr>
              <w:t>+</w:t>
            </w:r>
            <w:r w:rsidRPr="00513851">
              <w:rPr>
                <w:sz w:val="20"/>
                <w:szCs w:val="20"/>
              </w:rPr>
              <w:t>) leads to inhibition.</w:t>
            </w:r>
          </w:p>
        </w:tc>
        <w:tc>
          <w:tcPr>
            <w:tcW w:w="1673" w:type="dxa"/>
          </w:tcPr>
          <w:p w14:paraId="6B7911D4" w14:textId="77777777" w:rsidR="00D26731" w:rsidRPr="00E25D35" w:rsidRDefault="00D26731" w:rsidP="005C57DE">
            <w:pPr>
              <w:rPr>
                <w:sz w:val="20"/>
                <w:szCs w:val="20"/>
              </w:rPr>
            </w:pPr>
            <w:r>
              <w:rPr>
                <w:noProof/>
                <w:sz w:val="20"/>
                <w:szCs w:val="20"/>
              </w:rPr>
              <w:t>(Snell 1975, Isupov et al. 1998, Chant and Summers 2007, Tsesin et al. 2007)</w:t>
            </w:r>
          </w:p>
        </w:tc>
      </w:tr>
      <w:tr w:rsidR="00D26731" w14:paraId="06C8204E" w14:textId="77777777" w:rsidTr="0040753E">
        <w:tc>
          <w:tcPr>
            <w:tcW w:w="1849" w:type="dxa"/>
            <w:shd w:val="clear" w:color="auto" w:fill="D9D9D9" w:themeFill="background1" w:themeFillShade="D9"/>
          </w:tcPr>
          <w:p w14:paraId="105D9519" w14:textId="77777777" w:rsidR="00D26731" w:rsidRPr="00AA2626" w:rsidRDefault="00D26731" w:rsidP="005C57DE">
            <w:pPr>
              <w:rPr>
                <w:b/>
                <w:bCs/>
                <w:sz w:val="20"/>
                <w:szCs w:val="20"/>
              </w:rPr>
            </w:pPr>
            <w:r w:rsidRPr="00AA2626">
              <w:rPr>
                <w:b/>
                <w:bCs/>
                <w:sz w:val="20"/>
                <w:szCs w:val="20"/>
              </w:rPr>
              <w:t>Fold Type II</w:t>
            </w:r>
          </w:p>
        </w:tc>
        <w:tc>
          <w:tcPr>
            <w:tcW w:w="1705" w:type="dxa"/>
            <w:shd w:val="clear" w:color="auto" w:fill="D9D9D9" w:themeFill="background1" w:themeFillShade="D9"/>
          </w:tcPr>
          <w:p w14:paraId="712DA6A9" w14:textId="77777777" w:rsidR="00D26731" w:rsidRDefault="00D26731" w:rsidP="005C57DE">
            <w:pPr>
              <w:rPr>
                <w:sz w:val="20"/>
                <w:szCs w:val="20"/>
              </w:rPr>
            </w:pPr>
          </w:p>
        </w:tc>
        <w:tc>
          <w:tcPr>
            <w:tcW w:w="1338" w:type="dxa"/>
            <w:shd w:val="clear" w:color="auto" w:fill="D9D9D9" w:themeFill="background1" w:themeFillShade="D9"/>
          </w:tcPr>
          <w:p w14:paraId="7F5FA5A4" w14:textId="77777777" w:rsidR="00D26731" w:rsidRDefault="00D26731" w:rsidP="005C57DE">
            <w:pPr>
              <w:rPr>
                <w:sz w:val="20"/>
                <w:szCs w:val="20"/>
              </w:rPr>
            </w:pPr>
          </w:p>
        </w:tc>
        <w:tc>
          <w:tcPr>
            <w:tcW w:w="3202" w:type="dxa"/>
            <w:shd w:val="clear" w:color="auto" w:fill="D9D9D9" w:themeFill="background1" w:themeFillShade="D9"/>
          </w:tcPr>
          <w:p w14:paraId="13627559" w14:textId="77777777" w:rsidR="00D26731" w:rsidRDefault="00D26731" w:rsidP="005C57DE">
            <w:pPr>
              <w:rPr>
                <w:sz w:val="20"/>
                <w:szCs w:val="20"/>
              </w:rPr>
            </w:pPr>
          </w:p>
        </w:tc>
        <w:tc>
          <w:tcPr>
            <w:tcW w:w="1673" w:type="dxa"/>
            <w:shd w:val="clear" w:color="auto" w:fill="D9D9D9" w:themeFill="background1" w:themeFillShade="D9"/>
          </w:tcPr>
          <w:p w14:paraId="433C990B" w14:textId="77777777" w:rsidR="00D26731" w:rsidRDefault="00D26731" w:rsidP="005C57DE">
            <w:pPr>
              <w:rPr>
                <w:sz w:val="20"/>
                <w:szCs w:val="20"/>
              </w:rPr>
            </w:pPr>
          </w:p>
        </w:tc>
      </w:tr>
      <w:tr w:rsidR="00D26731" w14:paraId="33304488" w14:textId="77777777" w:rsidTr="0040753E">
        <w:tc>
          <w:tcPr>
            <w:tcW w:w="1849" w:type="dxa"/>
          </w:tcPr>
          <w:p w14:paraId="468BF3A1" w14:textId="77777777" w:rsidR="00D26731" w:rsidRPr="001E289A" w:rsidRDefault="00D26731" w:rsidP="005C57DE">
            <w:pPr>
              <w:rPr>
                <w:sz w:val="20"/>
                <w:szCs w:val="20"/>
              </w:rPr>
            </w:pPr>
            <w:r w:rsidRPr="00AA2626">
              <w:rPr>
                <w:sz w:val="20"/>
                <w:szCs w:val="20"/>
              </w:rPr>
              <w:t xml:space="preserve">Cystathionine </w:t>
            </w:r>
            <w:r w:rsidRPr="00AA2626">
              <w:rPr>
                <w:sz w:val="20"/>
                <w:szCs w:val="20"/>
                <w:lang w:val="el-GR"/>
              </w:rPr>
              <w:t>β</w:t>
            </w:r>
            <w:r w:rsidRPr="00AA2626">
              <w:rPr>
                <w:sz w:val="20"/>
                <w:szCs w:val="20"/>
                <w:lang w:val="el-GR" w:eastAsia="ko-KR"/>
              </w:rPr>
              <w:t>-</w:t>
            </w:r>
            <w:r w:rsidRPr="00AA2626">
              <w:rPr>
                <w:sz w:val="20"/>
                <w:szCs w:val="20"/>
                <w:lang w:eastAsia="ko-KR"/>
              </w:rPr>
              <w:t>synthase (CBS)</w:t>
            </w:r>
          </w:p>
        </w:tc>
        <w:tc>
          <w:tcPr>
            <w:tcW w:w="1705" w:type="dxa"/>
          </w:tcPr>
          <w:p w14:paraId="020E302C" w14:textId="77777777" w:rsidR="00D26731" w:rsidRPr="001E289A" w:rsidRDefault="00D26731" w:rsidP="005C57DE">
            <w:pPr>
              <w:rPr>
                <w:sz w:val="20"/>
                <w:szCs w:val="20"/>
              </w:rPr>
            </w:pPr>
            <w:proofErr w:type="spellStart"/>
            <w:r w:rsidRPr="001E289A">
              <w:rPr>
                <w:sz w:val="20"/>
                <w:szCs w:val="20"/>
              </w:rPr>
              <w:t>Transsulfuration</w:t>
            </w:r>
            <w:proofErr w:type="spellEnd"/>
            <w:r w:rsidRPr="001E289A">
              <w:rPr>
                <w:sz w:val="20"/>
                <w:szCs w:val="20"/>
              </w:rPr>
              <w:t>; H</w:t>
            </w:r>
            <w:r w:rsidRPr="001E289A">
              <w:rPr>
                <w:sz w:val="20"/>
                <w:szCs w:val="20"/>
                <w:vertAlign w:val="subscript"/>
              </w:rPr>
              <w:t>2</w:t>
            </w:r>
            <w:r w:rsidRPr="001E289A">
              <w:rPr>
                <w:sz w:val="20"/>
                <w:szCs w:val="20"/>
              </w:rPr>
              <w:t>S biosynthesis</w:t>
            </w:r>
          </w:p>
        </w:tc>
        <w:tc>
          <w:tcPr>
            <w:tcW w:w="1338" w:type="dxa"/>
          </w:tcPr>
          <w:p w14:paraId="755AC2CD" w14:textId="77777777" w:rsidR="00D26731" w:rsidRPr="001E289A" w:rsidRDefault="00D26731" w:rsidP="005C57DE">
            <w:pPr>
              <w:rPr>
                <w:sz w:val="20"/>
                <w:szCs w:val="20"/>
              </w:rPr>
            </w:pPr>
            <w:r w:rsidRPr="00AA2626">
              <w:rPr>
                <w:sz w:val="20"/>
                <w:szCs w:val="20"/>
              </w:rPr>
              <w:t>Tetramer (dimer of homodimers)</w:t>
            </w:r>
          </w:p>
        </w:tc>
        <w:tc>
          <w:tcPr>
            <w:tcW w:w="3202" w:type="dxa"/>
          </w:tcPr>
          <w:p w14:paraId="35F022DE" w14:textId="77777777" w:rsidR="00D26731" w:rsidRDefault="00D26731" w:rsidP="005C57DE">
            <w:pPr>
              <w:rPr>
                <w:sz w:val="20"/>
                <w:szCs w:val="20"/>
              </w:rPr>
            </w:pPr>
            <w:r>
              <w:rPr>
                <w:sz w:val="20"/>
                <w:szCs w:val="20"/>
              </w:rPr>
              <w:t xml:space="preserve">Heme acts as a chaperone for CBS folding. Addition of heme to CBS growth media promotes the formation of active CBS tetramers. </w:t>
            </w:r>
          </w:p>
          <w:p w14:paraId="58767AE2" w14:textId="77777777" w:rsidR="00D26731" w:rsidRDefault="00D26731" w:rsidP="005C57DE">
            <w:pPr>
              <w:rPr>
                <w:sz w:val="20"/>
                <w:szCs w:val="20"/>
              </w:rPr>
            </w:pPr>
            <w:r>
              <w:rPr>
                <w:sz w:val="20"/>
                <w:szCs w:val="20"/>
              </w:rPr>
              <w:t xml:space="preserve">The regulatory domain of one CBS protomer can block the active site of another protomer. </w:t>
            </w:r>
            <w:proofErr w:type="spellStart"/>
            <w:r>
              <w:rPr>
                <w:sz w:val="20"/>
                <w:szCs w:val="20"/>
              </w:rPr>
              <w:t>AdoMet</w:t>
            </w:r>
            <w:proofErr w:type="spellEnd"/>
            <w:r>
              <w:rPr>
                <w:sz w:val="20"/>
                <w:szCs w:val="20"/>
              </w:rPr>
              <w:t xml:space="preserve"> binding to the regulatory domain will open access to the active site by moving the regulatory domain.</w:t>
            </w:r>
          </w:p>
          <w:p w14:paraId="545520F1" w14:textId="77777777" w:rsidR="00D26731" w:rsidRDefault="00D26731" w:rsidP="005C57DE">
            <w:pPr>
              <w:rPr>
                <w:sz w:val="20"/>
                <w:szCs w:val="20"/>
              </w:rPr>
            </w:pPr>
            <w:r>
              <w:rPr>
                <w:sz w:val="20"/>
                <w:szCs w:val="20"/>
              </w:rPr>
              <w:t xml:space="preserve">CBS is regulated by oxidative stress by two proposed methods: gaseous signaling molecule binding to ferrous heme or disulfide formation of the CXXC motif.  </w:t>
            </w:r>
          </w:p>
        </w:tc>
        <w:tc>
          <w:tcPr>
            <w:tcW w:w="1673" w:type="dxa"/>
          </w:tcPr>
          <w:p w14:paraId="60DDAC85" w14:textId="77777777" w:rsidR="00D26731" w:rsidRDefault="00D26731" w:rsidP="005C57DE">
            <w:pPr>
              <w:rPr>
                <w:sz w:val="20"/>
                <w:szCs w:val="20"/>
              </w:rPr>
            </w:pPr>
            <w:r>
              <w:rPr>
                <w:noProof/>
                <w:sz w:val="20"/>
                <w:szCs w:val="20"/>
              </w:rPr>
              <w:t>(Janosik et al. 2001, Taoka et al. 2002, Majtan et al. 2008, Ereno-Orbea et al. 2013, Niu et al. 2018)</w:t>
            </w:r>
          </w:p>
        </w:tc>
      </w:tr>
      <w:tr w:rsidR="00D26731" w14:paraId="01605AD2" w14:textId="77777777" w:rsidTr="0040753E">
        <w:tc>
          <w:tcPr>
            <w:tcW w:w="1849" w:type="dxa"/>
          </w:tcPr>
          <w:p w14:paraId="5DC1E38E" w14:textId="77777777" w:rsidR="00D26731" w:rsidRPr="00AA2626" w:rsidRDefault="00D26731" w:rsidP="005C57DE">
            <w:pPr>
              <w:rPr>
                <w:sz w:val="20"/>
                <w:szCs w:val="20"/>
              </w:rPr>
            </w:pPr>
            <w:r w:rsidRPr="007524EF">
              <w:rPr>
                <w:sz w:val="20"/>
                <w:szCs w:val="20"/>
              </w:rPr>
              <w:t>O-</w:t>
            </w:r>
            <w:proofErr w:type="spellStart"/>
            <w:r w:rsidRPr="007524EF">
              <w:rPr>
                <w:sz w:val="20"/>
                <w:szCs w:val="20"/>
              </w:rPr>
              <w:t>acetylserine</w:t>
            </w:r>
            <w:proofErr w:type="spellEnd"/>
            <w:r w:rsidRPr="007524EF">
              <w:rPr>
                <w:sz w:val="20"/>
                <w:szCs w:val="20"/>
              </w:rPr>
              <w:t xml:space="preserve"> </w:t>
            </w:r>
            <w:proofErr w:type="spellStart"/>
            <w:r w:rsidRPr="007524EF">
              <w:rPr>
                <w:sz w:val="20"/>
                <w:szCs w:val="20"/>
              </w:rPr>
              <w:t>sulfhydrylase</w:t>
            </w:r>
            <w:proofErr w:type="spellEnd"/>
            <w:r w:rsidRPr="007524EF">
              <w:rPr>
                <w:sz w:val="20"/>
                <w:szCs w:val="20"/>
              </w:rPr>
              <w:t xml:space="preserve"> (OASS)</w:t>
            </w:r>
          </w:p>
        </w:tc>
        <w:tc>
          <w:tcPr>
            <w:tcW w:w="1705" w:type="dxa"/>
          </w:tcPr>
          <w:p w14:paraId="7243A9BB" w14:textId="77777777" w:rsidR="00D26731" w:rsidRPr="007524EF" w:rsidRDefault="00D26731" w:rsidP="005C57DE">
            <w:pPr>
              <w:rPr>
                <w:sz w:val="20"/>
                <w:szCs w:val="20"/>
              </w:rPr>
            </w:pPr>
            <w:r w:rsidRPr="007524EF">
              <w:rPr>
                <w:sz w:val="20"/>
                <w:szCs w:val="20"/>
              </w:rPr>
              <w:t xml:space="preserve">L-cysteine biosynthesis [sulfur metabolism] </w:t>
            </w:r>
          </w:p>
        </w:tc>
        <w:tc>
          <w:tcPr>
            <w:tcW w:w="1338" w:type="dxa"/>
          </w:tcPr>
          <w:p w14:paraId="28D36166" w14:textId="77777777" w:rsidR="00D26731" w:rsidRPr="00AA2626" w:rsidRDefault="00D26731" w:rsidP="005C57DE">
            <w:pPr>
              <w:rPr>
                <w:sz w:val="20"/>
                <w:szCs w:val="20"/>
              </w:rPr>
            </w:pPr>
            <w:r w:rsidRPr="00AA2626">
              <w:rPr>
                <w:sz w:val="20"/>
                <w:szCs w:val="20"/>
              </w:rPr>
              <w:t>Homodimer</w:t>
            </w:r>
          </w:p>
        </w:tc>
        <w:tc>
          <w:tcPr>
            <w:tcW w:w="3202" w:type="dxa"/>
          </w:tcPr>
          <w:p w14:paraId="504C4046" w14:textId="77777777" w:rsidR="00D26731" w:rsidRPr="007524EF" w:rsidRDefault="00D26731" w:rsidP="004B28F2">
            <w:pPr>
              <w:rPr>
                <w:sz w:val="20"/>
                <w:szCs w:val="20"/>
              </w:rPr>
            </w:pPr>
            <w:r w:rsidRPr="007524EF">
              <w:rPr>
                <w:sz w:val="20"/>
                <w:szCs w:val="20"/>
              </w:rPr>
              <w:t>Anion binding (i.e., sulfide) to the OASS allosteric site at the dimeric interface causes a conformational change that moves the substrate binding loop to prevent formation of the external aldimine, causing partial competitive inhibition. The C-terminal tail of serine acetyltransferase (SAT) also inhibits OASS activity by blocking the active site and stabilizing the closed conformation with decreased substrate binding. OASS displays a “competitive-allosteric” mechanism by which residue M120, located ~20Å away from the active site, selectively recruits substrate, enhancing its affinity and in turn leading to dissociation of SAT.</w:t>
            </w:r>
          </w:p>
        </w:tc>
        <w:tc>
          <w:tcPr>
            <w:tcW w:w="1673" w:type="dxa"/>
          </w:tcPr>
          <w:p w14:paraId="184A9C71" w14:textId="77777777" w:rsidR="00D26731" w:rsidRPr="009613C5" w:rsidRDefault="00D26731" w:rsidP="005C57DE">
            <w:pPr>
              <w:rPr>
                <w:sz w:val="20"/>
                <w:szCs w:val="20"/>
              </w:rPr>
            </w:pPr>
            <w:r>
              <w:rPr>
                <w:noProof/>
                <w:sz w:val="20"/>
                <w:szCs w:val="20"/>
              </w:rPr>
              <w:t>(Burkhard et al. 2000, Tai et al. 2001, Campanini et al. 2005, Singh et al. 2017, Kaushik et al. 2021)</w:t>
            </w:r>
          </w:p>
        </w:tc>
      </w:tr>
      <w:tr w:rsidR="00D26731" w14:paraId="1DC0A633" w14:textId="77777777" w:rsidTr="0040753E">
        <w:tc>
          <w:tcPr>
            <w:tcW w:w="1849" w:type="dxa"/>
          </w:tcPr>
          <w:p w14:paraId="6888CD81" w14:textId="77777777" w:rsidR="00D26731" w:rsidRPr="00FD591E" w:rsidRDefault="00D26731" w:rsidP="005C57DE">
            <w:pPr>
              <w:rPr>
                <w:sz w:val="20"/>
                <w:szCs w:val="20"/>
              </w:rPr>
            </w:pPr>
            <w:r w:rsidRPr="00FD591E">
              <w:rPr>
                <w:sz w:val="20"/>
                <w:szCs w:val="20"/>
              </w:rPr>
              <w:t>Serine racemase (SR)</w:t>
            </w:r>
          </w:p>
        </w:tc>
        <w:tc>
          <w:tcPr>
            <w:tcW w:w="1705" w:type="dxa"/>
          </w:tcPr>
          <w:p w14:paraId="6340B5F0" w14:textId="77777777" w:rsidR="00D26731" w:rsidRPr="00FD591E" w:rsidRDefault="00D26731" w:rsidP="005C57DE">
            <w:pPr>
              <w:rPr>
                <w:sz w:val="20"/>
                <w:szCs w:val="20"/>
              </w:rPr>
            </w:pPr>
            <w:r w:rsidRPr="00FD591E">
              <w:rPr>
                <w:sz w:val="20"/>
                <w:szCs w:val="20"/>
              </w:rPr>
              <w:t xml:space="preserve">D-serine biosynthesis  </w:t>
            </w:r>
          </w:p>
        </w:tc>
        <w:tc>
          <w:tcPr>
            <w:tcW w:w="1338" w:type="dxa"/>
          </w:tcPr>
          <w:p w14:paraId="4490A8F4" w14:textId="77777777" w:rsidR="00D26731" w:rsidRPr="00AA2626" w:rsidRDefault="00D26731" w:rsidP="005C57DE">
            <w:pPr>
              <w:rPr>
                <w:sz w:val="20"/>
                <w:szCs w:val="20"/>
              </w:rPr>
            </w:pPr>
            <w:r w:rsidRPr="00FD591E">
              <w:rPr>
                <w:sz w:val="20"/>
                <w:szCs w:val="20"/>
              </w:rPr>
              <w:t>Homodimer</w:t>
            </w:r>
          </w:p>
        </w:tc>
        <w:tc>
          <w:tcPr>
            <w:tcW w:w="3202" w:type="dxa"/>
          </w:tcPr>
          <w:p w14:paraId="4D89F1EA" w14:textId="055E0DF9" w:rsidR="00D26731" w:rsidRPr="00FD591E" w:rsidRDefault="00D26731" w:rsidP="00BD60EE">
            <w:pPr>
              <w:rPr>
                <w:sz w:val="20"/>
                <w:szCs w:val="20"/>
              </w:rPr>
            </w:pPr>
            <w:r w:rsidRPr="00FD591E">
              <w:rPr>
                <w:sz w:val="20"/>
                <w:szCs w:val="20"/>
              </w:rPr>
              <w:t>SR is activated by divalent cations (e.g., Mg</w:t>
            </w:r>
            <w:r w:rsidRPr="00FD591E">
              <w:rPr>
                <w:sz w:val="20"/>
                <w:szCs w:val="20"/>
                <w:vertAlign w:val="superscript"/>
              </w:rPr>
              <w:t>2+</w:t>
            </w:r>
            <w:r w:rsidRPr="00FD591E">
              <w:rPr>
                <w:sz w:val="20"/>
                <w:szCs w:val="20"/>
              </w:rPr>
              <w:t>, Mn</w:t>
            </w:r>
            <w:r w:rsidRPr="00FD591E">
              <w:rPr>
                <w:sz w:val="20"/>
                <w:szCs w:val="20"/>
                <w:vertAlign w:val="superscript"/>
              </w:rPr>
              <w:t>2+</w:t>
            </w:r>
            <w:r w:rsidRPr="00FD591E">
              <w:rPr>
                <w:sz w:val="20"/>
                <w:szCs w:val="20"/>
              </w:rPr>
              <w:t>, Ca</w:t>
            </w:r>
            <w:r w:rsidRPr="00FD591E">
              <w:rPr>
                <w:sz w:val="20"/>
                <w:szCs w:val="20"/>
                <w:vertAlign w:val="superscript"/>
              </w:rPr>
              <w:t>2+</w:t>
            </w:r>
            <w:r w:rsidRPr="00FD591E">
              <w:rPr>
                <w:sz w:val="20"/>
                <w:szCs w:val="20"/>
              </w:rPr>
              <w:t xml:space="preserve">) and nucleotides (e.g., ATP, ADP, and GTP). ATP binds at a site located on the dimer interface. Through an </w:t>
            </w:r>
            <w:r w:rsidRPr="00FD591E">
              <w:rPr>
                <w:sz w:val="20"/>
                <w:szCs w:val="20"/>
              </w:rPr>
              <w:lastRenderedPageBreak/>
              <w:t>extensive hydrogen b</w:t>
            </w:r>
            <w:r>
              <w:rPr>
                <w:sz w:val="20"/>
                <w:szCs w:val="20"/>
              </w:rPr>
              <w:t>on</w:t>
            </w:r>
            <w:r w:rsidRPr="00FD591E">
              <w:rPr>
                <w:sz w:val="20"/>
                <w:szCs w:val="20"/>
              </w:rPr>
              <w:t>ding network, ATP interacts with the active site to orient catalytic residues, thus activating SR. Mg</w:t>
            </w:r>
            <w:r w:rsidRPr="00FD591E">
              <w:rPr>
                <w:sz w:val="20"/>
                <w:szCs w:val="20"/>
                <w:vertAlign w:val="superscript"/>
              </w:rPr>
              <w:t>2+</w:t>
            </w:r>
            <w:r w:rsidRPr="00FD591E">
              <w:rPr>
                <w:sz w:val="20"/>
                <w:szCs w:val="20"/>
              </w:rPr>
              <w:t xml:space="preserve"> can then interact with the ATP phosphate groups and further activate SR by promoting formation of a more active tetramer. ATP activation is predominately due to stabilizing the closed form of the external aldimine, which can allosterically modulate malonate </w:t>
            </w:r>
            <w:r>
              <w:rPr>
                <w:sz w:val="20"/>
                <w:szCs w:val="20"/>
              </w:rPr>
              <w:t xml:space="preserve">inhibitor </w:t>
            </w:r>
            <w:r w:rsidRPr="00FD591E">
              <w:rPr>
                <w:sz w:val="20"/>
                <w:szCs w:val="20"/>
              </w:rPr>
              <w:t>binding at the active site ~20Å away from the ATP binding site. A Ca</w:t>
            </w:r>
            <w:r w:rsidRPr="00FD591E">
              <w:rPr>
                <w:sz w:val="20"/>
                <w:szCs w:val="20"/>
                <w:vertAlign w:val="superscript"/>
              </w:rPr>
              <w:t>2+</w:t>
            </w:r>
            <w:r w:rsidRPr="00FD591E">
              <w:rPr>
                <w:sz w:val="20"/>
                <w:szCs w:val="20"/>
              </w:rPr>
              <w:t xml:space="preserve">-ATP complex can also form but is less efficient at activation. A separate metal binding site accommodates divalent cations to stabilize the protein and shift oligomerization toward a tetramer. </w:t>
            </w:r>
            <w:r w:rsidRPr="00AA2626">
              <w:rPr>
                <w:sz w:val="20"/>
                <w:szCs w:val="20"/>
              </w:rPr>
              <w:t>SR is also known to interact with proteins that associate with AMPA and NMDA receptors, such as GRIP and PICK1</w:t>
            </w:r>
            <w:r>
              <w:rPr>
                <w:sz w:val="20"/>
                <w:szCs w:val="20"/>
              </w:rPr>
              <w:t>, which leads to modulation of SR activity</w:t>
            </w:r>
            <w:r w:rsidRPr="00AA2626">
              <w:rPr>
                <w:sz w:val="20"/>
                <w:szCs w:val="20"/>
              </w:rPr>
              <w:t>.</w:t>
            </w:r>
          </w:p>
        </w:tc>
        <w:tc>
          <w:tcPr>
            <w:tcW w:w="1673" w:type="dxa"/>
          </w:tcPr>
          <w:p w14:paraId="40126BDC" w14:textId="77777777" w:rsidR="00D26731" w:rsidRPr="004C67ED" w:rsidRDefault="00D26731" w:rsidP="005C57DE">
            <w:pPr>
              <w:rPr>
                <w:sz w:val="20"/>
                <w:szCs w:val="20"/>
              </w:rPr>
            </w:pPr>
            <w:r>
              <w:rPr>
                <w:noProof/>
                <w:sz w:val="20"/>
                <w:szCs w:val="20"/>
              </w:rPr>
              <w:lastRenderedPageBreak/>
              <w:t xml:space="preserve">(Kim et al. 2005, Fujii et al. 2006, Marchetti et al. 2015, Bruno et al. 2017, Canosa et </w:t>
            </w:r>
            <w:r>
              <w:rPr>
                <w:noProof/>
                <w:sz w:val="20"/>
                <w:szCs w:val="20"/>
              </w:rPr>
              <w:lastRenderedPageBreak/>
              <w:t>al. 2018, Raboni et al. 2018)</w:t>
            </w:r>
          </w:p>
        </w:tc>
      </w:tr>
      <w:tr w:rsidR="00D26731" w14:paraId="5097C1D0" w14:textId="77777777" w:rsidTr="0040753E">
        <w:tc>
          <w:tcPr>
            <w:tcW w:w="1849" w:type="dxa"/>
          </w:tcPr>
          <w:p w14:paraId="02B4ACC0" w14:textId="77777777" w:rsidR="00D26731" w:rsidRDefault="00D26731" w:rsidP="005C57DE">
            <w:pPr>
              <w:rPr>
                <w:sz w:val="20"/>
                <w:szCs w:val="20"/>
              </w:rPr>
            </w:pPr>
            <w:r>
              <w:rPr>
                <w:sz w:val="20"/>
                <w:szCs w:val="20"/>
              </w:rPr>
              <w:lastRenderedPageBreak/>
              <w:t>Threonine deaminase (TDA)</w:t>
            </w:r>
          </w:p>
        </w:tc>
        <w:tc>
          <w:tcPr>
            <w:tcW w:w="1705" w:type="dxa"/>
          </w:tcPr>
          <w:p w14:paraId="6853FA65" w14:textId="77777777" w:rsidR="00D26731" w:rsidRPr="009613C5" w:rsidRDefault="00D26731" w:rsidP="005C57DE">
            <w:pPr>
              <w:rPr>
                <w:sz w:val="20"/>
                <w:szCs w:val="20"/>
              </w:rPr>
            </w:pPr>
            <w:r>
              <w:rPr>
                <w:sz w:val="20"/>
                <w:szCs w:val="20"/>
              </w:rPr>
              <w:t>Branched-chain amino acid (isoleucine) biosynthesis</w:t>
            </w:r>
          </w:p>
        </w:tc>
        <w:tc>
          <w:tcPr>
            <w:tcW w:w="1338" w:type="dxa"/>
          </w:tcPr>
          <w:p w14:paraId="78B9DAD1" w14:textId="77777777" w:rsidR="00D26731" w:rsidRDefault="00D26731" w:rsidP="005C57DE">
            <w:pPr>
              <w:rPr>
                <w:sz w:val="20"/>
                <w:szCs w:val="20"/>
              </w:rPr>
            </w:pPr>
            <w:r>
              <w:rPr>
                <w:sz w:val="20"/>
                <w:szCs w:val="20"/>
              </w:rPr>
              <w:t>Tetramer (dimer of homodimers)</w:t>
            </w:r>
          </w:p>
        </w:tc>
        <w:tc>
          <w:tcPr>
            <w:tcW w:w="3202" w:type="dxa"/>
          </w:tcPr>
          <w:p w14:paraId="0D0C8AE0" w14:textId="61EDBEFA" w:rsidR="00D26731" w:rsidRPr="009613C5" w:rsidRDefault="00D26731" w:rsidP="005C57DE">
            <w:pPr>
              <w:rPr>
                <w:sz w:val="20"/>
                <w:szCs w:val="20"/>
              </w:rPr>
            </w:pPr>
            <w:r>
              <w:rPr>
                <w:sz w:val="20"/>
                <w:szCs w:val="20"/>
              </w:rPr>
              <w:t>TDA is o</w:t>
            </w:r>
            <w:r w:rsidRPr="009E4164">
              <w:rPr>
                <w:sz w:val="20"/>
                <w:szCs w:val="20"/>
              </w:rPr>
              <w:t xml:space="preserve">ne of the first proteins found to exhibit end- product feedback inhibition. </w:t>
            </w:r>
            <w:r>
              <w:rPr>
                <w:sz w:val="20"/>
                <w:szCs w:val="20"/>
              </w:rPr>
              <w:t>TDA exists in equilibrium between a tense (T) state and a relaxed (R) state. Addition of its substrate, threonine, shifts TDA to the R-state for catalysis. However, i</w:t>
            </w:r>
            <w:r w:rsidRPr="009E4164">
              <w:rPr>
                <w:sz w:val="20"/>
                <w:szCs w:val="20"/>
              </w:rPr>
              <w:t>soleucine, the end-product, acts as an inhibitor</w:t>
            </w:r>
            <w:r>
              <w:rPr>
                <w:sz w:val="20"/>
                <w:szCs w:val="20"/>
              </w:rPr>
              <w:t xml:space="preserve"> by stabilizing the T-state and forming a second ligand binding site</w:t>
            </w:r>
            <w:r w:rsidRPr="009E4164">
              <w:rPr>
                <w:sz w:val="20"/>
                <w:szCs w:val="20"/>
              </w:rPr>
              <w:t xml:space="preserve">. </w:t>
            </w:r>
            <w:r>
              <w:rPr>
                <w:sz w:val="20"/>
                <w:szCs w:val="20"/>
              </w:rPr>
              <w:t xml:space="preserve">Ile may bind at the second site and cause further inhibition by changing the conformation of the active sites. </w:t>
            </w:r>
            <w:r w:rsidRPr="009E4164">
              <w:rPr>
                <w:sz w:val="20"/>
                <w:szCs w:val="20"/>
              </w:rPr>
              <w:t xml:space="preserve">Valine, a product from a parallel pathway, </w:t>
            </w:r>
            <w:r>
              <w:rPr>
                <w:sz w:val="20"/>
                <w:szCs w:val="20"/>
              </w:rPr>
              <w:t xml:space="preserve">counters the inhibitory effect by binding to the second site and reducing affinity of Ile at the first site. Both effectors interact with the C-terminal regulatory domain of TDA, which is connected to the N-terminal catalytic domain by a thin neck-like region.  </w:t>
            </w:r>
          </w:p>
        </w:tc>
        <w:tc>
          <w:tcPr>
            <w:tcW w:w="1673" w:type="dxa"/>
          </w:tcPr>
          <w:p w14:paraId="35386C19" w14:textId="77777777" w:rsidR="00D26731" w:rsidRPr="009613C5" w:rsidRDefault="00D26731" w:rsidP="005C57DE">
            <w:pPr>
              <w:rPr>
                <w:sz w:val="20"/>
                <w:szCs w:val="20"/>
              </w:rPr>
            </w:pPr>
            <w:r>
              <w:rPr>
                <w:noProof/>
                <w:sz w:val="20"/>
                <w:szCs w:val="20"/>
              </w:rPr>
              <w:t>(Umbarger and Brown 1958, Changeux 1963, Gallagher et al. 1998, Shulman et al. 2008, Chen et al. 2013)</w:t>
            </w:r>
          </w:p>
        </w:tc>
      </w:tr>
      <w:tr w:rsidR="00D26731" w14:paraId="7C972BE7" w14:textId="77777777" w:rsidTr="0040753E">
        <w:tc>
          <w:tcPr>
            <w:tcW w:w="1849" w:type="dxa"/>
          </w:tcPr>
          <w:p w14:paraId="68F33462" w14:textId="77777777" w:rsidR="00D26731" w:rsidRPr="00D87EE4" w:rsidRDefault="00D26731" w:rsidP="005C57DE">
            <w:pPr>
              <w:rPr>
                <w:sz w:val="20"/>
                <w:szCs w:val="20"/>
              </w:rPr>
            </w:pPr>
            <w:r w:rsidRPr="00D87EE4">
              <w:rPr>
                <w:sz w:val="20"/>
                <w:szCs w:val="20"/>
              </w:rPr>
              <w:t>Threonine synthase (TS)</w:t>
            </w:r>
          </w:p>
        </w:tc>
        <w:tc>
          <w:tcPr>
            <w:tcW w:w="1705" w:type="dxa"/>
          </w:tcPr>
          <w:p w14:paraId="552D7C0D" w14:textId="77777777" w:rsidR="00D26731" w:rsidRPr="00D87EE4" w:rsidRDefault="00D26731" w:rsidP="005C57DE">
            <w:pPr>
              <w:rPr>
                <w:sz w:val="20"/>
                <w:szCs w:val="20"/>
              </w:rPr>
            </w:pPr>
            <w:r w:rsidRPr="00D87EE4">
              <w:rPr>
                <w:sz w:val="20"/>
                <w:szCs w:val="20"/>
              </w:rPr>
              <w:t>Threonine biosynthesis</w:t>
            </w:r>
          </w:p>
        </w:tc>
        <w:tc>
          <w:tcPr>
            <w:tcW w:w="1338" w:type="dxa"/>
          </w:tcPr>
          <w:p w14:paraId="4CFCE081" w14:textId="77777777" w:rsidR="00D26731" w:rsidRPr="00D87EE4" w:rsidRDefault="00D26731" w:rsidP="005C57DE">
            <w:pPr>
              <w:rPr>
                <w:sz w:val="20"/>
                <w:szCs w:val="20"/>
              </w:rPr>
            </w:pPr>
            <w:r w:rsidRPr="00D87EE4">
              <w:rPr>
                <w:sz w:val="20"/>
                <w:szCs w:val="20"/>
              </w:rPr>
              <w:t>Homodimer</w:t>
            </w:r>
          </w:p>
        </w:tc>
        <w:tc>
          <w:tcPr>
            <w:tcW w:w="3202" w:type="dxa"/>
          </w:tcPr>
          <w:p w14:paraId="1C3D9047" w14:textId="7149DB71" w:rsidR="00D26731" w:rsidRPr="00D87EE4" w:rsidRDefault="00D26731" w:rsidP="005C57DE">
            <w:pPr>
              <w:rPr>
                <w:sz w:val="20"/>
                <w:szCs w:val="20"/>
              </w:rPr>
            </w:pPr>
            <w:r w:rsidRPr="00D87EE4">
              <w:rPr>
                <w:sz w:val="20"/>
                <w:szCs w:val="20"/>
              </w:rPr>
              <w:t xml:space="preserve">Plant TS is activated by </w:t>
            </w:r>
            <w:proofErr w:type="spellStart"/>
            <w:r w:rsidRPr="00D87EE4">
              <w:rPr>
                <w:sz w:val="20"/>
                <w:szCs w:val="20"/>
              </w:rPr>
              <w:t>AdoMet</w:t>
            </w:r>
            <w:proofErr w:type="spellEnd"/>
            <w:r w:rsidRPr="00D87EE4">
              <w:rPr>
                <w:sz w:val="20"/>
                <w:szCs w:val="20"/>
              </w:rPr>
              <w:t xml:space="preserve">, which is the end-product of a parallel pathway using the same substrate. </w:t>
            </w:r>
            <w:proofErr w:type="spellStart"/>
            <w:r w:rsidRPr="00D87EE4">
              <w:rPr>
                <w:sz w:val="20"/>
                <w:szCs w:val="20"/>
              </w:rPr>
              <w:t>AdoMet</w:t>
            </w:r>
            <w:proofErr w:type="spellEnd"/>
            <w:r w:rsidRPr="00D87EE4">
              <w:rPr>
                <w:sz w:val="20"/>
                <w:szCs w:val="20"/>
              </w:rPr>
              <w:t xml:space="preserve"> binding to an allosteric site increases the rate of catalysis and substrate binding through reorganization of active site loops. The two </w:t>
            </w:r>
            <w:proofErr w:type="spellStart"/>
            <w:r w:rsidRPr="00D87EE4">
              <w:rPr>
                <w:sz w:val="20"/>
                <w:szCs w:val="20"/>
              </w:rPr>
              <w:t>AdoMet</w:t>
            </w:r>
            <w:proofErr w:type="spellEnd"/>
            <w:r w:rsidRPr="00D87EE4">
              <w:rPr>
                <w:sz w:val="20"/>
                <w:szCs w:val="20"/>
              </w:rPr>
              <w:t xml:space="preserve"> binding sites within a dimer are slightly different, leading to differences in site stability and dissimilar domain movements </w:t>
            </w:r>
            <w:r w:rsidRPr="00D87EE4">
              <w:rPr>
                <w:sz w:val="20"/>
                <w:szCs w:val="20"/>
              </w:rPr>
              <w:lastRenderedPageBreak/>
              <w:t xml:space="preserve">for each monomer. However, substrate binding in one monomer triggers successive </w:t>
            </w:r>
            <w:proofErr w:type="spellStart"/>
            <w:r w:rsidRPr="00D87EE4">
              <w:rPr>
                <w:sz w:val="20"/>
                <w:szCs w:val="20"/>
              </w:rPr>
              <w:t>AdoMet</w:t>
            </w:r>
            <w:proofErr w:type="spellEnd"/>
            <w:r w:rsidRPr="00D87EE4">
              <w:rPr>
                <w:sz w:val="20"/>
                <w:szCs w:val="20"/>
              </w:rPr>
              <w:t xml:space="preserve"> binding in the second monomer. </w:t>
            </w:r>
          </w:p>
        </w:tc>
        <w:tc>
          <w:tcPr>
            <w:tcW w:w="1673" w:type="dxa"/>
          </w:tcPr>
          <w:p w14:paraId="00D4BE5A" w14:textId="77777777" w:rsidR="00D26731" w:rsidRPr="009613C5" w:rsidRDefault="00D26731" w:rsidP="005C57DE">
            <w:pPr>
              <w:rPr>
                <w:sz w:val="20"/>
                <w:szCs w:val="20"/>
              </w:rPr>
            </w:pPr>
            <w:r>
              <w:rPr>
                <w:noProof/>
                <w:sz w:val="20"/>
                <w:szCs w:val="20"/>
              </w:rPr>
              <w:lastRenderedPageBreak/>
              <w:t>(Curien et al. 1998, Mas-Droux et al. 2006)</w:t>
            </w:r>
          </w:p>
        </w:tc>
      </w:tr>
      <w:tr w:rsidR="00D26731" w14:paraId="664517E8" w14:textId="77777777" w:rsidTr="0040753E">
        <w:tc>
          <w:tcPr>
            <w:tcW w:w="1849" w:type="dxa"/>
          </w:tcPr>
          <w:p w14:paraId="4E7C3960" w14:textId="77777777" w:rsidR="00D26731" w:rsidRPr="00216B52" w:rsidRDefault="00D26731" w:rsidP="00013746">
            <w:pPr>
              <w:rPr>
                <w:sz w:val="20"/>
                <w:szCs w:val="20"/>
              </w:rPr>
            </w:pPr>
            <w:r w:rsidRPr="00216B52">
              <w:rPr>
                <w:sz w:val="20"/>
                <w:szCs w:val="20"/>
              </w:rPr>
              <w:t>Tryptophan synthase (</w:t>
            </w:r>
            <w:proofErr w:type="spellStart"/>
            <w:r w:rsidRPr="00216B52">
              <w:rPr>
                <w:sz w:val="20"/>
                <w:szCs w:val="20"/>
              </w:rPr>
              <w:t>TrpS</w:t>
            </w:r>
            <w:proofErr w:type="spellEnd"/>
            <w:r w:rsidRPr="00216B52">
              <w:rPr>
                <w:sz w:val="20"/>
                <w:szCs w:val="20"/>
              </w:rPr>
              <w:t>)</w:t>
            </w:r>
          </w:p>
        </w:tc>
        <w:tc>
          <w:tcPr>
            <w:tcW w:w="1705" w:type="dxa"/>
          </w:tcPr>
          <w:p w14:paraId="0EB1F204" w14:textId="77777777" w:rsidR="00D26731" w:rsidRPr="00216B52" w:rsidRDefault="00D26731" w:rsidP="00013746">
            <w:pPr>
              <w:rPr>
                <w:sz w:val="20"/>
                <w:szCs w:val="20"/>
              </w:rPr>
            </w:pPr>
            <w:r w:rsidRPr="00216B52">
              <w:rPr>
                <w:sz w:val="20"/>
                <w:szCs w:val="20"/>
              </w:rPr>
              <w:t>L-tryptophan biosynthesis</w:t>
            </w:r>
          </w:p>
        </w:tc>
        <w:tc>
          <w:tcPr>
            <w:tcW w:w="1338" w:type="dxa"/>
          </w:tcPr>
          <w:p w14:paraId="5B9E4AA2" w14:textId="77777777" w:rsidR="00D26731" w:rsidRPr="00216B52" w:rsidRDefault="00D26731" w:rsidP="00013746">
            <w:pPr>
              <w:rPr>
                <w:sz w:val="20"/>
                <w:szCs w:val="20"/>
              </w:rPr>
            </w:pPr>
            <w:r w:rsidRPr="00216B52">
              <w:rPr>
                <w:sz w:val="20"/>
                <w:szCs w:val="20"/>
                <w:lang w:val="el-GR"/>
              </w:rPr>
              <w:t>α</w:t>
            </w:r>
            <w:r w:rsidRPr="00216B52">
              <w:rPr>
                <w:sz w:val="20"/>
                <w:szCs w:val="20"/>
                <w:vertAlign w:val="subscript"/>
              </w:rPr>
              <w:t>2</w:t>
            </w:r>
            <w:r w:rsidRPr="00216B52">
              <w:rPr>
                <w:sz w:val="20"/>
                <w:szCs w:val="20"/>
                <w:lang w:val="el-GR"/>
              </w:rPr>
              <w:t>β</w:t>
            </w:r>
            <w:r w:rsidRPr="00216B52">
              <w:rPr>
                <w:sz w:val="20"/>
                <w:szCs w:val="20"/>
                <w:vertAlign w:val="subscript"/>
              </w:rPr>
              <w:t>2</w:t>
            </w:r>
            <w:r w:rsidRPr="00216B52">
              <w:rPr>
                <w:sz w:val="20"/>
                <w:szCs w:val="20"/>
              </w:rPr>
              <w:t xml:space="preserve"> Tetramer (dimer of </w:t>
            </w:r>
            <w:proofErr w:type="spellStart"/>
            <w:r w:rsidRPr="00216B52">
              <w:rPr>
                <w:sz w:val="20"/>
                <w:szCs w:val="20"/>
                <w:lang w:val="el-GR"/>
              </w:rPr>
              <w:t>αβ</w:t>
            </w:r>
            <w:proofErr w:type="spellEnd"/>
            <w:r w:rsidRPr="00216B52">
              <w:rPr>
                <w:sz w:val="20"/>
                <w:szCs w:val="20"/>
              </w:rPr>
              <w:t xml:space="preserve"> heterodimers)</w:t>
            </w:r>
          </w:p>
        </w:tc>
        <w:tc>
          <w:tcPr>
            <w:tcW w:w="3202" w:type="dxa"/>
          </w:tcPr>
          <w:p w14:paraId="0CBEA394" w14:textId="6B4FCB01" w:rsidR="00D26731" w:rsidRPr="00216B52" w:rsidRDefault="00D26731">
            <w:pPr>
              <w:rPr>
                <w:sz w:val="20"/>
                <w:szCs w:val="20"/>
              </w:rPr>
            </w:pPr>
            <w:r w:rsidRPr="00216B52">
              <w:rPr>
                <w:sz w:val="20"/>
                <w:szCs w:val="20"/>
              </w:rPr>
              <w:t xml:space="preserve">The </w:t>
            </w:r>
            <w:proofErr w:type="spellStart"/>
            <w:r w:rsidRPr="00216B52">
              <w:rPr>
                <w:sz w:val="20"/>
                <w:szCs w:val="20"/>
              </w:rPr>
              <w:t>T</w:t>
            </w:r>
            <w:r w:rsidRPr="00AA2626">
              <w:rPr>
                <w:sz w:val="20"/>
                <w:szCs w:val="20"/>
              </w:rPr>
              <w:t>rp</w:t>
            </w:r>
            <w:r w:rsidRPr="00216B52">
              <w:rPr>
                <w:sz w:val="20"/>
                <w:szCs w:val="20"/>
              </w:rPr>
              <w:t>S</w:t>
            </w:r>
            <w:proofErr w:type="spellEnd"/>
            <w:r w:rsidRPr="00216B52">
              <w:rPr>
                <w:sz w:val="20"/>
                <w:szCs w:val="20"/>
              </w:rPr>
              <w:t xml:space="preserve"> reaction proceeds first with the </w:t>
            </w:r>
            <w:r w:rsidRPr="00216B52">
              <w:rPr>
                <w:sz w:val="20"/>
                <w:szCs w:val="20"/>
                <w:lang w:val="el-GR"/>
              </w:rPr>
              <w:t>α</w:t>
            </w:r>
            <w:r w:rsidRPr="00216B52">
              <w:rPr>
                <w:sz w:val="20"/>
                <w:szCs w:val="20"/>
              </w:rPr>
              <w:t xml:space="preserve"> subunit</w:t>
            </w:r>
            <w:r w:rsidRPr="00AA2626">
              <w:rPr>
                <w:sz w:val="20"/>
                <w:szCs w:val="20"/>
              </w:rPr>
              <w:t xml:space="preserve"> (</w:t>
            </w:r>
            <w:proofErr w:type="spellStart"/>
            <w:r w:rsidRPr="00AA2626">
              <w:rPr>
                <w:sz w:val="20"/>
                <w:szCs w:val="20"/>
              </w:rPr>
              <w:t>TrpA</w:t>
            </w:r>
            <w:proofErr w:type="spellEnd"/>
            <w:r w:rsidRPr="00AA2626">
              <w:rPr>
                <w:sz w:val="20"/>
                <w:szCs w:val="20"/>
              </w:rPr>
              <w:t>)</w:t>
            </w:r>
            <w:r w:rsidRPr="00216B52">
              <w:rPr>
                <w:sz w:val="20"/>
                <w:szCs w:val="20"/>
              </w:rPr>
              <w:t xml:space="preserve">, where indole is produced and funneled into the </w:t>
            </w:r>
            <w:r w:rsidRPr="00216B52">
              <w:rPr>
                <w:sz w:val="20"/>
                <w:szCs w:val="20"/>
                <w:lang w:val="el-GR"/>
              </w:rPr>
              <w:t>β</w:t>
            </w:r>
            <w:r w:rsidRPr="00216B52">
              <w:rPr>
                <w:sz w:val="20"/>
                <w:szCs w:val="20"/>
              </w:rPr>
              <w:t xml:space="preserve"> subunit </w:t>
            </w:r>
            <w:r w:rsidRPr="00AA2626">
              <w:rPr>
                <w:sz w:val="20"/>
                <w:szCs w:val="20"/>
              </w:rPr>
              <w:t>(</w:t>
            </w:r>
            <w:proofErr w:type="spellStart"/>
            <w:r w:rsidRPr="00AA2626">
              <w:rPr>
                <w:sz w:val="20"/>
                <w:szCs w:val="20"/>
              </w:rPr>
              <w:t>TrpB</w:t>
            </w:r>
            <w:proofErr w:type="spellEnd"/>
            <w:r w:rsidRPr="00AA2626">
              <w:rPr>
                <w:sz w:val="20"/>
                <w:szCs w:val="20"/>
              </w:rPr>
              <w:t xml:space="preserve">) </w:t>
            </w:r>
            <w:r w:rsidRPr="00216B52">
              <w:rPr>
                <w:sz w:val="20"/>
                <w:szCs w:val="20"/>
              </w:rPr>
              <w:t xml:space="preserve">for the PLP-dependent </w:t>
            </w:r>
            <w:r w:rsidRPr="00216B52">
              <w:rPr>
                <w:sz w:val="20"/>
                <w:szCs w:val="20"/>
                <w:lang w:val="el-GR"/>
              </w:rPr>
              <w:t>β</w:t>
            </w:r>
            <w:r w:rsidRPr="00AA2626">
              <w:rPr>
                <w:sz w:val="20"/>
                <w:szCs w:val="20"/>
              </w:rPr>
              <w:t>-</w:t>
            </w:r>
            <w:r w:rsidRPr="00216B52">
              <w:rPr>
                <w:sz w:val="20"/>
                <w:szCs w:val="20"/>
              </w:rPr>
              <w:t xml:space="preserve">replacement reaction. The active sites of the different subunits are distant to one another, so they do not affect each other directly. Instead, the formation of the </w:t>
            </w:r>
            <w:r w:rsidRPr="00216B52">
              <w:rPr>
                <w:sz w:val="20"/>
                <w:szCs w:val="20"/>
                <w:lang w:val="el-GR"/>
              </w:rPr>
              <w:t>α</w:t>
            </w:r>
            <w:r w:rsidRPr="00AA2626">
              <w:rPr>
                <w:sz w:val="20"/>
                <w:szCs w:val="20"/>
                <w:vertAlign w:val="subscript"/>
              </w:rPr>
              <w:t>2</w:t>
            </w:r>
            <w:r w:rsidRPr="00216B52">
              <w:rPr>
                <w:sz w:val="20"/>
                <w:szCs w:val="20"/>
                <w:lang w:val="el-GR"/>
              </w:rPr>
              <w:t>β</w:t>
            </w:r>
            <w:r w:rsidRPr="00AA2626">
              <w:rPr>
                <w:sz w:val="20"/>
                <w:szCs w:val="20"/>
                <w:vertAlign w:val="subscript"/>
              </w:rPr>
              <w:t>2</w:t>
            </w:r>
            <w:r w:rsidRPr="00AA2626">
              <w:rPr>
                <w:sz w:val="20"/>
                <w:szCs w:val="20"/>
              </w:rPr>
              <w:t xml:space="preserve"> </w:t>
            </w:r>
            <w:r w:rsidRPr="00216B52">
              <w:rPr>
                <w:sz w:val="20"/>
                <w:szCs w:val="20"/>
              </w:rPr>
              <w:t xml:space="preserve">tetramer helps to stabilize </w:t>
            </w:r>
            <w:proofErr w:type="spellStart"/>
            <w:r w:rsidRPr="00AA2626">
              <w:rPr>
                <w:sz w:val="20"/>
                <w:szCs w:val="20"/>
              </w:rPr>
              <w:t>TrpB</w:t>
            </w:r>
            <w:proofErr w:type="spellEnd"/>
            <w:r w:rsidRPr="00216B52">
              <w:rPr>
                <w:sz w:val="20"/>
                <w:szCs w:val="20"/>
              </w:rPr>
              <w:t xml:space="preserve"> and channel the indole substrate through a tunnel.</w:t>
            </w:r>
            <w:r w:rsidRPr="00AA2626">
              <w:rPr>
                <w:sz w:val="20"/>
                <w:szCs w:val="20"/>
              </w:rPr>
              <w:t xml:space="preserve"> The primary interacting residues between the subunits are the </w:t>
            </w:r>
            <w:r w:rsidRPr="00AA2626">
              <w:rPr>
                <w:sz w:val="20"/>
                <w:szCs w:val="20"/>
                <w:lang w:val="el-GR"/>
              </w:rPr>
              <w:t>α</w:t>
            </w:r>
            <w:r w:rsidRPr="00AA2626">
              <w:rPr>
                <w:sz w:val="20"/>
                <w:szCs w:val="20"/>
              </w:rPr>
              <w:t xml:space="preserve"> loop 2 and </w:t>
            </w:r>
            <w:r w:rsidRPr="00AA2626">
              <w:rPr>
                <w:sz w:val="20"/>
                <w:szCs w:val="20"/>
                <w:lang w:val="el-GR"/>
              </w:rPr>
              <w:t>β</w:t>
            </w:r>
            <w:r w:rsidRPr="00AA2626">
              <w:rPr>
                <w:sz w:val="20"/>
                <w:szCs w:val="20"/>
              </w:rPr>
              <w:t xml:space="preserve"> COMM domain. </w:t>
            </w:r>
            <w:r w:rsidRPr="00216B52">
              <w:rPr>
                <w:sz w:val="20"/>
                <w:szCs w:val="20"/>
              </w:rPr>
              <w:t xml:space="preserve">Binding of ligands to </w:t>
            </w:r>
            <w:proofErr w:type="spellStart"/>
            <w:r w:rsidRPr="00AA2626">
              <w:rPr>
                <w:sz w:val="20"/>
                <w:szCs w:val="20"/>
              </w:rPr>
              <w:t>TrpA</w:t>
            </w:r>
            <w:proofErr w:type="spellEnd"/>
            <w:r w:rsidRPr="00216B52">
              <w:rPr>
                <w:sz w:val="20"/>
                <w:szCs w:val="20"/>
              </w:rPr>
              <w:t xml:space="preserve"> triggers a closed conformation that extends toward </w:t>
            </w:r>
            <w:proofErr w:type="spellStart"/>
            <w:r w:rsidRPr="00AA2626">
              <w:rPr>
                <w:sz w:val="20"/>
                <w:szCs w:val="20"/>
              </w:rPr>
              <w:t>TrpB</w:t>
            </w:r>
            <w:proofErr w:type="spellEnd"/>
            <w:r w:rsidRPr="00216B52">
              <w:rPr>
                <w:sz w:val="20"/>
                <w:szCs w:val="20"/>
              </w:rPr>
              <w:t xml:space="preserve"> to</w:t>
            </w:r>
            <w:r w:rsidRPr="00AA2626">
              <w:rPr>
                <w:sz w:val="20"/>
                <w:szCs w:val="20"/>
              </w:rPr>
              <w:t xml:space="preserve"> cause the rigid </w:t>
            </w:r>
            <w:r w:rsidRPr="00AA2626">
              <w:rPr>
                <w:sz w:val="20"/>
                <w:szCs w:val="20"/>
                <w:lang w:val="el-GR"/>
              </w:rPr>
              <w:t>β</w:t>
            </w:r>
            <w:r w:rsidRPr="00AA2626">
              <w:rPr>
                <w:sz w:val="20"/>
                <w:szCs w:val="20"/>
              </w:rPr>
              <w:t xml:space="preserve"> COMM</w:t>
            </w:r>
            <w:r w:rsidRPr="00216B52">
              <w:rPr>
                <w:sz w:val="20"/>
                <w:szCs w:val="20"/>
              </w:rPr>
              <w:t xml:space="preserve"> </w:t>
            </w:r>
            <w:r w:rsidRPr="00AA2626">
              <w:rPr>
                <w:sz w:val="20"/>
                <w:szCs w:val="20"/>
              </w:rPr>
              <w:t xml:space="preserve">domain to </w:t>
            </w:r>
            <w:r w:rsidRPr="00216B52">
              <w:rPr>
                <w:sz w:val="20"/>
                <w:szCs w:val="20"/>
              </w:rPr>
              <w:t xml:space="preserve">block escape of substrate and promote catalysis. </w:t>
            </w:r>
            <w:r w:rsidRPr="00AA2626">
              <w:rPr>
                <w:sz w:val="20"/>
                <w:szCs w:val="20"/>
              </w:rPr>
              <w:t xml:space="preserve">This interaction causes the isolated components to be inefficient without one another. Inactive </w:t>
            </w:r>
            <w:proofErr w:type="spellStart"/>
            <w:r w:rsidRPr="00AA2626">
              <w:rPr>
                <w:sz w:val="20"/>
                <w:szCs w:val="20"/>
              </w:rPr>
              <w:t>TrpA</w:t>
            </w:r>
            <w:proofErr w:type="spellEnd"/>
            <w:r w:rsidRPr="00AA2626">
              <w:rPr>
                <w:sz w:val="20"/>
                <w:szCs w:val="20"/>
              </w:rPr>
              <w:t xml:space="preserve"> remains an allosteric activator of </w:t>
            </w:r>
            <w:proofErr w:type="spellStart"/>
            <w:r w:rsidRPr="00AA2626">
              <w:rPr>
                <w:sz w:val="20"/>
                <w:szCs w:val="20"/>
              </w:rPr>
              <w:t>TrpB</w:t>
            </w:r>
            <w:proofErr w:type="spellEnd"/>
            <w:r w:rsidRPr="00AA2626">
              <w:rPr>
                <w:sz w:val="20"/>
                <w:szCs w:val="20"/>
              </w:rPr>
              <w:t xml:space="preserve"> by increasing </w:t>
            </w:r>
            <w:proofErr w:type="spellStart"/>
            <w:r w:rsidRPr="00AA2626">
              <w:rPr>
                <w:sz w:val="20"/>
                <w:szCs w:val="20"/>
              </w:rPr>
              <w:t>TrpB</w:t>
            </w:r>
            <w:proofErr w:type="spellEnd"/>
            <w:r w:rsidRPr="00AA2626">
              <w:rPr>
                <w:sz w:val="20"/>
                <w:szCs w:val="20"/>
              </w:rPr>
              <w:t xml:space="preserve"> activity four-fold. </w:t>
            </w:r>
          </w:p>
          <w:p w14:paraId="0401339C" w14:textId="6FE5BFC8" w:rsidR="00D26731" w:rsidRPr="00216B52" w:rsidRDefault="00D26731" w:rsidP="00216B52">
            <w:pPr>
              <w:rPr>
                <w:sz w:val="20"/>
                <w:szCs w:val="20"/>
              </w:rPr>
            </w:pPr>
            <w:proofErr w:type="spellStart"/>
            <w:r w:rsidRPr="00216B52">
              <w:rPr>
                <w:sz w:val="20"/>
                <w:szCs w:val="20"/>
              </w:rPr>
              <w:t>T</w:t>
            </w:r>
            <w:r w:rsidRPr="00AA2626">
              <w:rPr>
                <w:sz w:val="20"/>
                <w:szCs w:val="20"/>
              </w:rPr>
              <w:t>rp</w:t>
            </w:r>
            <w:r w:rsidRPr="00216B52">
              <w:rPr>
                <w:sz w:val="20"/>
                <w:szCs w:val="20"/>
              </w:rPr>
              <w:t>S</w:t>
            </w:r>
            <w:proofErr w:type="spellEnd"/>
            <w:r w:rsidRPr="00216B52">
              <w:rPr>
                <w:sz w:val="20"/>
                <w:szCs w:val="20"/>
              </w:rPr>
              <w:t xml:space="preserve"> is also activated by monovalent cations that bind to </w:t>
            </w:r>
            <w:proofErr w:type="spellStart"/>
            <w:r w:rsidRPr="00AA2626">
              <w:rPr>
                <w:sz w:val="20"/>
                <w:szCs w:val="20"/>
              </w:rPr>
              <w:t>TrpB</w:t>
            </w:r>
            <w:proofErr w:type="spellEnd"/>
            <w:r w:rsidRPr="00216B52">
              <w:rPr>
                <w:sz w:val="20"/>
                <w:szCs w:val="20"/>
              </w:rPr>
              <w:t xml:space="preserve"> near the active site. These cations cause local changes to the cation site (depending on the cation), which propagate to the interaction site between subunits and alter the substrate channeling tunnel. </w:t>
            </w:r>
            <w:r w:rsidRPr="00AA2626">
              <w:rPr>
                <w:sz w:val="20"/>
                <w:szCs w:val="20"/>
              </w:rPr>
              <w:t xml:space="preserve">Recent studies used computational methods to identify </w:t>
            </w:r>
            <w:proofErr w:type="spellStart"/>
            <w:r w:rsidRPr="00AA2626">
              <w:rPr>
                <w:sz w:val="20"/>
                <w:szCs w:val="20"/>
              </w:rPr>
              <w:t>TrpS</w:t>
            </w:r>
            <w:proofErr w:type="spellEnd"/>
            <w:r w:rsidRPr="00AA2626">
              <w:rPr>
                <w:sz w:val="20"/>
                <w:szCs w:val="20"/>
              </w:rPr>
              <w:t xml:space="preserve"> allosteric networks and facilitate development of allosteric inhibitors. </w:t>
            </w:r>
          </w:p>
        </w:tc>
        <w:tc>
          <w:tcPr>
            <w:tcW w:w="1673" w:type="dxa"/>
          </w:tcPr>
          <w:p w14:paraId="3D259800" w14:textId="77777777" w:rsidR="00D26731" w:rsidRPr="007A329B" w:rsidRDefault="00D26731" w:rsidP="00013746">
            <w:pPr>
              <w:rPr>
                <w:sz w:val="20"/>
                <w:szCs w:val="20"/>
              </w:rPr>
            </w:pPr>
            <w:r w:rsidRPr="00AA2626">
              <w:rPr>
                <w:noProof/>
                <w:sz w:val="20"/>
                <w:szCs w:val="20"/>
              </w:rPr>
              <w:t>(Hyde et al. 1988, Rhee et al. 1996, Schneider et al. 1998, Miles et al. 1999, Dunn 2012, Miles 2013, Buller et al. 2015, Maria-Solano et al. 2019, D'Amico et al. 2021, Ghosh et al. 2021, Michalska et al. 2021, O'Rourke et al. 2021, Phillips and Harris 2021, Bosken et al. 2022)</w:t>
            </w:r>
            <w:r>
              <w:rPr>
                <w:sz w:val="20"/>
                <w:szCs w:val="20"/>
              </w:rPr>
              <w:tab/>
            </w:r>
          </w:p>
        </w:tc>
      </w:tr>
      <w:tr w:rsidR="00D26731" w14:paraId="515442C0" w14:textId="77777777" w:rsidTr="0040753E">
        <w:tc>
          <w:tcPr>
            <w:tcW w:w="1849" w:type="dxa"/>
            <w:shd w:val="clear" w:color="auto" w:fill="D9D9D9" w:themeFill="background1" w:themeFillShade="D9"/>
          </w:tcPr>
          <w:p w14:paraId="03B30C4E" w14:textId="77777777" w:rsidR="00D26731" w:rsidRPr="00AA2626" w:rsidRDefault="00D26731" w:rsidP="00013746">
            <w:pPr>
              <w:rPr>
                <w:b/>
                <w:bCs/>
                <w:sz w:val="20"/>
                <w:szCs w:val="20"/>
              </w:rPr>
            </w:pPr>
            <w:r w:rsidRPr="00AA2626">
              <w:rPr>
                <w:b/>
                <w:bCs/>
                <w:sz w:val="20"/>
                <w:szCs w:val="20"/>
              </w:rPr>
              <w:t>Fold Type III</w:t>
            </w:r>
          </w:p>
        </w:tc>
        <w:tc>
          <w:tcPr>
            <w:tcW w:w="1705" w:type="dxa"/>
            <w:shd w:val="clear" w:color="auto" w:fill="D9D9D9" w:themeFill="background1" w:themeFillShade="D9"/>
          </w:tcPr>
          <w:p w14:paraId="06EBCAD4" w14:textId="77777777" w:rsidR="00D26731" w:rsidRPr="009613C5" w:rsidRDefault="00D26731" w:rsidP="00013746">
            <w:pPr>
              <w:rPr>
                <w:sz w:val="20"/>
                <w:szCs w:val="20"/>
              </w:rPr>
            </w:pPr>
          </w:p>
        </w:tc>
        <w:tc>
          <w:tcPr>
            <w:tcW w:w="1338" w:type="dxa"/>
            <w:shd w:val="clear" w:color="auto" w:fill="D9D9D9" w:themeFill="background1" w:themeFillShade="D9"/>
          </w:tcPr>
          <w:p w14:paraId="1ED0ED3A" w14:textId="77777777" w:rsidR="00D26731" w:rsidRPr="005C01DD" w:rsidRDefault="00D26731" w:rsidP="00013746">
            <w:pPr>
              <w:rPr>
                <w:sz w:val="20"/>
                <w:szCs w:val="20"/>
                <w:lang w:val="el-GR"/>
              </w:rPr>
            </w:pPr>
          </w:p>
        </w:tc>
        <w:tc>
          <w:tcPr>
            <w:tcW w:w="3202" w:type="dxa"/>
            <w:shd w:val="clear" w:color="auto" w:fill="D9D9D9" w:themeFill="background1" w:themeFillShade="D9"/>
          </w:tcPr>
          <w:p w14:paraId="5029851D" w14:textId="77777777" w:rsidR="00D26731" w:rsidRPr="009613C5" w:rsidRDefault="00D26731" w:rsidP="00013746">
            <w:pPr>
              <w:rPr>
                <w:sz w:val="20"/>
                <w:szCs w:val="20"/>
              </w:rPr>
            </w:pPr>
          </w:p>
        </w:tc>
        <w:tc>
          <w:tcPr>
            <w:tcW w:w="1673" w:type="dxa"/>
            <w:shd w:val="clear" w:color="auto" w:fill="D9D9D9" w:themeFill="background1" w:themeFillShade="D9"/>
          </w:tcPr>
          <w:p w14:paraId="63E48878" w14:textId="77777777" w:rsidR="00D26731" w:rsidRPr="009613C5" w:rsidRDefault="00D26731" w:rsidP="00013746">
            <w:pPr>
              <w:rPr>
                <w:sz w:val="20"/>
                <w:szCs w:val="20"/>
              </w:rPr>
            </w:pPr>
          </w:p>
        </w:tc>
      </w:tr>
      <w:tr w:rsidR="00D26731" w14:paraId="7EACCCCF" w14:textId="77777777" w:rsidTr="0040753E">
        <w:tc>
          <w:tcPr>
            <w:tcW w:w="1849" w:type="dxa"/>
          </w:tcPr>
          <w:p w14:paraId="2891B3D1" w14:textId="77777777" w:rsidR="00D26731" w:rsidRDefault="00D26731" w:rsidP="00013746">
            <w:pPr>
              <w:rPr>
                <w:sz w:val="20"/>
                <w:szCs w:val="20"/>
              </w:rPr>
            </w:pPr>
            <w:r>
              <w:rPr>
                <w:sz w:val="20"/>
                <w:szCs w:val="20"/>
              </w:rPr>
              <w:t>Alanine racemase (AR)</w:t>
            </w:r>
          </w:p>
        </w:tc>
        <w:tc>
          <w:tcPr>
            <w:tcW w:w="1705" w:type="dxa"/>
          </w:tcPr>
          <w:p w14:paraId="78AC1A43" w14:textId="77777777" w:rsidR="00D26731" w:rsidRPr="009613C5" w:rsidRDefault="00D26731" w:rsidP="00013746">
            <w:pPr>
              <w:rPr>
                <w:sz w:val="20"/>
                <w:szCs w:val="20"/>
              </w:rPr>
            </w:pPr>
            <w:r>
              <w:rPr>
                <w:sz w:val="20"/>
                <w:szCs w:val="20"/>
              </w:rPr>
              <w:t>D-alanine biosynthesis [bacterial cell wall biosynthesis]</w:t>
            </w:r>
          </w:p>
        </w:tc>
        <w:tc>
          <w:tcPr>
            <w:tcW w:w="1338" w:type="dxa"/>
          </w:tcPr>
          <w:p w14:paraId="7D786529" w14:textId="77777777" w:rsidR="00D26731" w:rsidRPr="00AA2626" w:rsidRDefault="00D26731" w:rsidP="00013746">
            <w:pPr>
              <w:rPr>
                <w:sz w:val="20"/>
                <w:szCs w:val="20"/>
              </w:rPr>
            </w:pPr>
            <w:r>
              <w:rPr>
                <w:sz w:val="20"/>
                <w:szCs w:val="20"/>
              </w:rPr>
              <w:t>Homodimer</w:t>
            </w:r>
          </w:p>
        </w:tc>
        <w:tc>
          <w:tcPr>
            <w:tcW w:w="3202" w:type="dxa"/>
          </w:tcPr>
          <w:p w14:paraId="0ECDDA99" w14:textId="77777777" w:rsidR="00D26731" w:rsidRPr="009613C5" w:rsidRDefault="00D26731" w:rsidP="00013746">
            <w:pPr>
              <w:rPr>
                <w:sz w:val="20"/>
                <w:szCs w:val="20"/>
              </w:rPr>
            </w:pPr>
            <w:r>
              <w:rPr>
                <w:sz w:val="20"/>
                <w:szCs w:val="20"/>
              </w:rPr>
              <w:t xml:space="preserve">Recent data suggests that the AR homodimer contains two surface pockets that can interact with small molecules. N-terminal lid regions close over the pockets to sequester modulators in a closed conformation. </w:t>
            </w:r>
          </w:p>
        </w:tc>
        <w:tc>
          <w:tcPr>
            <w:tcW w:w="1673" w:type="dxa"/>
          </w:tcPr>
          <w:p w14:paraId="0A47C713" w14:textId="77777777" w:rsidR="00D26731" w:rsidRPr="009613C5" w:rsidRDefault="00D26731" w:rsidP="00013746">
            <w:pPr>
              <w:rPr>
                <w:sz w:val="20"/>
                <w:szCs w:val="20"/>
              </w:rPr>
            </w:pPr>
            <w:r>
              <w:rPr>
                <w:noProof/>
                <w:sz w:val="20"/>
                <w:szCs w:val="20"/>
              </w:rPr>
              <w:t>(Jyothikumar et al. 2018)</w:t>
            </w:r>
          </w:p>
        </w:tc>
      </w:tr>
      <w:tr w:rsidR="00D26731" w:rsidRPr="001E531C" w14:paraId="674AE24F" w14:textId="77777777" w:rsidTr="0040753E">
        <w:tc>
          <w:tcPr>
            <w:tcW w:w="1849" w:type="dxa"/>
          </w:tcPr>
          <w:p w14:paraId="463A2825" w14:textId="77777777" w:rsidR="00D26731" w:rsidRPr="001E531C" w:rsidRDefault="00D26731" w:rsidP="00013746">
            <w:pPr>
              <w:rPr>
                <w:sz w:val="20"/>
                <w:szCs w:val="20"/>
              </w:rPr>
            </w:pPr>
            <w:r w:rsidRPr="00AA2626">
              <w:rPr>
                <w:sz w:val="20"/>
                <w:szCs w:val="20"/>
              </w:rPr>
              <w:t>Ornithine decarboxylase (ODC)</w:t>
            </w:r>
          </w:p>
        </w:tc>
        <w:tc>
          <w:tcPr>
            <w:tcW w:w="1705" w:type="dxa"/>
          </w:tcPr>
          <w:p w14:paraId="4022F287" w14:textId="77777777" w:rsidR="00D26731" w:rsidRPr="001E531C" w:rsidRDefault="00D26731" w:rsidP="00013746">
            <w:pPr>
              <w:rPr>
                <w:sz w:val="20"/>
                <w:szCs w:val="20"/>
              </w:rPr>
            </w:pPr>
            <w:r w:rsidRPr="00AA2626">
              <w:rPr>
                <w:sz w:val="20"/>
                <w:szCs w:val="20"/>
              </w:rPr>
              <w:t>Polyamine biosynthesis</w:t>
            </w:r>
          </w:p>
        </w:tc>
        <w:tc>
          <w:tcPr>
            <w:tcW w:w="1338" w:type="dxa"/>
          </w:tcPr>
          <w:p w14:paraId="17BEEBC7" w14:textId="77777777" w:rsidR="00D26731" w:rsidRPr="001E531C" w:rsidRDefault="00D26731" w:rsidP="00013746">
            <w:pPr>
              <w:rPr>
                <w:sz w:val="20"/>
                <w:szCs w:val="20"/>
              </w:rPr>
            </w:pPr>
            <w:r w:rsidRPr="001E531C">
              <w:rPr>
                <w:sz w:val="20"/>
                <w:szCs w:val="20"/>
              </w:rPr>
              <w:t>Homodimer</w:t>
            </w:r>
          </w:p>
        </w:tc>
        <w:tc>
          <w:tcPr>
            <w:tcW w:w="3202" w:type="dxa"/>
          </w:tcPr>
          <w:p w14:paraId="1267F6C1" w14:textId="69EB7DC1" w:rsidR="00D26731" w:rsidRPr="001E531C" w:rsidRDefault="006310CA" w:rsidP="00013746">
            <w:pPr>
              <w:rPr>
                <w:sz w:val="20"/>
                <w:szCs w:val="20"/>
              </w:rPr>
            </w:pPr>
            <w:r>
              <w:rPr>
                <w:sz w:val="20"/>
                <w:szCs w:val="20"/>
              </w:rPr>
              <w:t>Small inhibitory proteins called antizymes</w:t>
            </w:r>
            <w:r w:rsidR="00D26731" w:rsidRPr="00AA2626">
              <w:rPr>
                <w:sz w:val="20"/>
                <w:szCs w:val="20"/>
              </w:rPr>
              <w:t xml:space="preserve"> act as regulators of polyamine biosynthesis. The most prominent</w:t>
            </w:r>
            <w:r w:rsidR="00D26731">
              <w:rPr>
                <w:sz w:val="20"/>
                <w:szCs w:val="20"/>
              </w:rPr>
              <w:t>,</w:t>
            </w:r>
            <w:r w:rsidR="00D26731" w:rsidRPr="00AA2626">
              <w:rPr>
                <w:sz w:val="20"/>
                <w:szCs w:val="20"/>
              </w:rPr>
              <w:t xml:space="preserve"> antizyme 1 (AZ1), binds to monomers of eukaryotic ODC to block ODC dimerization and promote proteasomal degradation of ODC in a ubiquitin-independent manner.    </w:t>
            </w:r>
          </w:p>
        </w:tc>
        <w:tc>
          <w:tcPr>
            <w:tcW w:w="1673" w:type="dxa"/>
          </w:tcPr>
          <w:p w14:paraId="39720C33" w14:textId="77777777" w:rsidR="00D26731" w:rsidRPr="001E531C" w:rsidRDefault="00D26731" w:rsidP="00013746">
            <w:pPr>
              <w:rPr>
                <w:sz w:val="20"/>
                <w:szCs w:val="20"/>
              </w:rPr>
            </w:pPr>
            <w:r>
              <w:rPr>
                <w:noProof/>
                <w:sz w:val="20"/>
                <w:szCs w:val="20"/>
              </w:rPr>
              <w:t>(Mangold 2005, Wu et al. 2015)</w:t>
            </w:r>
          </w:p>
        </w:tc>
      </w:tr>
      <w:tr w:rsidR="00D26731" w14:paraId="64FC4BCC" w14:textId="77777777" w:rsidTr="0040753E">
        <w:tc>
          <w:tcPr>
            <w:tcW w:w="1849" w:type="dxa"/>
            <w:shd w:val="clear" w:color="auto" w:fill="D9D9D9" w:themeFill="background1" w:themeFillShade="D9"/>
          </w:tcPr>
          <w:p w14:paraId="3ED8CC1D" w14:textId="77777777" w:rsidR="00D26731" w:rsidRPr="00AA2626" w:rsidRDefault="00D26731" w:rsidP="00013746">
            <w:pPr>
              <w:rPr>
                <w:b/>
                <w:bCs/>
                <w:sz w:val="20"/>
                <w:szCs w:val="20"/>
              </w:rPr>
            </w:pPr>
            <w:r w:rsidRPr="00AA2626">
              <w:rPr>
                <w:b/>
                <w:bCs/>
                <w:sz w:val="20"/>
                <w:szCs w:val="20"/>
              </w:rPr>
              <w:lastRenderedPageBreak/>
              <w:t>Fold Type IV</w:t>
            </w:r>
          </w:p>
        </w:tc>
        <w:tc>
          <w:tcPr>
            <w:tcW w:w="1705" w:type="dxa"/>
            <w:shd w:val="clear" w:color="auto" w:fill="D9D9D9" w:themeFill="background1" w:themeFillShade="D9"/>
          </w:tcPr>
          <w:p w14:paraId="1E1B3F17" w14:textId="77777777" w:rsidR="00D26731" w:rsidRPr="009613C5" w:rsidRDefault="00D26731" w:rsidP="00013746">
            <w:pPr>
              <w:rPr>
                <w:sz w:val="20"/>
                <w:szCs w:val="20"/>
              </w:rPr>
            </w:pPr>
          </w:p>
        </w:tc>
        <w:tc>
          <w:tcPr>
            <w:tcW w:w="1338" w:type="dxa"/>
            <w:shd w:val="clear" w:color="auto" w:fill="D9D9D9" w:themeFill="background1" w:themeFillShade="D9"/>
          </w:tcPr>
          <w:p w14:paraId="165024EF" w14:textId="77777777" w:rsidR="00D26731" w:rsidRDefault="00D26731" w:rsidP="00013746">
            <w:pPr>
              <w:rPr>
                <w:sz w:val="20"/>
                <w:szCs w:val="20"/>
              </w:rPr>
            </w:pPr>
          </w:p>
        </w:tc>
        <w:tc>
          <w:tcPr>
            <w:tcW w:w="3202" w:type="dxa"/>
            <w:shd w:val="clear" w:color="auto" w:fill="D9D9D9" w:themeFill="background1" w:themeFillShade="D9"/>
          </w:tcPr>
          <w:p w14:paraId="1BA5948E" w14:textId="77777777" w:rsidR="00D26731" w:rsidRPr="009613C5" w:rsidRDefault="00D26731" w:rsidP="00013746">
            <w:pPr>
              <w:rPr>
                <w:sz w:val="20"/>
                <w:szCs w:val="20"/>
              </w:rPr>
            </w:pPr>
          </w:p>
        </w:tc>
        <w:tc>
          <w:tcPr>
            <w:tcW w:w="1673" w:type="dxa"/>
            <w:shd w:val="clear" w:color="auto" w:fill="D9D9D9" w:themeFill="background1" w:themeFillShade="D9"/>
          </w:tcPr>
          <w:p w14:paraId="3A40DA1D" w14:textId="77777777" w:rsidR="00D26731" w:rsidRPr="009613C5" w:rsidRDefault="00D26731" w:rsidP="00013746">
            <w:pPr>
              <w:rPr>
                <w:sz w:val="20"/>
                <w:szCs w:val="20"/>
              </w:rPr>
            </w:pPr>
          </w:p>
        </w:tc>
      </w:tr>
      <w:tr w:rsidR="00D26731" w:rsidRPr="001E531C" w14:paraId="0D5382D5" w14:textId="77777777" w:rsidTr="0040753E">
        <w:tc>
          <w:tcPr>
            <w:tcW w:w="1849" w:type="dxa"/>
          </w:tcPr>
          <w:p w14:paraId="3DF4B2F7" w14:textId="77777777" w:rsidR="00D26731" w:rsidRPr="000A4C98" w:rsidRDefault="00D26731" w:rsidP="00013746">
            <w:pPr>
              <w:rPr>
                <w:sz w:val="20"/>
                <w:szCs w:val="20"/>
              </w:rPr>
            </w:pPr>
            <w:r w:rsidRPr="000A4C98">
              <w:rPr>
                <w:sz w:val="20"/>
                <w:szCs w:val="20"/>
              </w:rPr>
              <w:t>Branched-chain amino acid aminotransferase (BCAT)</w:t>
            </w:r>
          </w:p>
        </w:tc>
        <w:tc>
          <w:tcPr>
            <w:tcW w:w="1705" w:type="dxa"/>
          </w:tcPr>
          <w:p w14:paraId="6F82901C" w14:textId="77777777" w:rsidR="00D26731" w:rsidRPr="000A4C98" w:rsidRDefault="00D26731" w:rsidP="00013746">
            <w:pPr>
              <w:rPr>
                <w:sz w:val="20"/>
                <w:szCs w:val="20"/>
              </w:rPr>
            </w:pPr>
            <w:r w:rsidRPr="00AA2626">
              <w:rPr>
                <w:sz w:val="20"/>
                <w:szCs w:val="20"/>
              </w:rPr>
              <w:t>Branched-chain amino acid metabolism</w:t>
            </w:r>
          </w:p>
        </w:tc>
        <w:tc>
          <w:tcPr>
            <w:tcW w:w="1338" w:type="dxa"/>
          </w:tcPr>
          <w:p w14:paraId="7EDF6EF7" w14:textId="77777777" w:rsidR="00D26731" w:rsidRPr="000A4C98" w:rsidRDefault="00D26731" w:rsidP="00013746">
            <w:pPr>
              <w:rPr>
                <w:sz w:val="20"/>
                <w:szCs w:val="20"/>
              </w:rPr>
            </w:pPr>
            <w:r w:rsidRPr="000A4C98">
              <w:rPr>
                <w:sz w:val="20"/>
                <w:szCs w:val="20"/>
              </w:rPr>
              <w:t>Homodimer</w:t>
            </w:r>
          </w:p>
        </w:tc>
        <w:tc>
          <w:tcPr>
            <w:tcW w:w="3202" w:type="dxa"/>
          </w:tcPr>
          <w:p w14:paraId="5CB0F00A" w14:textId="77777777" w:rsidR="00D26731" w:rsidRPr="000A4C98" w:rsidRDefault="00D26731" w:rsidP="00013746">
            <w:pPr>
              <w:rPr>
                <w:sz w:val="20"/>
                <w:szCs w:val="20"/>
              </w:rPr>
            </w:pPr>
            <w:r w:rsidRPr="00AA2626">
              <w:rPr>
                <w:sz w:val="20"/>
                <w:szCs w:val="20"/>
              </w:rPr>
              <w:t xml:space="preserve">Contains a CXXC oxidoreductase motif that may be used for oxidative stress sensing and enzymatic inhibition in the human mitochondrial isoform. C315 acts as the redox sensor, and C318 is the “resolving cysteine” that can form a reversible disulfide bond under oxidizing conditions. </w:t>
            </w:r>
          </w:p>
        </w:tc>
        <w:tc>
          <w:tcPr>
            <w:tcW w:w="1673" w:type="dxa"/>
          </w:tcPr>
          <w:p w14:paraId="0AF5A8A5" w14:textId="77777777" w:rsidR="00D26731" w:rsidRPr="001E531C" w:rsidRDefault="00D26731" w:rsidP="00013746">
            <w:pPr>
              <w:rPr>
                <w:sz w:val="20"/>
                <w:szCs w:val="20"/>
              </w:rPr>
            </w:pPr>
            <w:r>
              <w:rPr>
                <w:noProof/>
                <w:sz w:val="20"/>
                <w:szCs w:val="20"/>
              </w:rPr>
              <w:t>(Conway et al. 2004, Yennawar et al. 2006)</w:t>
            </w:r>
          </w:p>
        </w:tc>
      </w:tr>
      <w:tr w:rsidR="00D26731" w14:paraId="1C79CB58" w14:textId="77777777" w:rsidTr="0040753E">
        <w:tc>
          <w:tcPr>
            <w:tcW w:w="1849" w:type="dxa"/>
            <w:shd w:val="clear" w:color="auto" w:fill="D9D9D9" w:themeFill="background1" w:themeFillShade="D9"/>
          </w:tcPr>
          <w:p w14:paraId="57CEE464" w14:textId="77777777" w:rsidR="00D26731" w:rsidRPr="00AA2626" w:rsidRDefault="00D26731" w:rsidP="00013746">
            <w:pPr>
              <w:rPr>
                <w:b/>
                <w:bCs/>
                <w:sz w:val="20"/>
                <w:szCs w:val="20"/>
              </w:rPr>
            </w:pPr>
            <w:r w:rsidRPr="00AA2626">
              <w:rPr>
                <w:b/>
                <w:bCs/>
                <w:sz w:val="20"/>
                <w:szCs w:val="20"/>
              </w:rPr>
              <w:t>Fold Type V</w:t>
            </w:r>
          </w:p>
        </w:tc>
        <w:tc>
          <w:tcPr>
            <w:tcW w:w="1705" w:type="dxa"/>
            <w:shd w:val="clear" w:color="auto" w:fill="D9D9D9" w:themeFill="background1" w:themeFillShade="D9"/>
          </w:tcPr>
          <w:p w14:paraId="371CC751" w14:textId="77777777" w:rsidR="00D26731" w:rsidRPr="009613C5" w:rsidRDefault="00D26731" w:rsidP="00013746">
            <w:pPr>
              <w:rPr>
                <w:sz w:val="20"/>
                <w:szCs w:val="20"/>
              </w:rPr>
            </w:pPr>
          </w:p>
        </w:tc>
        <w:tc>
          <w:tcPr>
            <w:tcW w:w="1338" w:type="dxa"/>
            <w:shd w:val="clear" w:color="auto" w:fill="D9D9D9" w:themeFill="background1" w:themeFillShade="D9"/>
          </w:tcPr>
          <w:p w14:paraId="661732FC" w14:textId="77777777" w:rsidR="00D26731" w:rsidRDefault="00D26731" w:rsidP="00013746">
            <w:pPr>
              <w:rPr>
                <w:sz w:val="20"/>
                <w:szCs w:val="20"/>
              </w:rPr>
            </w:pPr>
          </w:p>
        </w:tc>
        <w:tc>
          <w:tcPr>
            <w:tcW w:w="3202" w:type="dxa"/>
            <w:shd w:val="clear" w:color="auto" w:fill="D9D9D9" w:themeFill="background1" w:themeFillShade="D9"/>
          </w:tcPr>
          <w:p w14:paraId="230BCF1B" w14:textId="77777777" w:rsidR="00D26731" w:rsidRPr="009613C5" w:rsidRDefault="00D26731" w:rsidP="00013746">
            <w:pPr>
              <w:rPr>
                <w:sz w:val="20"/>
                <w:szCs w:val="20"/>
              </w:rPr>
            </w:pPr>
          </w:p>
        </w:tc>
        <w:tc>
          <w:tcPr>
            <w:tcW w:w="1673" w:type="dxa"/>
            <w:shd w:val="clear" w:color="auto" w:fill="D9D9D9" w:themeFill="background1" w:themeFillShade="D9"/>
          </w:tcPr>
          <w:p w14:paraId="17150552" w14:textId="77777777" w:rsidR="00D26731" w:rsidRPr="009613C5" w:rsidRDefault="00D26731" w:rsidP="00013746">
            <w:pPr>
              <w:rPr>
                <w:sz w:val="20"/>
                <w:szCs w:val="20"/>
              </w:rPr>
            </w:pPr>
          </w:p>
        </w:tc>
      </w:tr>
      <w:tr w:rsidR="00D26731" w:rsidRPr="001E531C" w14:paraId="44F0E17D" w14:textId="77777777" w:rsidTr="0040753E">
        <w:tc>
          <w:tcPr>
            <w:tcW w:w="1849" w:type="dxa"/>
          </w:tcPr>
          <w:p w14:paraId="077ABD6C" w14:textId="77777777" w:rsidR="00D26731" w:rsidRPr="001E531C" w:rsidRDefault="00D26731" w:rsidP="00013746">
            <w:pPr>
              <w:rPr>
                <w:sz w:val="20"/>
                <w:szCs w:val="20"/>
              </w:rPr>
            </w:pPr>
            <w:r w:rsidRPr="001E531C">
              <w:rPr>
                <w:sz w:val="20"/>
                <w:szCs w:val="20"/>
              </w:rPr>
              <w:t>Glycogen phosphorylase (GP)</w:t>
            </w:r>
          </w:p>
        </w:tc>
        <w:tc>
          <w:tcPr>
            <w:tcW w:w="1705" w:type="dxa"/>
          </w:tcPr>
          <w:p w14:paraId="0AC19288" w14:textId="77777777" w:rsidR="00D26731" w:rsidRPr="001E531C" w:rsidRDefault="00D26731" w:rsidP="00013746">
            <w:pPr>
              <w:rPr>
                <w:sz w:val="20"/>
                <w:szCs w:val="20"/>
              </w:rPr>
            </w:pPr>
            <w:r w:rsidRPr="00AA2626">
              <w:rPr>
                <w:sz w:val="20"/>
                <w:szCs w:val="20"/>
              </w:rPr>
              <w:t>Glycogenolysis</w:t>
            </w:r>
          </w:p>
        </w:tc>
        <w:tc>
          <w:tcPr>
            <w:tcW w:w="1338" w:type="dxa"/>
          </w:tcPr>
          <w:p w14:paraId="3F1F2B05" w14:textId="77777777" w:rsidR="00D26731" w:rsidRPr="001E531C" w:rsidRDefault="00D26731" w:rsidP="00013746">
            <w:pPr>
              <w:rPr>
                <w:sz w:val="20"/>
                <w:szCs w:val="20"/>
              </w:rPr>
            </w:pPr>
            <w:r w:rsidRPr="001E531C">
              <w:rPr>
                <w:sz w:val="20"/>
                <w:szCs w:val="20"/>
              </w:rPr>
              <w:t>Homodimer</w:t>
            </w:r>
          </w:p>
        </w:tc>
        <w:tc>
          <w:tcPr>
            <w:tcW w:w="3202" w:type="dxa"/>
          </w:tcPr>
          <w:p w14:paraId="582BDB13" w14:textId="19E0CCC1" w:rsidR="00D26731" w:rsidRPr="001E531C" w:rsidRDefault="00D26731" w:rsidP="00DB33CB">
            <w:pPr>
              <w:rPr>
                <w:sz w:val="20"/>
                <w:szCs w:val="20"/>
              </w:rPr>
            </w:pPr>
            <w:r w:rsidRPr="00AA2626">
              <w:rPr>
                <w:sz w:val="20"/>
                <w:szCs w:val="20"/>
              </w:rPr>
              <w:t>Each isoform of GP</w:t>
            </w:r>
            <w:r>
              <w:rPr>
                <w:sz w:val="20"/>
                <w:szCs w:val="20"/>
              </w:rPr>
              <w:t xml:space="preserve"> can be</w:t>
            </w:r>
            <w:r w:rsidRPr="00AA2626">
              <w:rPr>
                <w:sz w:val="20"/>
                <w:szCs w:val="20"/>
              </w:rPr>
              <w:t xml:space="preserve"> differentially regulated based on the </w:t>
            </w:r>
            <w:r>
              <w:rPr>
                <w:sz w:val="20"/>
                <w:szCs w:val="20"/>
              </w:rPr>
              <w:t>various</w:t>
            </w:r>
            <w:r w:rsidRPr="00AA2626">
              <w:rPr>
                <w:sz w:val="20"/>
                <w:szCs w:val="20"/>
              </w:rPr>
              <w:t xml:space="preserve"> mechanisms.</w:t>
            </w:r>
            <w:r>
              <w:rPr>
                <w:sz w:val="20"/>
                <w:szCs w:val="20"/>
              </w:rPr>
              <w:t xml:space="preserve"> </w:t>
            </w:r>
            <w:r w:rsidRPr="00AA2626">
              <w:rPr>
                <w:sz w:val="20"/>
                <w:szCs w:val="20"/>
              </w:rPr>
              <w:t xml:space="preserve">Phosphorylation at Ser14 of the GP homodimer orders the N-terminal 14 amino acids (the phosphorylation peptide) and causes a rotation of subunits, which activates the GP homodimer. Ligand binding at the AMP site can also activate (e.g., AMP) or inhibit (e.g., ATP) GP depending on the nature of the ligand. Since the AMP site is located at the dimer interface, quaternary interactions are affected by ligand binding. Both phosphorylation and AMP binding trigger GP tetramerization, which inhibits GP by blocking the active sites. However, tetramerization can be blocked by glycogen binding at the tetrameric interface. GP has two other ligand binding sites, the indole site located at the dimer interface and the inhibitory site near the active site. Ligand binding at the indole site destabilizes dimerization. Ligands in the inhibitory site interact with the 280’s loop that forms a gate for the active site, thus limiting substrate access. </w:t>
            </w:r>
          </w:p>
        </w:tc>
        <w:tc>
          <w:tcPr>
            <w:tcW w:w="1673" w:type="dxa"/>
          </w:tcPr>
          <w:p w14:paraId="25804557" w14:textId="77777777" w:rsidR="00D26731" w:rsidRPr="001E531C" w:rsidRDefault="00D26731" w:rsidP="00013746">
            <w:pPr>
              <w:rPr>
                <w:sz w:val="20"/>
                <w:szCs w:val="20"/>
              </w:rPr>
            </w:pPr>
            <w:r>
              <w:rPr>
                <w:noProof/>
                <w:sz w:val="20"/>
                <w:szCs w:val="20"/>
              </w:rPr>
              <w:t>(Barford and Johnson 1989, Barford et al. 1991, Oikonomakos et al. 2000, Rath et al. 2000, Gaboriaud-Kolar and Skaltsounis 2013)</w:t>
            </w:r>
          </w:p>
        </w:tc>
      </w:tr>
      <w:tr w:rsidR="00D26731" w14:paraId="4FF8EA10" w14:textId="77777777" w:rsidTr="0040753E">
        <w:tc>
          <w:tcPr>
            <w:tcW w:w="1849" w:type="dxa"/>
            <w:shd w:val="clear" w:color="auto" w:fill="D9D9D9" w:themeFill="background1" w:themeFillShade="D9"/>
          </w:tcPr>
          <w:p w14:paraId="68074BCE" w14:textId="77777777" w:rsidR="00D26731" w:rsidRPr="00AA2626" w:rsidRDefault="00D26731" w:rsidP="00013746">
            <w:pPr>
              <w:rPr>
                <w:b/>
                <w:bCs/>
                <w:sz w:val="20"/>
                <w:szCs w:val="20"/>
              </w:rPr>
            </w:pPr>
            <w:r w:rsidRPr="00AA2626">
              <w:rPr>
                <w:b/>
                <w:bCs/>
                <w:sz w:val="20"/>
                <w:szCs w:val="20"/>
              </w:rPr>
              <w:t>Fold Type VI</w:t>
            </w:r>
          </w:p>
        </w:tc>
        <w:tc>
          <w:tcPr>
            <w:tcW w:w="1705" w:type="dxa"/>
            <w:shd w:val="clear" w:color="auto" w:fill="D9D9D9" w:themeFill="background1" w:themeFillShade="D9"/>
          </w:tcPr>
          <w:p w14:paraId="7AF3FE0A" w14:textId="77777777" w:rsidR="00D26731" w:rsidRPr="009613C5" w:rsidRDefault="00D26731" w:rsidP="00013746">
            <w:pPr>
              <w:rPr>
                <w:sz w:val="20"/>
                <w:szCs w:val="20"/>
              </w:rPr>
            </w:pPr>
          </w:p>
        </w:tc>
        <w:tc>
          <w:tcPr>
            <w:tcW w:w="1338" w:type="dxa"/>
            <w:shd w:val="clear" w:color="auto" w:fill="D9D9D9" w:themeFill="background1" w:themeFillShade="D9"/>
          </w:tcPr>
          <w:p w14:paraId="7D65CE86" w14:textId="77777777" w:rsidR="00D26731" w:rsidRDefault="00D26731" w:rsidP="00013746">
            <w:pPr>
              <w:rPr>
                <w:sz w:val="20"/>
                <w:szCs w:val="20"/>
              </w:rPr>
            </w:pPr>
          </w:p>
        </w:tc>
        <w:tc>
          <w:tcPr>
            <w:tcW w:w="3202" w:type="dxa"/>
            <w:shd w:val="clear" w:color="auto" w:fill="D9D9D9" w:themeFill="background1" w:themeFillShade="D9"/>
          </w:tcPr>
          <w:p w14:paraId="45B0E57D" w14:textId="77777777" w:rsidR="00D26731" w:rsidRPr="009613C5" w:rsidRDefault="00D26731" w:rsidP="00013746">
            <w:pPr>
              <w:rPr>
                <w:sz w:val="20"/>
                <w:szCs w:val="20"/>
              </w:rPr>
            </w:pPr>
          </w:p>
        </w:tc>
        <w:tc>
          <w:tcPr>
            <w:tcW w:w="1673" w:type="dxa"/>
            <w:shd w:val="clear" w:color="auto" w:fill="D9D9D9" w:themeFill="background1" w:themeFillShade="D9"/>
          </w:tcPr>
          <w:p w14:paraId="2E60BB29" w14:textId="77777777" w:rsidR="00D26731" w:rsidRPr="009613C5" w:rsidRDefault="00D26731" w:rsidP="00013746">
            <w:pPr>
              <w:rPr>
                <w:sz w:val="20"/>
                <w:szCs w:val="20"/>
              </w:rPr>
            </w:pPr>
          </w:p>
        </w:tc>
      </w:tr>
      <w:tr w:rsidR="00D26731" w:rsidRPr="001E531C" w14:paraId="7FFE4668" w14:textId="77777777" w:rsidTr="0040753E">
        <w:tc>
          <w:tcPr>
            <w:tcW w:w="1849" w:type="dxa"/>
          </w:tcPr>
          <w:p w14:paraId="1B383D4F" w14:textId="77777777" w:rsidR="00D26731" w:rsidRPr="001E531C" w:rsidRDefault="00D26731" w:rsidP="00013746">
            <w:pPr>
              <w:rPr>
                <w:sz w:val="20"/>
                <w:szCs w:val="20"/>
              </w:rPr>
            </w:pPr>
            <w:r w:rsidRPr="001E531C">
              <w:rPr>
                <w:sz w:val="20"/>
                <w:szCs w:val="20"/>
              </w:rPr>
              <w:t>Lysine 5,6-aminomutase (5,6-LAM)</w:t>
            </w:r>
          </w:p>
        </w:tc>
        <w:tc>
          <w:tcPr>
            <w:tcW w:w="1705" w:type="dxa"/>
          </w:tcPr>
          <w:p w14:paraId="5794BCD7" w14:textId="77777777" w:rsidR="00D26731" w:rsidRPr="001E531C" w:rsidRDefault="00D26731" w:rsidP="00013746">
            <w:pPr>
              <w:rPr>
                <w:sz w:val="20"/>
                <w:szCs w:val="20"/>
              </w:rPr>
            </w:pPr>
            <w:r w:rsidRPr="00AA2626">
              <w:rPr>
                <w:sz w:val="20"/>
                <w:szCs w:val="20"/>
              </w:rPr>
              <w:t>Lysine degradation</w:t>
            </w:r>
          </w:p>
        </w:tc>
        <w:tc>
          <w:tcPr>
            <w:tcW w:w="1338" w:type="dxa"/>
          </w:tcPr>
          <w:p w14:paraId="001D6657" w14:textId="77777777" w:rsidR="00D26731" w:rsidRPr="001E531C" w:rsidRDefault="00D26731" w:rsidP="00013746">
            <w:pPr>
              <w:rPr>
                <w:sz w:val="20"/>
                <w:szCs w:val="20"/>
              </w:rPr>
            </w:pPr>
            <w:r w:rsidRPr="001E531C">
              <w:rPr>
                <w:sz w:val="20"/>
                <w:szCs w:val="20"/>
              </w:rPr>
              <w:t xml:space="preserve">Tetramer (dimer of </w:t>
            </w:r>
            <w:proofErr w:type="spellStart"/>
            <w:r w:rsidRPr="00AA2626">
              <w:rPr>
                <w:sz w:val="20"/>
                <w:szCs w:val="20"/>
                <w:lang w:val="el-GR"/>
              </w:rPr>
              <w:t>αβ</w:t>
            </w:r>
            <w:proofErr w:type="spellEnd"/>
            <w:r w:rsidRPr="00AA2626">
              <w:rPr>
                <w:sz w:val="20"/>
                <w:szCs w:val="20"/>
              </w:rPr>
              <w:t xml:space="preserve"> dimers</w:t>
            </w:r>
            <w:r w:rsidRPr="001E531C">
              <w:rPr>
                <w:sz w:val="20"/>
                <w:szCs w:val="20"/>
              </w:rPr>
              <w:t>)</w:t>
            </w:r>
          </w:p>
        </w:tc>
        <w:tc>
          <w:tcPr>
            <w:tcW w:w="3202" w:type="dxa"/>
          </w:tcPr>
          <w:p w14:paraId="02EBD01B" w14:textId="77777777" w:rsidR="00D26731" w:rsidRPr="001E531C" w:rsidRDefault="00D26731" w:rsidP="00013746">
            <w:pPr>
              <w:rPr>
                <w:sz w:val="20"/>
                <w:szCs w:val="20"/>
              </w:rPr>
            </w:pPr>
            <w:r w:rsidRPr="00AA2626">
              <w:rPr>
                <w:sz w:val="20"/>
                <w:szCs w:val="20"/>
              </w:rPr>
              <w:t xml:space="preserve">The 5,6-LAM complex is made of two components, the core 5,6-LAM </w:t>
            </w:r>
            <w:r w:rsidRPr="00AA2626">
              <w:rPr>
                <w:sz w:val="20"/>
                <w:szCs w:val="20"/>
                <w:lang w:val="el-GR"/>
              </w:rPr>
              <w:t>α</w:t>
            </w:r>
            <w:r w:rsidRPr="00AA2626">
              <w:rPr>
                <w:sz w:val="20"/>
                <w:szCs w:val="20"/>
                <w:vertAlign w:val="subscript"/>
              </w:rPr>
              <w:t>2</w:t>
            </w:r>
            <w:r w:rsidRPr="00AA2626">
              <w:rPr>
                <w:sz w:val="20"/>
                <w:szCs w:val="20"/>
                <w:lang w:val="el-GR"/>
              </w:rPr>
              <w:t>β</w:t>
            </w:r>
            <w:r w:rsidRPr="00AA2626">
              <w:rPr>
                <w:sz w:val="20"/>
                <w:szCs w:val="20"/>
                <w:vertAlign w:val="subscript"/>
              </w:rPr>
              <w:t>2</w:t>
            </w:r>
            <w:r w:rsidRPr="00AA2626">
              <w:rPr>
                <w:sz w:val="20"/>
                <w:szCs w:val="20"/>
              </w:rPr>
              <w:t xml:space="preserve"> tetramer (E</w:t>
            </w:r>
            <w:r w:rsidRPr="00AA2626">
              <w:rPr>
                <w:sz w:val="20"/>
                <w:szCs w:val="20"/>
                <w:vertAlign w:val="subscript"/>
              </w:rPr>
              <w:t>1</w:t>
            </w:r>
            <w:r w:rsidRPr="00AA2626">
              <w:rPr>
                <w:sz w:val="20"/>
                <w:szCs w:val="20"/>
              </w:rPr>
              <w:t>) and an activating component (E</w:t>
            </w:r>
            <w:r w:rsidRPr="00AA2626">
              <w:rPr>
                <w:sz w:val="20"/>
                <w:szCs w:val="20"/>
                <w:vertAlign w:val="subscript"/>
              </w:rPr>
              <w:t>2</w:t>
            </w:r>
            <w:r w:rsidRPr="00AA2626">
              <w:rPr>
                <w:sz w:val="20"/>
                <w:szCs w:val="20"/>
              </w:rPr>
              <w:t>). E</w:t>
            </w:r>
            <w:r w:rsidRPr="00AA2626">
              <w:rPr>
                <w:sz w:val="20"/>
                <w:szCs w:val="20"/>
                <w:vertAlign w:val="subscript"/>
              </w:rPr>
              <w:t>2</w:t>
            </w:r>
            <w:r w:rsidRPr="00AA2626">
              <w:rPr>
                <w:sz w:val="20"/>
                <w:szCs w:val="20"/>
              </w:rPr>
              <w:t xml:space="preserve"> binds ATP, which is needed for free </w:t>
            </w:r>
            <w:proofErr w:type="spellStart"/>
            <w:r w:rsidRPr="00AA2626">
              <w:rPr>
                <w:sz w:val="20"/>
                <w:szCs w:val="20"/>
              </w:rPr>
              <w:t>AdoCbl</w:t>
            </w:r>
            <w:proofErr w:type="spellEnd"/>
            <w:r w:rsidRPr="00AA2626">
              <w:rPr>
                <w:sz w:val="20"/>
                <w:szCs w:val="20"/>
              </w:rPr>
              <w:t xml:space="preserve"> exchange with bound cobalamins. This exchange reactivates the core tetramer.</w:t>
            </w:r>
          </w:p>
        </w:tc>
        <w:tc>
          <w:tcPr>
            <w:tcW w:w="1673" w:type="dxa"/>
          </w:tcPr>
          <w:p w14:paraId="2B9B4DA4" w14:textId="77777777" w:rsidR="00D26731" w:rsidRPr="001E531C" w:rsidRDefault="00D26731" w:rsidP="00013746">
            <w:pPr>
              <w:rPr>
                <w:sz w:val="20"/>
                <w:szCs w:val="20"/>
              </w:rPr>
            </w:pPr>
            <w:r w:rsidRPr="00AA2626">
              <w:rPr>
                <w:noProof/>
                <w:sz w:val="20"/>
                <w:szCs w:val="20"/>
              </w:rPr>
              <w:t>(Toraya and Mori 1999, Chang and Frey 2000)</w:t>
            </w:r>
          </w:p>
        </w:tc>
      </w:tr>
      <w:tr w:rsidR="00D26731" w14:paraId="1DD5C4DE" w14:textId="77777777" w:rsidTr="0040753E">
        <w:tc>
          <w:tcPr>
            <w:tcW w:w="1849" w:type="dxa"/>
            <w:shd w:val="clear" w:color="auto" w:fill="D9D9D9" w:themeFill="background1" w:themeFillShade="D9"/>
          </w:tcPr>
          <w:p w14:paraId="58E00CC9" w14:textId="77777777" w:rsidR="00D26731" w:rsidRPr="00AA2626" w:rsidRDefault="00D26731" w:rsidP="00013746">
            <w:pPr>
              <w:rPr>
                <w:b/>
                <w:bCs/>
                <w:sz w:val="20"/>
                <w:szCs w:val="20"/>
              </w:rPr>
            </w:pPr>
            <w:r w:rsidRPr="00AA2626">
              <w:rPr>
                <w:b/>
                <w:bCs/>
                <w:sz w:val="20"/>
                <w:szCs w:val="20"/>
              </w:rPr>
              <w:t>Fold Type VII</w:t>
            </w:r>
          </w:p>
        </w:tc>
        <w:tc>
          <w:tcPr>
            <w:tcW w:w="1705" w:type="dxa"/>
            <w:shd w:val="clear" w:color="auto" w:fill="D9D9D9" w:themeFill="background1" w:themeFillShade="D9"/>
          </w:tcPr>
          <w:p w14:paraId="26576D23" w14:textId="77777777" w:rsidR="00D26731" w:rsidRPr="009613C5" w:rsidRDefault="00D26731" w:rsidP="00013746">
            <w:pPr>
              <w:rPr>
                <w:sz w:val="20"/>
                <w:szCs w:val="20"/>
              </w:rPr>
            </w:pPr>
          </w:p>
        </w:tc>
        <w:tc>
          <w:tcPr>
            <w:tcW w:w="1338" w:type="dxa"/>
            <w:shd w:val="clear" w:color="auto" w:fill="D9D9D9" w:themeFill="background1" w:themeFillShade="D9"/>
          </w:tcPr>
          <w:p w14:paraId="0302A3B2" w14:textId="77777777" w:rsidR="00D26731" w:rsidRDefault="00D26731" w:rsidP="00013746">
            <w:pPr>
              <w:rPr>
                <w:sz w:val="20"/>
                <w:szCs w:val="20"/>
              </w:rPr>
            </w:pPr>
          </w:p>
        </w:tc>
        <w:tc>
          <w:tcPr>
            <w:tcW w:w="3202" w:type="dxa"/>
            <w:shd w:val="clear" w:color="auto" w:fill="D9D9D9" w:themeFill="background1" w:themeFillShade="D9"/>
          </w:tcPr>
          <w:p w14:paraId="174E9E30" w14:textId="77777777" w:rsidR="00D26731" w:rsidRPr="009613C5" w:rsidRDefault="00D26731" w:rsidP="00013746">
            <w:pPr>
              <w:rPr>
                <w:sz w:val="20"/>
                <w:szCs w:val="20"/>
              </w:rPr>
            </w:pPr>
          </w:p>
        </w:tc>
        <w:tc>
          <w:tcPr>
            <w:tcW w:w="1673" w:type="dxa"/>
            <w:shd w:val="clear" w:color="auto" w:fill="D9D9D9" w:themeFill="background1" w:themeFillShade="D9"/>
          </w:tcPr>
          <w:p w14:paraId="3E174599" w14:textId="77777777" w:rsidR="00D26731" w:rsidRPr="009613C5" w:rsidRDefault="00D26731" w:rsidP="00013746">
            <w:pPr>
              <w:rPr>
                <w:sz w:val="20"/>
                <w:szCs w:val="20"/>
              </w:rPr>
            </w:pPr>
          </w:p>
        </w:tc>
      </w:tr>
      <w:tr w:rsidR="00D26731" w:rsidRPr="001E531C" w14:paraId="5981027A" w14:textId="77777777" w:rsidTr="0040753E">
        <w:tc>
          <w:tcPr>
            <w:tcW w:w="1849" w:type="dxa"/>
          </w:tcPr>
          <w:p w14:paraId="2CEE3AA9" w14:textId="77777777" w:rsidR="00D26731" w:rsidRPr="001E531C" w:rsidRDefault="00D26731" w:rsidP="00013746">
            <w:pPr>
              <w:rPr>
                <w:sz w:val="20"/>
                <w:szCs w:val="20"/>
              </w:rPr>
            </w:pPr>
            <w:r w:rsidRPr="001E531C">
              <w:rPr>
                <w:sz w:val="20"/>
                <w:szCs w:val="20"/>
              </w:rPr>
              <w:t>Lysine 2,3-aminomutase (2,3-LAM)</w:t>
            </w:r>
          </w:p>
        </w:tc>
        <w:tc>
          <w:tcPr>
            <w:tcW w:w="1705" w:type="dxa"/>
          </w:tcPr>
          <w:p w14:paraId="4A4D4035" w14:textId="77777777" w:rsidR="00D26731" w:rsidRPr="001E531C" w:rsidRDefault="00D26731" w:rsidP="00013746">
            <w:pPr>
              <w:rPr>
                <w:sz w:val="20"/>
                <w:szCs w:val="20"/>
              </w:rPr>
            </w:pPr>
            <w:r w:rsidRPr="00AA2626">
              <w:rPr>
                <w:sz w:val="20"/>
                <w:szCs w:val="20"/>
              </w:rPr>
              <w:t>Lysine degradation</w:t>
            </w:r>
          </w:p>
        </w:tc>
        <w:tc>
          <w:tcPr>
            <w:tcW w:w="1338" w:type="dxa"/>
          </w:tcPr>
          <w:p w14:paraId="10A510CA" w14:textId="77777777" w:rsidR="00D26731" w:rsidRPr="001E531C" w:rsidRDefault="00D26731" w:rsidP="00013746">
            <w:pPr>
              <w:rPr>
                <w:sz w:val="20"/>
                <w:szCs w:val="20"/>
              </w:rPr>
            </w:pPr>
            <w:r w:rsidRPr="001E531C">
              <w:rPr>
                <w:sz w:val="20"/>
                <w:szCs w:val="20"/>
              </w:rPr>
              <w:t>Tetramer (dimer of homodimers)</w:t>
            </w:r>
          </w:p>
        </w:tc>
        <w:tc>
          <w:tcPr>
            <w:tcW w:w="3202" w:type="dxa"/>
          </w:tcPr>
          <w:p w14:paraId="2781DF90" w14:textId="77777777" w:rsidR="00D26731" w:rsidRPr="001E531C" w:rsidRDefault="00D26731" w:rsidP="00013746">
            <w:pPr>
              <w:rPr>
                <w:sz w:val="20"/>
                <w:szCs w:val="20"/>
              </w:rPr>
            </w:pPr>
            <w:r w:rsidRPr="00AA2626">
              <w:rPr>
                <w:sz w:val="20"/>
                <w:szCs w:val="20"/>
              </w:rPr>
              <w:t xml:space="preserve">2,3-LAM uses </w:t>
            </w:r>
            <w:proofErr w:type="spellStart"/>
            <w:r w:rsidRPr="00AA2626">
              <w:rPr>
                <w:sz w:val="20"/>
                <w:szCs w:val="20"/>
              </w:rPr>
              <w:t>AdoMet</w:t>
            </w:r>
            <w:proofErr w:type="spellEnd"/>
            <w:r w:rsidRPr="00AA2626">
              <w:rPr>
                <w:sz w:val="20"/>
                <w:szCs w:val="20"/>
              </w:rPr>
              <w:t xml:space="preserve"> as a cofactor, which needs a [4Fe-4</w:t>
            </w:r>
            <w:proofErr w:type="gramStart"/>
            <w:r w:rsidRPr="00AA2626">
              <w:rPr>
                <w:sz w:val="20"/>
                <w:szCs w:val="20"/>
              </w:rPr>
              <w:t>S]</w:t>
            </w:r>
            <w:r w:rsidRPr="00AA2626">
              <w:rPr>
                <w:sz w:val="20"/>
                <w:szCs w:val="20"/>
                <w:vertAlign w:val="superscript"/>
              </w:rPr>
              <w:t>+</w:t>
            </w:r>
            <w:proofErr w:type="gramEnd"/>
            <w:r w:rsidRPr="00AA2626">
              <w:rPr>
                <w:sz w:val="20"/>
                <w:szCs w:val="20"/>
              </w:rPr>
              <w:t xml:space="preserve"> cluster to cleave </w:t>
            </w:r>
            <w:proofErr w:type="spellStart"/>
            <w:r w:rsidRPr="00AA2626">
              <w:rPr>
                <w:sz w:val="20"/>
                <w:szCs w:val="20"/>
              </w:rPr>
              <w:t>AdoMet</w:t>
            </w:r>
            <w:proofErr w:type="spellEnd"/>
            <w:r w:rsidRPr="00AA2626">
              <w:rPr>
                <w:sz w:val="20"/>
                <w:szCs w:val="20"/>
              </w:rPr>
              <w:t xml:space="preserve"> and produce a catalytic 5′-deoxyadenosyl radical. [4Fe-4</w:t>
            </w:r>
            <w:proofErr w:type="gramStart"/>
            <w:r w:rsidRPr="00AA2626">
              <w:rPr>
                <w:sz w:val="20"/>
                <w:szCs w:val="20"/>
              </w:rPr>
              <w:t>S]</w:t>
            </w:r>
            <w:r w:rsidRPr="00AA2626">
              <w:rPr>
                <w:sz w:val="20"/>
                <w:szCs w:val="20"/>
                <w:vertAlign w:val="superscript"/>
              </w:rPr>
              <w:t>+</w:t>
            </w:r>
            <w:proofErr w:type="gramEnd"/>
            <w:r w:rsidRPr="00AA2626">
              <w:rPr>
                <w:sz w:val="20"/>
                <w:szCs w:val="20"/>
              </w:rPr>
              <w:t xml:space="preserve"> cluster assembly and </w:t>
            </w:r>
            <w:r w:rsidRPr="00AA2626">
              <w:rPr>
                <w:sz w:val="20"/>
                <w:szCs w:val="20"/>
              </w:rPr>
              <w:lastRenderedPageBreak/>
              <w:t xml:space="preserve">reduction from the 2+ state to 1+ are limiting factors of 2,3-LAM catalysis. Reducing proteins (e.g., FPR, FLD, and FD) can facilitate cluster reduction and thus activate 2,3-LAM.  </w:t>
            </w:r>
          </w:p>
        </w:tc>
        <w:tc>
          <w:tcPr>
            <w:tcW w:w="1673" w:type="dxa"/>
          </w:tcPr>
          <w:p w14:paraId="3C6A6A69" w14:textId="77777777" w:rsidR="00D26731" w:rsidRPr="001E531C" w:rsidRDefault="00D26731" w:rsidP="00013746">
            <w:pPr>
              <w:rPr>
                <w:sz w:val="20"/>
                <w:szCs w:val="20"/>
              </w:rPr>
            </w:pPr>
            <w:r>
              <w:rPr>
                <w:noProof/>
                <w:sz w:val="20"/>
                <w:szCs w:val="20"/>
              </w:rPr>
              <w:lastRenderedPageBreak/>
              <w:t>(Brazeau et al. 2006)</w:t>
            </w:r>
          </w:p>
        </w:tc>
      </w:tr>
    </w:tbl>
    <w:p w14:paraId="6565DDA8" w14:textId="77777777" w:rsidR="00FA14F3" w:rsidRDefault="00E868E0"/>
    <w:sectPr w:rsidR="00FA14F3" w:rsidSect="00AA2626">
      <w:headerReference w:type="even" r:id="rId7"/>
      <w:headerReference w:type="default" r:id="rId8"/>
      <w:footerReference w:type="even" r:id="rId9"/>
      <w:footerReference w:type="default" r:id="rId10"/>
      <w:head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A7C1" w14:textId="77777777" w:rsidR="00E868E0" w:rsidRDefault="00E868E0">
      <w:r>
        <w:separator/>
      </w:r>
    </w:p>
  </w:endnote>
  <w:endnote w:type="continuationSeparator" w:id="0">
    <w:p w14:paraId="79B16E72" w14:textId="77777777" w:rsidR="00E868E0" w:rsidRDefault="00E8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9B09" w14:textId="77777777" w:rsidR="00686C9D" w:rsidRPr="00577C4C" w:rsidRDefault="00AA2626">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61312" behindDoc="0" locked="0" layoutInCell="1" allowOverlap="1" wp14:anchorId="662C67BC" wp14:editId="50948404">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5B96526B" w14:textId="77777777" w:rsidR="00686C9D" w:rsidRPr="00E9561B" w:rsidRDefault="00AA2626">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C67BC"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" stroked="f">
              <v:textbox style="mso-fit-shape-to-text:t">
                <w:txbxContent>
                  <w:p w14:paraId="5B96526B" w14:textId="77777777" w:rsidR="00686C9D" w:rsidRPr="00E9561B" w:rsidRDefault="00AA2626">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6C997CCB" wp14:editId="575574CD">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F891660" w14:textId="77777777" w:rsidR="00686C9D" w:rsidRPr="00577C4C" w:rsidRDefault="00AA262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997CCB" id="Text Box 1" o:spid="_x0000_s1027"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4F891660" w14:textId="77777777" w:rsidR="00686C9D" w:rsidRPr="00577C4C" w:rsidRDefault="00AA262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DC8E" w14:textId="77777777" w:rsidR="00686C9D" w:rsidRPr="00577C4C" w:rsidRDefault="00AA2626">
    <w:pPr>
      <w:pStyle w:val="Footer"/>
      <w:rPr>
        <w:b/>
        <w:sz w:val="20"/>
        <w:szCs w:val="24"/>
      </w:rPr>
    </w:pPr>
    <w:r>
      <w:rPr>
        <w:noProof/>
        <w:lang w:val="en-GB" w:eastAsia="en-GB"/>
      </w:rPr>
      <mc:AlternateContent>
        <mc:Choice Requires="wps">
          <w:drawing>
            <wp:anchor distT="0" distB="0" distL="114300" distR="114300" simplePos="0" relativeHeight="251659264" behindDoc="0" locked="0" layoutInCell="1" allowOverlap="1" wp14:anchorId="046EBC76" wp14:editId="2740A222">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19E871A" w14:textId="77777777" w:rsidR="00686C9D" w:rsidRPr="00577C4C" w:rsidRDefault="00AA262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6EBC76"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6CDIg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" filled="f" stroked="f" strokeweight=".5pt">
              <v:textbox style="mso-fit-shape-to-text:t">
                <w:txbxContent>
                  <w:p w14:paraId="119E871A" w14:textId="77777777" w:rsidR="00686C9D" w:rsidRPr="00577C4C" w:rsidRDefault="00AA262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A948" w14:textId="77777777" w:rsidR="00E868E0" w:rsidRDefault="00E868E0">
      <w:r>
        <w:separator/>
      </w:r>
    </w:p>
  </w:footnote>
  <w:footnote w:type="continuationSeparator" w:id="0">
    <w:p w14:paraId="766CD32B" w14:textId="77777777" w:rsidR="00E868E0" w:rsidRDefault="00E86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1649" w14:textId="77777777" w:rsidR="00686C9D" w:rsidRPr="007E3148" w:rsidRDefault="00AA2626" w:rsidP="00205CB7">
    <w:pPr>
      <w:pStyle w:val="Header"/>
      <w:jc w:val="right"/>
    </w:pPr>
    <w:r>
      <w:t>Allostery of PLP-dependent enzymes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B520" w14:textId="77777777" w:rsidR="00686C9D" w:rsidRPr="00E26585" w:rsidRDefault="00AA2626" w:rsidP="00E26585">
    <w:pPr>
      <w:pStyle w:val="Header"/>
      <w:jc w:val="right"/>
    </w:pPr>
    <w:r>
      <w:t>Allostery of PLP-dependent enzymes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E45B" w14:textId="77777777" w:rsidR="00686C9D" w:rsidRDefault="00AA2626" w:rsidP="00A53000">
    <w:pPr>
      <w:pStyle w:val="Header"/>
    </w:pPr>
    <w:r w:rsidRPr="005A1D84">
      <w:rPr>
        <w:noProof/>
        <w:color w:val="A6A6A6" w:themeColor="background1" w:themeShade="A6"/>
        <w:lang w:val="en-GB" w:eastAsia="en-GB"/>
      </w:rPr>
      <w:drawing>
        <wp:inline distT="0" distB="0" distL="0" distR="0" wp14:anchorId="7598ACB8" wp14:editId="7D26FBC9">
          <wp:extent cx="1382534" cy="497091"/>
          <wp:effectExtent l="0" t="0" r="0" b="0"/>
          <wp:docPr id="3" name="Picture 3"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48E"/>
    <w:multiLevelType w:val="hybridMultilevel"/>
    <w:tmpl w:val="07824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87B80"/>
    <w:multiLevelType w:val="hybridMultilevel"/>
    <w:tmpl w:val="105E47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6"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3B1E64"/>
    <w:multiLevelType w:val="hybridMultilevel"/>
    <w:tmpl w:val="B0B20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A7CAC"/>
    <w:multiLevelType w:val="multilevel"/>
    <w:tmpl w:val="C6A8CCEA"/>
    <w:numStyleLink w:val="Headings"/>
  </w:abstractNum>
  <w:abstractNum w:abstractNumId="9"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C6BCB"/>
    <w:multiLevelType w:val="hybridMultilevel"/>
    <w:tmpl w:val="8974C9C8"/>
    <w:lvl w:ilvl="0" w:tplc="4FF83FCA">
      <w:start w:val="1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D0CEB"/>
    <w:multiLevelType w:val="hybridMultilevel"/>
    <w:tmpl w:val="6AEE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C6F29"/>
    <w:multiLevelType w:val="multilevel"/>
    <w:tmpl w:val="C6A8CCEA"/>
    <w:numStyleLink w:val="Headings"/>
  </w:abstractNum>
  <w:abstractNum w:abstractNumId="22"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6"/>
  </w:num>
  <w:num w:numId="3">
    <w:abstractNumId w:val="2"/>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9"/>
  </w:num>
  <w:num w:numId="9">
    <w:abstractNumId w:val="12"/>
  </w:num>
  <w:num w:numId="10">
    <w:abstractNumId w:val="10"/>
  </w:num>
  <w:num w:numId="11">
    <w:abstractNumId w:val="4"/>
  </w:num>
  <w:num w:numId="12">
    <w:abstractNumId w:val="22"/>
  </w:num>
  <w:num w:numId="13">
    <w:abstractNumId w:val="15"/>
  </w:num>
  <w:num w:numId="14">
    <w:abstractNumId w:val="6"/>
  </w:num>
  <w:num w:numId="15">
    <w:abstractNumId w:val="14"/>
  </w:num>
  <w:num w:numId="16">
    <w:abstractNumId w:val="17"/>
  </w:num>
  <w:num w:numId="17">
    <w:abstractNumId w:val="5"/>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1"/>
  </w:num>
  <w:num w:numId="21">
    <w:abstractNumId w:val="5"/>
  </w:num>
  <w:num w:numId="22">
    <w:abstractNumId w:val="5"/>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0"/>
  </w:num>
  <w:num w:numId="24">
    <w:abstractNumId w:val="19"/>
  </w:num>
  <w:num w:numId="25">
    <w:abstractNumId w:val="7"/>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26731"/>
    <w:rsid w:val="00001FBC"/>
    <w:rsid w:val="0001638F"/>
    <w:rsid w:val="00031C82"/>
    <w:rsid w:val="000F222C"/>
    <w:rsid w:val="00111487"/>
    <w:rsid w:val="001308CC"/>
    <w:rsid w:val="00143FA6"/>
    <w:rsid w:val="00146514"/>
    <w:rsid w:val="001646C5"/>
    <w:rsid w:val="00176EC7"/>
    <w:rsid w:val="00194335"/>
    <w:rsid w:val="001C58AA"/>
    <w:rsid w:val="001D6815"/>
    <w:rsid w:val="001F60AA"/>
    <w:rsid w:val="0023224A"/>
    <w:rsid w:val="00256924"/>
    <w:rsid w:val="002669C8"/>
    <w:rsid w:val="00267FF8"/>
    <w:rsid w:val="0027610D"/>
    <w:rsid w:val="0029240F"/>
    <w:rsid w:val="00293D14"/>
    <w:rsid w:val="002C7248"/>
    <w:rsid w:val="002D2744"/>
    <w:rsid w:val="002D3D15"/>
    <w:rsid w:val="00335066"/>
    <w:rsid w:val="00335525"/>
    <w:rsid w:val="00341B31"/>
    <w:rsid w:val="003D4949"/>
    <w:rsid w:val="004012D5"/>
    <w:rsid w:val="0044120A"/>
    <w:rsid w:val="00464304"/>
    <w:rsid w:val="00482B50"/>
    <w:rsid w:val="0049538D"/>
    <w:rsid w:val="004D472E"/>
    <w:rsid w:val="004D4F00"/>
    <w:rsid w:val="004E7702"/>
    <w:rsid w:val="004F073B"/>
    <w:rsid w:val="00532E8E"/>
    <w:rsid w:val="00536751"/>
    <w:rsid w:val="00546128"/>
    <w:rsid w:val="00575477"/>
    <w:rsid w:val="005A3291"/>
    <w:rsid w:val="005B4089"/>
    <w:rsid w:val="005B41A0"/>
    <w:rsid w:val="005B76DC"/>
    <w:rsid w:val="005D0828"/>
    <w:rsid w:val="005D73F1"/>
    <w:rsid w:val="005E4231"/>
    <w:rsid w:val="005E4417"/>
    <w:rsid w:val="005F3889"/>
    <w:rsid w:val="00615DD4"/>
    <w:rsid w:val="006310CA"/>
    <w:rsid w:val="006633FE"/>
    <w:rsid w:val="00664AEC"/>
    <w:rsid w:val="006B4428"/>
    <w:rsid w:val="006C2576"/>
    <w:rsid w:val="006D0B5B"/>
    <w:rsid w:val="00707B62"/>
    <w:rsid w:val="007307BA"/>
    <w:rsid w:val="00733FC8"/>
    <w:rsid w:val="00735FAA"/>
    <w:rsid w:val="007476C4"/>
    <w:rsid w:val="00747DCA"/>
    <w:rsid w:val="00751275"/>
    <w:rsid w:val="00767422"/>
    <w:rsid w:val="00770938"/>
    <w:rsid w:val="007739F3"/>
    <w:rsid w:val="007D52AA"/>
    <w:rsid w:val="007D7E40"/>
    <w:rsid w:val="007E5B2B"/>
    <w:rsid w:val="008232B0"/>
    <w:rsid w:val="00837B63"/>
    <w:rsid w:val="00873378"/>
    <w:rsid w:val="00877BE7"/>
    <w:rsid w:val="008958C2"/>
    <w:rsid w:val="008A4910"/>
    <w:rsid w:val="008B7F64"/>
    <w:rsid w:val="0093697D"/>
    <w:rsid w:val="00945B76"/>
    <w:rsid w:val="00963EFD"/>
    <w:rsid w:val="009A378F"/>
    <w:rsid w:val="009B3308"/>
    <w:rsid w:val="009E1A24"/>
    <w:rsid w:val="00A0183D"/>
    <w:rsid w:val="00A40EE3"/>
    <w:rsid w:val="00AA2626"/>
    <w:rsid w:val="00AD5610"/>
    <w:rsid w:val="00AE3DD6"/>
    <w:rsid w:val="00AE66AC"/>
    <w:rsid w:val="00B05270"/>
    <w:rsid w:val="00B25844"/>
    <w:rsid w:val="00B33867"/>
    <w:rsid w:val="00B3400B"/>
    <w:rsid w:val="00B35D73"/>
    <w:rsid w:val="00B52A16"/>
    <w:rsid w:val="00B535A8"/>
    <w:rsid w:val="00BE4147"/>
    <w:rsid w:val="00C40FC1"/>
    <w:rsid w:val="00C94FB6"/>
    <w:rsid w:val="00C96B5F"/>
    <w:rsid w:val="00CA3A98"/>
    <w:rsid w:val="00CB0DAF"/>
    <w:rsid w:val="00CD2B03"/>
    <w:rsid w:val="00CD5AE2"/>
    <w:rsid w:val="00D00BC9"/>
    <w:rsid w:val="00D02D10"/>
    <w:rsid w:val="00D2625B"/>
    <w:rsid w:val="00D26731"/>
    <w:rsid w:val="00D51D6A"/>
    <w:rsid w:val="00D75773"/>
    <w:rsid w:val="00D85879"/>
    <w:rsid w:val="00D901F3"/>
    <w:rsid w:val="00DE6B9F"/>
    <w:rsid w:val="00E03115"/>
    <w:rsid w:val="00E250E5"/>
    <w:rsid w:val="00E868E0"/>
    <w:rsid w:val="00EA3E47"/>
    <w:rsid w:val="00ED64DB"/>
    <w:rsid w:val="00F2206E"/>
    <w:rsid w:val="00F550EE"/>
    <w:rsid w:val="00F82977"/>
    <w:rsid w:val="00F859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B33D02D"/>
  <w14:defaultImageDpi w14:val="32767"/>
  <w15:chartTrackingRefBased/>
  <w15:docId w15:val="{77F16F6D-D49A-F74C-8444-458EA3F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6731"/>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2"/>
    <w:qFormat/>
    <w:rsid w:val="00D26731"/>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26731"/>
    <w:pPr>
      <w:numPr>
        <w:ilvl w:val="1"/>
      </w:numPr>
      <w:spacing w:after="200"/>
      <w:outlineLvl w:val="1"/>
    </w:pPr>
  </w:style>
  <w:style w:type="paragraph" w:styleId="Heading3">
    <w:name w:val="heading 3"/>
    <w:basedOn w:val="Normal"/>
    <w:next w:val="Normal"/>
    <w:link w:val="Heading3Char"/>
    <w:uiPriority w:val="2"/>
    <w:qFormat/>
    <w:rsid w:val="00D26731"/>
    <w:pPr>
      <w:keepNext/>
      <w:keepLines/>
      <w:numPr>
        <w:ilvl w:val="2"/>
        <w:numId w:val="17"/>
      </w:numPr>
      <w:spacing w:before="40" w:after="120"/>
      <w:outlineLvl w:val="2"/>
    </w:pPr>
    <w:rPr>
      <w:rFonts w:eastAsiaTheme="majorEastAsia" w:cstheme="majorBidi"/>
      <w:b/>
    </w:rPr>
  </w:style>
  <w:style w:type="paragraph" w:styleId="Heading4">
    <w:name w:val="heading 4"/>
    <w:basedOn w:val="Heading3"/>
    <w:next w:val="Normal"/>
    <w:link w:val="Heading4Char"/>
    <w:uiPriority w:val="2"/>
    <w:qFormat/>
    <w:rsid w:val="00D26731"/>
    <w:pPr>
      <w:numPr>
        <w:ilvl w:val="3"/>
      </w:numPr>
      <w:outlineLvl w:val="3"/>
    </w:pPr>
    <w:rPr>
      <w:iCs/>
    </w:rPr>
  </w:style>
  <w:style w:type="paragraph" w:styleId="Heading5">
    <w:name w:val="heading 5"/>
    <w:basedOn w:val="Heading4"/>
    <w:next w:val="Normal"/>
    <w:link w:val="Heading5Char"/>
    <w:uiPriority w:val="2"/>
    <w:qFormat/>
    <w:rsid w:val="00D2673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26731"/>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D26731"/>
    <w:rPr>
      <w:rFonts w:ascii="Times New Roman" w:eastAsia="Cambria" w:hAnsi="Times New Roman" w:cs="Times New Roman"/>
      <w:b/>
      <w:sz w:val="24"/>
      <w:szCs w:val="24"/>
    </w:rPr>
  </w:style>
  <w:style w:type="character" w:customStyle="1" w:styleId="Heading3Char">
    <w:name w:val="Heading 3 Char"/>
    <w:basedOn w:val="DefaultParagraphFont"/>
    <w:link w:val="Heading3"/>
    <w:uiPriority w:val="2"/>
    <w:rsid w:val="00D26731"/>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D26731"/>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D26731"/>
    <w:rPr>
      <w:rFonts w:ascii="Times New Roman" w:eastAsiaTheme="majorEastAsia" w:hAnsi="Times New Roman" w:cstheme="majorBidi"/>
      <w:b/>
      <w:iCs/>
      <w:sz w:val="24"/>
      <w:szCs w:val="24"/>
    </w:rPr>
  </w:style>
  <w:style w:type="character" w:styleId="Emphasis">
    <w:name w:val="Emphasis"/>
    <w:basedOn w:val="DefaultParagraphFont"/>
    <w:uiPriority w:val="20"/>
    <w:qFormat/>
    <w:rsid w:val="00D26731"/>
    <w:rPr>
      <w:rFonts w:ascii="Times New Roman" w:hAnsi="Times New Roman"/>
      <w:i/>
      <w:iCs/>
    </w:rPr>
  </w:style>
  <w:style w:type="paragraph" w:styleId="ListParagraph">
    <w:name w:val="List Paragraph"/>
    <w:basedOn w:val="Normal"/>
    <w:link w:val="ListParagraphChar"/>
    <w:uiPriority w:val="34"/>
    <w:qFormat/>
    <w:rsid w:val="00D26731"/>
    <w:pPr>
      <w:numPr>
        <w:numId w:val="14"/>
      </w:numPr>
      <w:spacing w:before="120" w:after="240"/>
      <w:ind w:left="1434" w:hanging="357"/>
      <w:contextualSpacing/>
    </w:pPr>
    <w:rPr>
      <w:rFonts w:eastAsia="Cambria"/>
    </w:rPr>
  </w:style>
  <w:style w:type="character" w:styleId="Strong">
    <w:name w:val="Strong"/>
    <w:basedOn w:val="DefaultParagraphFont"/>
    <w:uiPriority w:val="22"/>
    <w:qFormat/>
    <w:rsid w:val="00D26731"/>
    <w:rPr>
      <w:rFonts w:ascii="Times New Roman" w:hAnsi="Times New Roman"/>
      <w:b/>
      <w:bCs/>
    </w:rPr>
  </w:style>
  <w:style w:type="paragraph" w:styleId="NormalWeb">
    <w:name w:val="Normal (Web)"/>
    <w:basedOn w:val="Normal"/>
    <w:uiPriority w:val="99"/>
    <w:unhideWhenUsed/>
    <w:rsid w:val="00D26731"/>
    <w:pPr>
      <w:spacing w:before="100" w:beforeAutospacing="1" w:after="100" w:afterAutospacing="1"/>
    </w:pPr>
  </w:style>
  <w:style w:type="paragraph" w:styleId="Header">
    <w:name w:val="header"/>
    <w:basedOn w:val="Normal"/>
    <w:link w:val="HeaderChar"/>
    <w:uiPriority w:val="99"/>
    <w:unhideWhenUsed/>
    <w:rsid w:val="00D26731"/>
    <w:pPr>
      <w:tabs>
        <w:tab w:val="center" w:pos="4844"/>
        <w:tab w:val="right" w:pos="9689"/>
      </w:tabs>
      <w:spacing w:before="120" w:after="240"/>
    </w:pPr>
    <w:rPr>
      <w:rFonts w:eastAsiaTheme="minorHAnsi" w:cstheme="minorBidi"/>
      <w:b/>
      <w:szCs w:val="22"/>
    </w:rPr>
  </w:style>
  <w:style w:type="character" w:customStyle="1" w:styleId="HeaderChar">
    <w:name w:val="Header Char"/>
    <w:basedOn w:val="DefaultParagraphFont"/>
    <w:link w:val="Header"/>
    <w:uiPriority w:val="99"/>
    <w:rsid w:val="00D26731"/>
    <w:rPr>
      <w:rFonts w:ascii="Times New Roman" w:hAnsi="Times New Roman" w:cstheme="minorBidi"/>
      <w:b/>
      <w:sz w:val="24"/>
    </w:rPr>
  </w:style>
  <w:style w:type="paragraph" w:styleId="Footer">
    <w:name w:val="footer"/>
    <w:basedOn w:val="Normal"/>
    <w:link w:val="FooterChar"/>
    <w:uiPriority w:val="99"/>
    <w:unhideWhenUsed/>
    <w:rsid w:val="00D26731"/>
    <w:pPr>
      <w:tabs>
        <w:tab w:val="center" w:pos="4844"/>
        <w:tab w:val="right" w:pos="9689"/>
      </w:tabs>
      <w:spacing w:before="120"/>
    </w:pPr>
    <w:rPr>
      <w:rFonts w:eastAsiaTheme="minorHAnsi" w:cstheme="minorBidi"/>
      <w:szCs w:val="22"/>
    </w:rPr>
  </w:style>
  <w:style w:type="character" w:customStyle="1" w:styleId="FooterChar">
    <w:name w:val="Footer Char"/>
    <w:basedOn w:val="DefaultParagraphFont"/>
    <w:link w:val="Footer"/>
    <w:uiPriority w:val="99"/>
    <w:rsid w:val="00D26731"/>
    <w:rPr>
      <w:rFonts w:ascii="Times New Roman" w:hAnsi="Times New Roman" w:cstheme="minorBidi"/>
      <w:sz w:val="24"/>
    </w:rPr>
  </w:style>
  <w:style w:type="table" w:styleId="TableGrid">
    <w:name w:val="Table Grid"/>
    <w:basedOn w:val="TableNormal"/>
    <w:uiPriority w:val="59"/>
    <w:rsid w:val="00D26731"/>
    <w:rPr>
      <w:rFonts w:asciiTheme="majorHAnsi" w:eastAsiaTheme="minorEastAsia" w:hAnsiTheme="maj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6731"/>
    <w:pPr>
      <w:spacing w:before="12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D26731"/>
    <w:rPr>
      <w:rFonts w:ascii="Times New Roman" w:hAnsi="Times New Roman" w:cstheme="minorBidi"/>
      <w:sz w:val="20"/>
      <w:szCs w:val="20"/>
    </w:rPr>
  </w:style>
  <w:style w:type="character" w:styleId="FootnoteReference">
    <w:name w:val="footnote reference"/>
    <w:basedOn w:val="DefaultParagraphFont"/>
    <w:uiPriority w:val="99"/>
    <w:semiHidden/>
    <w:unhideWhenUsed/>
    <w:rsid w:val="00D26731"/>
    <w:rPr>
      <w:vertAlign w:val="superscript"/>
    </w:rPr>
  </w:style>
  <w:style w:type="paragraph" w:styleId="Caption">
    <w:name w:val="caption"/>
    <w:basedOn w:val="Normal"/>
    <w:next w:val="NoSpacing"/>
    <w:uiPriority w:val="35"/>
    <w:unhideWhenUsed/>
    <w:qFormat/>
    <w:rsid w:val="00D26731"/>
    <w:pPr>
      <w:keepNext/>
      <w:spacing w:before="120" w:after="240"/>
    </w:pPr>
    <w:rPr>
      <w:rFonts w:eastAsiaTheme="minorHAnsi"/>
      <w:b/>
      <w:bCs/>
    </w:rPr>
  </w:style>
  <w:style w:type="paragraph" w:styleId="BalloonText">
    <w:name w:val="Balloon Text"/>
    <w:basedOn w:val="Normal"/>
    <w:link w:val="BalloonTextChar"/>
    <w:uiPriority w:val="99"/>
    <w:semiHidden/>
    <w:unhideWhenUsed/>
    <w:rsid w:val="00D26731"/>
    <w:pPr>
      <w:spacing w:before="12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6731"/>
    <w:rPr>
      <w:rFonts w:ascii="Tahoma" w:hAnsi="Tahoma" w:cs="Tahoma"/>
      <w:sz w:val="16"/>
      <w:szCs w:val="16"/>
    </w:rPr>
  </w:style>
  <w:style w:type="character" w:styleId="LineNumber">
    <w:name w:val="line number"/>
    <w:basedOn w:val="DefaultParagraphFont"/>
    <w:uiPriority w:val="99"/>
    <w:semiHidden/>
    <w:unhideWhenUsed/>
    <w:rsid w:val="00D26731"/>
  </w:style>
  <w:style w:type="paragraph" w:styleId="EndnoteText">
    <w:name w:val="endnote text"/>
    <w:basedOn w:val="Normal"/>
    <w:link w:val="EndnoteTextChar"/>
    <w:uiPriority w:val="99"/>
    <w:semiHidden/>
    <w:unhideWhenUsed/>
    <w:rsid w:val="00D26731"/>
    <w:pPr>
      <w:spacing w:before="120"/>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26731"/>
    <w:rPr>
      <w:rFonts w:ascii="Times New Roman" w:hAnsi="Times New Roman" w:cstheme="minorBidi"/>
      <w:sz w:val="20"/>
      <w:szCs w:val="20"/>
    </w:rPr>
  </w:style>
  <w:style w:type="character" w:styleId="EndnoteReference">
    <w:name w:val="endnote reference"/>
    <w:basedOn w:val="DefaultParagraphFont"/>
    <w:uiPriority w:val="99"/>
    <w:semiHidden/>
    <w:unhideWhenUsed/>
    <w:rsid w:val="00D26731"/>
    <w:rPr>
      <w:vertAlign w:val="superscript"/>
    </w:rPr>
  </w:style>
  <w:style w:type="character" w:styleId="CommentReference">
    <w:name w:val="annotation reference"/>
    <w:basedOn w:val="DefaultParagraphFont"/>
    <w:uiPriority w:val="99"/>
    <w:semiHidden/>
    <w:unhideWhenUsed/>
    <w:rsid w:val="00D26731"/>
    <w:rPr>
      <w:sz w:val="16"/>
      <w:szCs w:val="16"/>
    </w:rPr>
  </w:style>
  <w:style w:type="paragraph" w:styleId="CommentText">
    <w:name w:val="annotation text"/>
    <w:basedOn w:val="Normal"/>
    <w:link w:val="CommentTextChar"/>
    <w:uiPriority w:val="99"/>
    <w:semiHidden/>
    <w:unhideWhenUsed/>
    <w:rsid w:val="00D26731"/>
    <w:pPr>
      <w:spacing w:before="120" w:after="24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D26731"/>
    <w:rPr>
      <w:rFonts w:ascii="Times New Roman"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D26731"/>
    <w:rPr>
      <w:b/>
      <w:bCs/>
    </w:rPr>
  </w:style>
  <w:style w:type="character" w:customStyle="1" w:styleId="CommentSubjectChar">
    <w:name w:val="Comment Subject Char"/>
    <w:basedOn w:val="CommentTextChar"/>
    <w:link w:val="CommentSubject"/>
    <w:uiPriority w:val="99"/>
    <w:semiHidden/>
    <w:rsid w:val="00D26731"/>
    <w:rPr>
      <w:rFonts w:ascii="Times New Roman" w:hAnsi="Times New Roman" w:cstheme="minorBidi"/>
      <w:b/>
      <w:bCs/>
      <w:sz w:val="20"/>
      <w:szCs w:val="20"/>
    </w:rPr>
  </w:style>
  <w:style w:type="character" w:styleId="Hyperlink">
    <w:name w:val="Hyperlink"/>
    <w:basedOn w:val="DefaultParagraphFont"/>
    <w:uiPriority w:val="99"/>
    <w:unhideWhenUsed/>
    <w:rsid w:val="00D26731"/>
    <w:rPr>
      <w:color w:val="0000FF"/>
      <w:u w:val="single"/>
    </w:rPr>
  </w:style>
  <w:style w:type="character" w:styleId="FollowedHyperlink">
    <w:name w:val="FollowedHyperlink"/>
    <w:basedOn w:val="DefaultParagraphFont"/>
    <w:uiPriority w:val="99"/>
    <w:semiHidden/>
    <w:unhideWhenUsed/>
    <w:rsid w:val="00D26731"/>
    <w:rPr>
      <w:color w:val="954F72" w:themeColor="followedHyperlink"/>
      <w:u w:val="single"/>
    </w:rPr>
  </w:style>
  <w:style w:type="paragraph" w:styleId="Title">
    <w:name w:val="Title"/>
    <w:basedOn w:val="Normal"/>
    <w:next w:val="Normal"/>
    <w:link w:val="TitleChar"/>
    <w:qFormat/>
    <w:rsid w:val="00D26731"/>
    <w:pPr>
      <w:suppressLineNumbers/>
      <w:spacing w:before="240" w:after="360"/>
      <w:jc w:val="center"/>
    </w:pPr>
    <w:rPr>
      <w:rFonts w:eastAsiaTheme="minorHAnsi"/>
      <w:b/>
      <w:sz w:val="32"/>
      <w:szCs w:val="32"/>
    </w:rPr>
  </w:style>
  <w:style w:type="character" w:customStyle="1" w:styleId="TitleChar">
    <w:name w:val="Title Char"/>
    <w:basedOn w:val="DefaultParagraphFont"/>
    <w:link w:val="Title"/>
    <w:rsid w:val="00D26731"/>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D26731"/>
    <w:pPr>
      <w:spacing w:before="240" w:after="240"/>
    </w:pPr>
    <w:rPr>
      <w:rFonts w:eastAsiaTheme="minorHAnsi"/>
      <w:b/>
    </w:rPr>
  </w:style>
  <w:style w:type="character" w:customStyle="1" w:styleId="SubtitleChar">
    <w:name w:val="Subtitle Char"/>
    <w:basedOn w:val="DefaultParagraphFont"/>
    <w:link w:val="Subtitle"/>
    <w:uiPriority w:val="99"/>
    <w:rsid w:val="00D26731"/>
    <w:rPr>
      <w:rFonts w:ascii="Times New Roman" w:hAnsi="Times New Roman" w:cs="Times New Roman"/>
      <w:b/>
      <w:sz w:val="24"/>
      <w:szCs w:val="24"/>
    </w:rPr>
  </w:style>
  <w:style w:type="paragraph" w:styleId="NoSpacing">
    <w:name w:val="No Spacing"/>
    <w:uiPriority w:val="99"/>
    <w:unhideWhenUsed/>
    <w:qFormat/>
    <w:rsid w:val="00D26731"/>
    <w:rPr>
      <w:rFonts w:ascii="Times New Roman" w:eastAsiaTheme="minorEastAsia" w:hAnsi="Times New Roman" w:cstheme="minorBidi"/>
      <w:sz w:val="24"/>
    </w:rPr>
  </w:style>
  <w:style w:type="paragraph" w:customStyle="1" w:styleId="AuthorList">
    <w:name w:val="Author List"/>
    <w:aliases w:val="Keywords,Abstract"/>
    <w:basedOn w:val="Subtitle"/>
    <w:next w:val="Normal"/>
    <w:uiPriority w:val="1"/>
    <w:qFormat/>
    <w:rsid w:val="00D26731"/>
  </w:style>
  <w:style w:type="character" w:styleId="SubtleEmphasis">
    <w:name w:val="Subtle Emphasis"/>
    <w:basedOn w:val="DefaultParagraphFont"/>
    <w:uiPriority w:val="19"/>
    <w:qFormat/>
    <w:rsid w:val="00D26731"/>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D26731"/>
    <w:rPr>
      <w:rFonts w:ascii="Times New Roman" w:hAnsi="Times New Roman"/>
      <w:i/>
      <w:iCs/>
      <w:color w:val="auto"/>
    </w:rPr>
  </w:style>
  <w:style w:type="paragraph" w:styleId="Quote">
    <w:name w:val="Quote"/>
    <w:basedOn w:val="Normal"/>
    <w:next w:val="Normal"/>
    <w:link w:val="QuoteChar"/>
    <w:uiPriority w:val="29"/>
    <w:qFormat/>
    <w:rsid w:val="00D26731"/>
    <w:pPr>
      <w:spacing w:before="200" w:after="160"/>
      <w:ind w:left="864" w:right="864"/>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D26731"/>
    <w:rPr>
      <w:rFonts w:ascii="Times New Roman" w:hAnsi="Times New Roman" w:cstheme="minorBidi"/>
      <w:i/>
      <w:iCs/>
      <w:color w:val="404040" w:themeColor="text1" w:themeTint="BF"/>
      <w:sz w:val="24"/>
    </w:rPr>
  </w:style>
  <w:style w:type="character" w:styleId="IntenseReference">
    <w:name w:val="Intense Reference"/>
    <w:basedOn w:val="DefaultParagraphFont"/>
    <w:uiPriority w:val="32"/>
    <w:qFormat/>
    <w:rsid w:val="00D26731"/>
    <w:rPr>
      <w:b/>
      <w:bCs/>
      <w:smallCaps/>
      <w:color w:val="auto"/>
      <w:spacing w:val="5"/>
    </w:rPr>
  </w:style>
  <w:style w:type="character" w:styleId="BookTitle">
    <w:name w:val="Book Title"/>
    <w:basedOn w:val="DefaultParagraphFont"/>
    <w:uiPriority w:val="33"/>
    <w:qFormat/>
    <w:rsid w:val="00D26731"/>
    <w:rPr>
      <w:rFonts w:ascii="Times New Roman" w:hAnsi="Times New Roman"/>
      <w:b/>
      <w:bCs/>
      <w:i/>
      <w:iCs/>
      <w:spacing w:val="5"/>
    </w:rPr>
  </w:style>
  <w:style w:type="numbering" w:customStyle="1" w:styleId="Headings">
    <w:name w:val="Headings"/>
    <w:uiPriority w:val="99"/>
    <w:rsid w:val="00D26731"/>
    <w:pPr>
      <w:numPr>
        <w:numId w:val="21"/>
      </w:numPr>
    </w:pPr>
  </w:style>
  <w:style w:type="paragraph" w:styleId="Revision">
    <w:name w:val="Revision"/>
    <w:hidden/>
    <w:uiPriority w:val="99"/>
    <w:semiHidden/>
    <w:rsid w:val="00D26731"/>
    <w:rPr>
      <w:rFonts w:ascii="Times New Roman" w:eastAsiaTheme="minorEastAsia" w:hAnsi="Times New Roman" w:cstheme="minorBidi"/>
      <w:sz w:val="24"/>
    </w:rPr>
  </w:style>
  <w:style w:type="paragraph" w:customStyle="1" w:styleId="EndNoteBibliographyTitle">
    <w:name w:val="EndNote Bibliography Title"/>
    <w:basedOn w:val="Normal"/>
    <w:link w:val="EndNoteBibliographyTitleChar"/>
    <w:rsid w:val="00D26731"/>
    <w:pPr>
      <w:spacing w:before="120"/>
      <w:jc w:val="center"/>
    </w:pPr>
    <w:rPr>
      <w:rFonts w:eastAsiaTheme="minorHAnsi"/>
      <w:szCs w:val="22"/>
    </w:rPr>
  </w:style>
  <w:style w:type="character" w:customStyle="1" w:styleId="EndNoteBibliographyTitleChar">
    <w:name w:val="EndNote Bibliography Title Char"/>
    <w:basedOn w:val="DefaultParagraphFont"/>
    <w:link w:val="EndNoteBibliographyTitle"/>
    <w:rsid w:val="00D26731"/>
    <w:rPr>
      <w:rFonts w:ascii="Times New Roman" w:hAnsi="Times New Roman" w:cs="Times New Roman"/>
      <w:sz w:val="24"/>
    </w:rPr>
  </w:style>
  <w:style w:type="paragraph" w:customStyle="1" w:styleId="EndNoteBibliography">
    <w:name w:val="EndNote Bibliography"/>
    <w:basedOn w:val="Normal"/>
    <w:link w:val="EndNoteBibliographyChar"/>
    <w:rsid w:val="00D26731"/>
    <w:pPr>
      <w:spacing w:before="120" w:after="240"/>
    </w:pPr>
    <w:rPr>
      <w:rFonts w:eastAsiaTheme="minorHAnsi"/>
      <w:szCs w:val="22"/>
    </w:rPr>
  </w:style>
  <w:style w:type="character" w:customStyle="1" w:styleId="EndNoteBibliographyChar">
    <w:name w:val="EndNote Bibliography Char"/>
    <w:basedOn w:val="DefaultParagraphFont"/>
    <w:link w:val="EndNoteBibliography"/>
    <w:rsid w:val="00D26731"/>
    <w:rPr>
      <w:rFonts w:ascii="Times New Roman" w:hAnsi="Times New Roman" w:cs="Times New Roman"/>
      <w:sz w:val="24"/>
    </w:rPr>
  </w:style>
  <w:style w:type="character" w:customStyle="1" w:styleId="ListParagraphChar">
    <w:name w:val="List Paragraph Char"/>
    <w:basedOn w:val="DefaultParagraphFont"/>
    <w:link w:val="ListParagraph"/>
    <w:uiPriority w:val="34"/>
    <w:rsid w:val="00D26731"/>
    <w:rPr>
      <w:rFonts w:ascii="Times New Roman" w:eastAsia="Cambr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Breann</dc:creator>
  <cp:keywords/>
  <dc:description/>
  <cp:lastModifiedBy>Brown, Breann</cp:lastModifiedBy>
  <cp:revision>3</cp:revision>
  <dcterms:created xsi:type="dcterms:W3CDTF">2022-04-11T20:08:00Z</dcterms:created>
  <dcterms:modified xsi:type="dcterms:W3CDTF">2022-04-11T20:09:00Z</dcterms:modified>
</cp:coreProperties>
</file>