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Additional material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tbl>
      <w:tblPr>
        <w:tblStyle w:val="3"/>
        <w:tblW w:w="8226" w:type="dxa"/>
        <w:tblInd w:w="-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33"/>
        <w:gridCol w:w="2857"/>
        <w:gridCol w:w="240"/>
        <w:gridCol w:w="2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2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Tab. DS1. Association of suicidal behaviors with CM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Variable</w:t>
            </w:r>
          </w:p>
        </w:tc>
        <w:tc>
          <w:tcPr>
            <w:tcW w:w="28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Adjusted OR (95%CI)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  <w:t>a</w:t>
            </w:r>
          </w:p>
        </w:tc>
        <w:tc>
          <w:tcPr>
            <w:tcW w:w="24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Adjusted OR (95%CI)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SI</w:t>
            </w:r>
          </w:p>
        </w:tc>
        <w:tc>
          <w:tcPr>
            <w:tcW w:w="1733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CM (tertile score)</w:t>
            </w:r>
          </w:p>
        </w:tc>
        <w:tc>
          <w:tcPr>
            <w:tcW w:w="2857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Low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Moderate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 ~ 2.1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1.8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1.5 ~ 2.1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)*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High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4.2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3.6 ~ 4.8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3.7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3.2 ~ 4.3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SP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CM (tertile score)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Low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Moderate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1.3 ~ 2.1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1.3 ~ 2.0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High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4.1 ~ 6.2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3.7 ~ 5.5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SAs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CM (tertile score)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Low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Moderate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 ~ 3.4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2.3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 ~ 3.3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High</w:t>
            </w:r>
          </w:p>
        </w:tc>
        <w:tc>
          <w:tcPr>
            <w:tcW w:w="285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6.5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4.7 ~ 9.0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**</w:t>
            </w:r>
          </w:p>
        </w:tc>
        <w:tc>
          <w:tcPr>
            <w:tcW w:w="2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3.9 ~ 7.6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**</w:t>
            </w:r>
          </w:p>
        </w:tc>
      </w:tr>
    </w:tbl>
    <w:p>
      <w:p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Note. 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.05, **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01;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SI is </w:t>
      </w:r>
      <w:r>
        <w:rPr>
          <w:rFonts w:hint="eastAsia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 xml:space="preserve">Suicidal ideation; SP is Suicidal planning; SAs is Suicidal attempts; In SI and SP,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Adjusted for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gender, </w:t>
      </w:r>
      <w:bookmarkStart w:id="0" w:name="OLE_LINK3"/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r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egistered residence,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elf-reported family economy</w:t>
      </w:r>
      <w:bookmarkEnd w:id="0"/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 cities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b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Adjusted for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gender,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registered residence, self-reported family economy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 cities, and BRD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In SAs, a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Adjusted for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gender, Only child,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elf-reported family economy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 cities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b adjusted for gender, Only child,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self-reported family economy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 cities, and BRD.</w:t>
      </w:r>
    </w:p>
    <w:p>
      <w:p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</w:p>
    <w:tbl>
      <w:tblPr>
        <w:tblStyle w:val="3"/>
        <w:tblW w:w="8226" w:type="dxa"/>
        <w:tblInd w:w="-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33"/>
        <w:gridCol w:w="2857"/>
        <w:gridCol w:w="240"/>
        <w:gridCol w:w="2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2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Tab. DS2. Association of CM, BRD, and suicidal behaviors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Variable</w:t>
            </w:r>
          </w:p>
        </w:tc>
        <w:tc>
          <w:tcPr>
            <w:tcW w:w="28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Crude OR (95%CI)</w:t>
            </w:r>
          </w:p>
        </w:tc>
        <w:tc>
          <w:tcPr>
            <w:tcW w:w="24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Adjusted OR (95%CI)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SI</w:t>
            </w:r>
          </w:p>
        </w:tc>
        <w:tc>
          <w:tcPr>
            <w:tcW w:w="1733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CM×BRD</w:t>
            </w:r>
          </w:p>
        </w:tc>
        <w:tc>
          <w:tcPr>
            <w:tcW w:w="2857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×LBRD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×LBRD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1.5 ~ 2.1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 ~ 2.2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×LBRD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3.2 ~ 4.4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4.0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3.4 ~ 4.7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×HBRD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5.0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3.5 ~ 7.1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3.2 ~ 6.5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×HBRD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4.2 ~ 7.8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4.2 ~ 7.8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×HBRD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11.3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9.0 ~ 14.1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10.9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8.7 ~ 13.7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SP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CM×BRD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×LBRD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×LBRD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1.2 ~ 2.1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1.3 ~ 2.1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×LBRD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3.6 ~ 5.6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3.8 ~ 5.9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×HBRD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2.2 ~ 5.9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2.0 ~ 5.3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×HBRD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3.1 ~ 7.2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3.1 ~ 7.1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×HBRD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11.8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9.0 ~ 15.5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11.3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8.5 ~ 14.9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SAs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CM×BRD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×LBRD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×LBRD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1.7 ~ 4.0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1.9 ~ 4.4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×LBRD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4.0 ~ 8.7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6.6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4.5 ~ 9.9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×HBRD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8.3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4.3 ~ 15.9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6.8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3.5 ~ 13.3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×HBRD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7.1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3.8 ~ 13.1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6.9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3.7 ~ 12.8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×HBRD</w:t>
            </w:r>
          </w:p>
        </w:tc>
        <w:tc>
          <w:tcPr>
            <w:tcW w:w="285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20.4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13.4 ~ 31.1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19.8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12.9 ~ 30.5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Note. 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.05, **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01;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SI is s</w:t>
      </w:r>
      <w:r>
        <w:rPr>
          <w:rFonts w:hint="eastAsia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 xml:space="preserve">uicidal ideation; SP is suicidal planning; SAs is suicidal attempts; In SI and SP,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Adjusted for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gender, r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egistered residence,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elf-reported family economy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 cities.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In SAs, a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Adjusted for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gender, Only child,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elf-reported family economy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cities; </w:t>
      </w:r>
      <w:r>
        <w:rPr>
          <w:rFonts w:hint="default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>LBRD is low biological rhythm disorder; HBRD is high biological rhythm disorder</w:t>
      </w:r>
      <w:r>
        <w:rPr>
          <w:rFonts w:hint="eastAsia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>; LCM is low childhood maltreatment, MCM is moderate childhood maltreatment, HCM is high childhood maltreatment.</w:t>
      </w:r>
    </w:p>
    <w:p>
      <w:p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</w:p>
    <w:tbl>
      <w:tblPr>
        <w:tblStyle w:val="3"/>
        <w:tblW w:w="8226" w:type="dxa"/>
        <w:tblInd w:w="-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33"/>
        <w:gridCol w:w="2857"/>
        <w:gridCol w:w="240"/>
        <w:gridCol w:w="2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2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Tab. DS3. Association of CM, gender, and suicidal behaviors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Variable</w:t>
            </w:r>
          </w:p>
        </w:tc>
        <w:tc>
          <w:tcPr>
            <w:tcW w:w="28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Crude OR (95%CI)</w:t>
            </w:r>
          </w:p>
        </w:tc>
        <w:tc>
          <w:tcPr>
            <w:tcW w:w="24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Adjusted OR (95%CI)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bookmarkStart w:id="1" w:name="OLE_LINK1" w:colFirst="1" w:colLast="1"/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SI</w:t>
            </w:r>
          </w:p>
        </w:tc>
        <w:tc>
          <w:tcPr>
            <w:tcW w:w="1733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CM×gender</w:t>
            </w:r>
          </w:p>
        </w:tc>
        <w:tc>
          <w:tcPr>
            <w:tcW w:w="2857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×girls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×girls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1.6~ 2.3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2.0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 ~ 2.4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×girls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3.8~ 5.4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3.7 ~ 5.4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×boys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0.5 ~ 0.8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0.5 ~ 0.7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×boys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0.8 ~ 1.2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0.7 ~ 1.1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×boys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1.8 ~ 2.7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1.8 ~ 2.5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SP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CM×gender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×girls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×girls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1.4 ~ 2.4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1.4 ~ 2.5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×girls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4.2 ~ 7.0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4.2 ~ 6.9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×boys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0.4 ~ 0.9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0.4 ~ 0.9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×boys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0.6 ~ 1.2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0.6 ~ 1.2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×boys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2.2 ~ 3.7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2.1 ~ 3.6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SAs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CM×gender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×girls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×girls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 ~ 3.8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1.4 ~ 2.5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×girls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6.1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4.2 ~ 9.0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4.2 ~ 7.0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×boys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0.5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0.2 ~ 0.9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0.4 ~ 0.9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×boys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0.5 ~ 1.4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0.6 ~ 1.2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HCM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×boys</w:t>
            </w:r>
          </w:p>
        </w:tc>
        <w:tc>
          <w:tcPr>
            <w:tcW w:w="285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2.8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1.9 ~ 4.2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  <w:tc>
          <w:tcPr>
            <w:tcW w:w="2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63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2.7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2.1 ~ 3.6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)**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Note. 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.05, **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01;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SI is s</w:t>
      </w:r>
      <w:r>
        <w:rPr>
          <w:rFonts w:hint="eastAsia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 xml:space="preserve">uicidal ideation; SP is suicidal planning; SAs is suicidal attempts; In SI and SP,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Adjusted for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r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egistered residence,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elf-reported family economy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 cities.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In SAs, a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Adjusted for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Only child,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elf-reported family economy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cities; </w:t>
      </w:r>
      <w:r>
        <w:rPr>
          <w:rFonts w:hint="eastAsia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>LCM is low childhood maltreatment, MCM is moderate childhood maltreatment, HCM is high childhood maltreatment.</w:t>
      </w:r>
    </w:p>
    <w:p>
      <w:p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</w:p>
    <w:tbl>
      <w:tblPr>
        <w:tblStyle w:val="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785"/>
        <w:gridCol w:w="2257"/>
        <w:gridCol w:w="240"/>
        <w:gridCol w:w="1178"/>
        <w:gridCol w:w="2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Tab. DS4. Number, % and OR of suicidal behaviors by level of CM and BRD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6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CM (tertile score)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LBRD</w:t>
            </w:r>
          </w:p>
        </w:tc>
        <w:tc>
          <w:tcPr>
            <w:tcW w:w="24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HBRD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n (%)</w:t>
            </w: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OR (95%CI)</w:t>
            </w:r>
          </w:p>
        </w:tc>
        <w:tc>
          <w:tcPr>
            <w:tcW w:w="24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n (%)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OR (95%CI)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SI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5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351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Low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280 (10.9)</w:t>
            </w: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58 (37.9)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Moderate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406 (17.9)</w:t>
            </w: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1.8 (1.5 ~ 2.1)**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83 (41.1)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1.1 (0.7 ~ 1.8)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High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733 (31.4)</w:t>
            </w: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3.8 (3.2 ~ 4.4)**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265 (58.0)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2.3 (1.6 ~ 3.3)**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SP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Low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109 (4.2)</w:t>
            </w: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21 (13.7)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Moderate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149 (6.6)</w:t>
            </w: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bookmarkStart w:id="2" w:name="OLE_LINK11"/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1.6 (1.2 ~ 2.1)</w:t>
            </w:r>
            <w:bookmarkEnd w:id="2"/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35 (17.3)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1.3 (0.7 ~ 2.4)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High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388 (16.6)</w:t>
            </w: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4.5 (3.6 ~ 5.6)**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157 (34.4)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3.3 (2.0 ~ 5.4)**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SAs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Low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31 (1.2)</w:t>
            </w: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14 (9.2)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Moderate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70 (3.1)</w:t>
            </w:r>
          </w:p>
        </w:tc>
        <w:tc>
          <w:tcPr>
            <w:tcW w:w="2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2.6 (1.7 ~ 4.0)**</w:t>
            </w: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16 (7.9)</w:t>
            </w:r>
          </w:p>
        </w:tc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0.9 (0.4 ~ 1.8)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180" w:firstLineChars="100"/>
              <w:jc w:val="both"/>
              <w:textAlignment w:val="auto"/>
              <w:rPr>
                <w:rFonts w:hint="default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HwrxspAdvTTb5929f4c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High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156 (6.7)</w:t>
            </w:r>
          </w:p>
        </w:tc>
        <w:tc>
          <w:tcPr>
            <w:tcW w:w="225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5.9 (4.0 ~ 8.7)**</w:t>
            </w:r>
          </w:p>
        </w:tc>
        <w:tc>
          <w:tcPr>
            <w:tcW w:w="2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91 (19.9)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2.5 (1.4 ~ 4.5)*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Note. 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.05, **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01;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Crude model.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Note. 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.05, **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&lt; .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01;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SI is s</w:t>
      </w:r>
      <w:r>
        <w:rPr>
          <w:rFonts w:hint="eastAsia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>uicidal ideation; SP is suicidal planning; SAs is suicidal attempts</w:t>
      </w:r>
      <w:bookmarkStart w:id="3" w:name="_GoBack"/>
      <w:bookmarkEnd w:id="3"/>
      <w:r>
        <w:rPr>
          <w:rFonts w:hint="eastAsia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>; In SI and SP;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>LBRD is low biological rhythm disorder; HBRD is high biological rhythm disorder</w:t>
      </w:r>
      <w:r>
        <w:rPr>
          <w:rFonts w:hint="eastAsia" w:ascii="Times New Roman" w:hAnsi="Times New Roman" w:eastAsia="HwrxspAdvTTb5929f4c" w:cs="Times New Roman"/>
          <w:color w:val="000000"/>
          <w:kern w:val="0"/>
          <w:sz w:val="18"/>
          <w:szCs w:val="18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wrxspAdvTTb5929f4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YmJjMWY2NWUwMjQ5NGM4YmE3MDIxN2MxNmQzNTAifQ=="/>
  </w:docVars>
  <w:rsids>
    <w:rsidRoot w:val="038C30BA"/>
    <w:rsid w:val="01E0216C"/>
    <w:rsid w:val="02C31095"/>
    <w:rsid w:val="036E4AC3"/>
    <w:rsid w:val="038C30BA"/>
    <w:rsid w:val="03922815"/>
    <w:rsid w:val="048F4497"/>
    <w:rsid w:val="05A01219"/>
    <w:rsid w:val="05F96B7B"/>
    <w:rsid w:val="06101ED1"/>
    <w:rsid w:val="062D26E1"/>
    <w:rsid w:val="06654211"/>
    <w:rsid w:val="06851D28"/>
    <w:rsid w:val="07047ECE"/>
    <w:rsid w:val="088E7A4F"/>
    <w:rsid w:val="09547DD2"/>
    <w:rsid w:val="097B77F5"/>
    <w:rsid w:val="0983157E"/>
    <w:rsid w:val="09DF3DE9"/>
    <w:rsid w:val="0B584344"/>
    <w:rsid w:val="0C81403D"/>
    <w:rsid w:val="0EB75826"/>
    <w:rsid w:val="11A6405B"/>
    <w:rsid w:val="12046FD4"/>
    <w:rsid w:val="13FB7F63"/>
    <w:rsid w:val="14681A9C"/>
    <w:rsid w:val="158F12AA"/>
    <w:rsid w:val="16726C02"/>
    <w:rsid w:val="1686445B"/>
    <w:rsid w:val="169528F0"/>
    <w:rsid w:val="17B60D70"/>
    <w:rsid w:val="17E7717C"/>
    <w:rsid w:val="17F3036C"/>
    <w:rsid w:val="18A24E51"/>
    <w:rsid w:val="1A2A3AC4"/>
    <w:rsid w:val="1A965070"/>
    <w:rsid w:val="1B7F67A7"/>
    <w:rsid w:val="1C0976DC"/>
    <w:rsid w:val="1C4F0FD2"/>
    <w:rsid w:val="1D0524CD"/>
    <w:rsid w:val="1D4D4375"/>
    <w:rsid w:val="1DA84CB7"/>
    <w:rsid w:val="1F132604"/>
    <w:rsid w:val="20FA7F20"/>
    <w:rsid w:val="21C359FD"/>
    <w:rsid w:val="224374FE"/>
    <w:rsid w:val="22916662"/>
    <w:rsid w:val="236773C3"/>
    <w:rsid w:val="23A23709"/>
    <w:rsid w:val="246E07B3"/>
    <w:rsid w:val="24AE34FB"/>
    <w:rsid w:val="257A518B"/>
    <w:rsid w:val="259721E1"/>
    <w:rsid w:val="26C32B62"/>
    <w:rsid w:val="28A6098D"/>
    <w:rsid w:val="29231FDE"/>
    <w:rsid w:val="29A70519"/>
    <w:rsid w:val="29EC6874"/>
    <w:rsid w:val="2A8B1959"/>
    <w:rsid w:val="2AD214F1"/>
    <w:rsid w:val="2AE9690F"/>
    <w:rsid w:val="2B0F6376"/>
    <w:rsid w:val="2B7B5F16"/>
    <w:rsid w:val="2B9910E6"/>
    <w:rsid w:val="2C8608B9"/>
    <w:rsid w:val="2C9C1E8B"/>
    <w:rsid w:val="2CC47634"/>
    <w:rsid w:val="2E627104"/>
    <w:rsid w:val="2E6B3E9D"/>
    <w:rsid w:val="2ECC7BF1"/>
    <w:rsid w:val="2F1F0B51"/>
    <w:rsid w:val="2F45680A"/>
    <w:rsid w:val="302B4303"/>
    <w:rsid w:val="30B654E5"/>
    <w:rsid w:val="32902492"/>
    <w:rsid w:val="33525999"/>
    <w:rsid w:val="35F26FC0"/>
    <w:rsid w:val="36981915"/>
    <w:rsid w:val="36A22794"/>
    <w:rsid w:val="36D97C8A"/>
    <w:rsid w:val="37737C8C"/>
    <w:rsid w:val="38060B00"/>
    <w:rsid w:val="39161217"/>
    <w:rsid w:val="39DA2245"/>
    <w:rsid w:val="39E76710"/>
    <w:rsid w:val="39F02441"/>
    <w:rsid w:val="3A976388"/>
    <w:rsid w:val="3AD46C94"/>
    <w:rsid w:val="3AEC20E2"/>
    <w:rsid w:val="3BD02F30"/>
    <w:rsid w:val="3BF5780A"/>
    <w:rsid w:val="3D18555E"/>
    <w:rsid w:val="3E7D43BA"/>
    <w:rsid w:val="3EC040FF"/>
    <w:rsid w:val="3F487C50"/>
    <w:rsid w:val="3F662CC5"/>
    <w:rsid w:val="3FE21E53"/>
    <w:rsid w:val="406E36E7"/>
    <w:rsid w:val="40E439A9"/>
    <w:rsid w:val="413761CE"/>
    <w:rsid w:val="42C43A92"/>
    <w:rsid w:val="434075BC"/>
    <w:rsid w:val="43671FE0"/>
    <w:rsid w:val="439B0C97"/>
    <w:rsid w:val="4504286C"/>
    <w:rsid w:val="462F56C6"/>
    <w:rsid w:val="46C91677"/>
    <w:rsid w:val="4AD056CA"/>
    <w:rsid w:val="4B3519D1"/>
    <w:rsid w:val="4C7535B3"/>
    <w:rsid w:val="4DBF5582"/>
    <w:rsid w:val="4EF71347"/>
    <w:rsid w:val="4F3237FC"/>
    <w:rsid w:val="500448C3"/>
    <w:rsid w:val="50BE5F0C"/>
    <w:rsid w:val="514A5AAA"/>
    <w:rsid w:val="51CF2021"/>
    <w:rsid w:val="52462715"/>
    <w:rsid w:val="52AF2069"/>
    <w:rsid w:val="53310CD0"/>
    <w:rsid w:val="541D74A6"/>
    <w:rsid w:val="54444A33"/>
    <w:rsid w:val="54624EB9"/>
    <w:rsid w:val="54AE6F05"/>
    <w:rsid w:val="550B5550"/>
    <w:rsid w:val="55B84363"/>
    <w:rsid w:val="573174F0"/>
    <w:rsid w:val="57FB365A"/>
    <w:rsid w:val="583F79EB"/>
    <w:rsid w:val="590A624B"/>
    <w:rsid w:val="59407EBE"/>
    <w:rsid w:val="59605E6B"/>
    <w:rsid w:val="59946083"/>
    <w:rsid w:val="59FB3DE5"/>
    <w:rsid w:val="5A0F163F"/>
    <w:rsid w:val="5AA02037"/>
    <w:rsid w:val="5B3C6463"/>
    <w:rsid w:val="5BC87CF7"/>
    <w:rsid w:val="5E7E6D93"/>
    <w:rsid w:val="5EE94B54"/>
    <w:rsid w:val="5F5F6BC4"/>
    <w:rsid w:val="60B30F76"/>
    <w:rsid w:val="61587D6F"/>
    <w:rsid w:val="61CF23C8"/>
    <w:rsid w:val="6220088D"/>
    <w:rsid w:val="629B42BC"/>
    <w:rsid w:val="62A80882"/>
    <w:rsid w:val="6304549D"/>
    <w:rsid w:val="63E1229E"/>
    <w:rsid w:val="654C7BEB"/>
    <w:rsid w:val="66424F1B"/>
    <w:rsid w:val="67696832"/>
    <w:rsid w:val="68271F07"/>
    <w:rsid w:val="68790CF7"/>
    <w:rsid w:val="688D451B"/>
    <w:rsid w:val="6A7113F6"/>
    <w:rsid w:val="6A724667"/>
    <w:rsid w:val="6B3D24B0"/>
    <w:rsid w:val="6BC02799"/>
    <w:rsid w:val="6C0E271F"/>
    <w:rsid w:val="6C315445"/>
    <w:rsid w:val="6C895281"/>
    <w:rsid w:val="6ECE4441"/>
    <w:rsid w:val="700A0487"/>
    <w:rsid w:val="71BC3A02"/>
    <w:rsid w:val="72A526E9"/>
    <w:rsid w:val="72BF19FC"/>
    <w:rsid w:val="72DF3E4C"/>
    <w:rsid w:val="72F316A6"/>
    <w:rsid w:val="73970283"/>
    <w:rsid w:val="73C13B7C"/>
    <w:rsid w:val="75E17EDC"/>
    <w:rsid w:val="761C43EE"/>
    <w:rsid w:val="77377826"/>
    <w:rsid w:val="776808B4"/>
    <w:rsid w:val="78AD0549"/>
    <w:rsid w:val="7C19754E"/>
    <w:rsid w:val="7C3C5E6C"/>
    <w:rsid w:val="7C743857"/>
    <w:rsid w:val="7C95774C"/>
    <w:rsid w:val="7CB43C54"/>
    <w:rsid w:val="7CED027C"/>
    <w:rsid w:val="7EDF6194"/>
    <w:rsid w:val="7EED169F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4228</Characters>
  <Lines>0</Lines>
  <Paragraphs>0</Paragraphs>
  <TotalTime>35</TotalTime>
  <ScaleCrop>false</ScaleCrop>
  <LinksUpToDate>false</LinksUpToDate>
  <CharactersWithSpaces>4844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2022-01-10T02:21:00Z</dcterms:created>
  <dc:creator>XY</dc:creator>
  <cp:lastModifiedBy>审稿人</cp:lastModifiedBy>
  <dcterms:modified xsi:type="dcterms:W3CDTF">2022-06-01T01:00:45Z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6A4080AD91BC4442AE2D4A402F6357D0</vt:lpwstr>
  </property>
</Properties>
</file>