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A427" w14:textId="65A6BC14" w:rsidR="00EA3D3C" w:rsidRPr="00155A26" w:rsidRDefault="00654E8F" w:rsidP="00155A26">
      <w:pPr>
        <w:pStyle w:val="SupplementaryMaterial"/>
        <w:rPr>
          <w:b w:val="0"/>
        </w:rPr>
      </w:pPr>
      <w:r w:rsidRPr="001549D3">
        <w:t>Supplementary Material</w:t>
      </w:r>
    </w:p>
    <w:p w14:paraId="6783317E" w14:textId="18D03BDF" w:rsidR="00155A26" w:rsidRDefault="00155A26" w:rsidP="00155A26">
      <w:pPr>
        <w:jc w:val="center"/>
        <w:rPr>
          <w:sz w:val="28"/>
          <w:szCs w:val="28"/>
          <w:lang w:val="en-GB"/>
        </w:rPr>
      </w:pPr>
      <w:r w:rsidRPr="00D14D56">
        <w:rPr>
          <w:sz w:val="28"/>
          <w:szCs w:val="28"/>
          <w:lang w:val="en-GB"/>
        </w:rPr>
        <w:t>Appendix</w:t>
      </w:r>
    </w:p>
    <w:p w14:paraId="07959A74" w14:textId="20243181" w:rsidR="00A030F6" w:rsidRPr="00D14D56" w:rsidRDefault="00A030F6" w:rsidP="00155A26">
      <w:pPr>
        <w:jc w:val="center"/>
        <w:rPr>
          <w:sz w:val="28"/>
          <w:szCs w:val="28"/>
          <w:lang w:val="en-GB"/>
        </w:rPr>
      </w:pPr>
      <w:r>
        <w:rPr>
          <w:sz w:val="28"/>
          <w:szCs w:val="28"/>
          <w:lang w:val="en-GB"/>
        </w:rPr>
        <w:t>Version 10.7.2022</w:t>
      </w:r>
    </w:p>
    <w:p w14:paraId="2F0E9966" w14:textId="77777777" w:rsidR="00155A26" w:rsidRPr="00537064" w:rsidRDefault="00155A26" w:rsidP="00155A26">
      <w:pPr>
        <w:jc w:val="center"/>
        <w:rPr>
          <w:szCs w:val="24"/>
          <w:lang w:val="en-GB"/>
        </w:rPr>
      </w:pPr>
      <w:proofErr w:type="spellStart"/>
      <w:r w:rsidRPr="00537064">
        <w:rPr>
          <w:szCs w:val="24"/>
          <w:lang w:val="en-GB"/>
        </w:rPr>
        <w:t>Wellnhofer</w:t>
      </w:r>
      <w:proofErr w:type="spellEnd"/>
      <w:r w:rsidRPr="00537064">
        <w:rPr>
          <w:szCs w:val="24"/>
          <w:lang w:val="en-GB"/>
        </w:rPr>
        <w:t xml:space="preserve"> E (2022) Real-World and Regulatory Perspectives of Artificial Intelligence in Cardiovascular Imaging. Front. Cardiovasc. Med. 9:890809</w:t>
      </w:r>
    </w:p>
    <w:p w14:paraId="5E1FA3BD" w14:textId="77777777" w:rsidR="00155A26" w:rsidRDefault="00155A26" w:rsidP="00155A26">
      <w:pPr>
        <w:rPr>
          <w:lang w:val="en-GB"/>
        </w:rPr>
      </w:pPr>
    </w:p>
    <w:p w14:paraId="7ED960A6" w14:textId="77777777" w:rsidR="00155A26" w:rsidRPr="00F46714" w:rsidRDefault="00155A26" w:rsidP="00155A26">
      <w:pPr>
        <w:autoSpaceDE w:val="0"/>
        <w:autoSpaceDN w:val="0"/>
        <w:adjustRightInd w:val="0"/>
        <w:spacing w:after="0"/>
        <w:rPr>
          <w:rFonts w:ascii="Segoe UI" w:hAnsi="Segoe UI" w:cs="Segoe UI"/>
          <w:color w:val="000000"/>
          <w:sz w:val="25"/>
          <w:szCs w:val="25"/>
          <w:lang w:val="en-GB"/>
        </w:rPr>
      </w:pPr>
      <w:r>
        <w:rPr>
          <w:rFonts w:ascii="Segoe UI" w:hAnsi="Segoe UI" w:cs="Segoe UI"/>
          <w:color w:val="000000"/>
          <w:sz w:val="25"/>
          <w:szCs w:val="25"/>
          <w:lang w:val="en-GB"/>
        </w:rPr>
        <w:t>Since the final submission and publication, some developments happened. There are some corrective amendments. Moreover, I would like to recommend some recent books for further reading.</w:t>
      </w:r>
    </w:p>
    <w:p w14:paraId="745DBC15" w14:textId="77777777" w:rsidR="00155A26" w:rsidRDefault="00155A26" w:rsidP="00155A26">
      <w:pPr>
        <w:autoSpaceDE w:val="0"/>
        <w:autoSpaceDN w:val="0"/>
        <w:adjustRightInd w:val="0"/>
        <w:spacing w:after="0"/>
        <w:rPr>
          <w:rFonts w:ascii="Segoe UI" w:hAnsi="Segoe UI" w:cs="Segoe UI"/>
          <w:color w:val="000000"/>
          <w:sz w:val="25"/>
          <w:szCs w:val="25"/>
          <w:lang w:val="en-GB"/>
        </w:rPr>
      </w:pPr>
    </w:p>
    <w:p w14:paraId="4B057487" w14:textId="77777777" w:rsidR="00155A26" w:rsidRPr="00890FEC" w:rsidRDefault="00155A26" w:rsidP="00155A26">
      <w:pPr>
        <w:pStyle w:val="Listenabsatz"/>
        <w:numPr>
          <w:ilvl w:val="0"/>
          <w:numId w:val="20"/>
        </w:numPr>
        <w:autoSpaceDE w:val="0"/>
        <w:autoSpaceDN w:val="0"/>
        <w:adjustRightInd w:val="0"/>
        <w:spacing w:before="0" w:after="0"/>
        <w:rPr>
          <w:rFonts w:ascii="Segoe UI" w:hAnsi="Segoe UI" w:cs="Segoe UI"/>
          <w:b/>
          <w:bCs/>
          <w:color w:val="000000"/>
          <w:sz w:val="25"/>
          <w:szCs w:val="25"/>
          <w:lang w:val="en-GB"/>
        </w:rPr>
      </w:pPr>
      <w:r w:rsidRPr="00890FEC">
        <w:rPr>
          <w:rFonts w:ascii="Segoe UI" w:hAnsi="Segoe UI" w:cs="Segoe UI"/>
          <w:b/>
          <w:bCs/>
          <w:color w:val="000000"/>
          <w:sz w:val="25"/>
          <w:szCs w:val="25"/>
          <w:lang w:val="en-GB"/>
        </w:rPr>
        <w:t>Recent developments</w:t>
      </w:r>
    </w:p>
    <w:p w14:paraId="2B544579" w14:textId="77777777" w:rsidR="00155A26" w:rsidRPr="00F46714" w:rsidRDefault="00155A26" w:rsidP="00155A26">
      <w:pPr>
        <w:autoSpaceDE w:val="0"/>
        <w:autoSpaceDN w:val="0"/>
        <w:adjustRightInd w:val="0"/>
        <w:spacing w:after="0"/>
        <w:rPr>
          <w:rFonts w:ascii="Segoe UI" w:hAnsi="Segoe UI" w:cs="Segoe UI"/>
          <w:color w:val="000000"/>
          <w:sz w:val="25"/>
          <w:szCs w:val="25"/>
          <w:lang w:val="en-GB"/>
        </w:rPr>
      </w:pPr>
    </w:p>
    <w:p w14:paraId="5AF9F20C" w14:textId="77777777" w:rsidR="00155A26" w:rsidRPr="00F46714" w:rsidRDefault="00155A26" w:rsidP="00155A26">
      <w:pPr>
        <w:autoSpaceDE w:val="0"/>
        <w:autoSpaceDN w:val="0"/>
        <w:adjustRightInd w:val="0"/>
        <w:spacing w:after="0"/>
        <w:rPr>
          <w:rFonts w:ascii="Segoe UI" w:hAnsi="Segoe UI" w:cs="Segoe UI"/>
          <w:color w:val="000000"/>
          <w:szCs w:val="24"/>
          <w:lang w:val="en-GB"/>
        </w:rPr>
      </w:pPr>
      <w:r w:rsidRPr="00F46714">
        <w:rPr>
          <w:rFonts w:ascii="Segoe UI" w:hAnsi="Segoe UI" w:cs="Segoe UI"/>
          <w:color w:val="000000"/>
          <w:szCs w:val="24"/>
          <w:lang w:val="en-GB"/>
        </w:rPr>
        <w:t>IMDRF published a new technical document on the 9th of May</w:t>
      </w:r>
    </w:p>
    <w:p w14:paraId="41C78DF3" w14:textId="77777777" w:rsidR="00155A26" w:rsidRPr="00F46714" w:rsidRDefault="00155A26" w:rsidP="00155A26">
      <w:pPr>
        <w:autoSpaceDE w:val="0"/>
        <w:autoSpaceDN w:val="0"/>
        <w:adjustRightInd w:val="0"/>
        <w:spacing w:after="0"/>
        <w:rPr>
          <w:rFonts w:ascii="Segoe UI" w:hAnsi="Segoe UI" w:cs="Segoe UI"/>
          <w:color w:val="000000"/>
          <w:szCs w:val="24"/>
          <w:lang w:val="en-GB"/>
        </w:rPr>
      </w:pPr>
      <w:r w:rsidRPr="00F46714">
        <w:rPr>
          <w:rFonts w:ascii="Segoe UI" w:hAnsi="Segoe UI" w:cs="Segoe UI"/>
          <w:color w:val="000000"/>
          <w:szCs w:val="24"/>
          <w:lang w:val="en-GB"/>
        </w:rPr>
        <w:t>Machine Learning-enabled Medical Devices: Key Terms and Definitions</w:t>
      </w:r>
    </w:p>
    <w:p w14:paraId="1F9D8A15" w14:textId="77777777" w:rsidR="00155A26" w:rsidRPr="00155A26" w:rsidRDefault="00155A26" w:rsidP="00155A26">
      <w:pPr>
        <w:autoSpaceDE w:val="0"/>
        <w:autoSpaceDN w:val="0"/>
        <w:adjustRightInd w:val="0"/>
        <w:spacing w:after="0"/>
        <w:rPr>
          <w:rFonts w:ascii="Segoe UI" w:hAnsi="Segoe UI" w:cs="Segoe UI"/>
          <w:color w:val="000000"/>
          <w:szCs w:val="24"/>
          <w:lang w:val="de-DE"/>
        </w:rPr>
      </w:pPr>
      <w:r w:rsidRPr="00155A26">
        <w:rPr>
          <w:rFonts w:ascii="Segoe UI" w:hAnsi="Segoe UI" w:cs="Segoe UI"/>
          <w:color w:val="000000"/>
          <w:szCs w:val="24"/>
          <w:lang w:val="de-DE"/>
        </w:rPr>
        <w:t xml:space="preserve">IMDRF </w:t>
      </w:r>
      <w:proofErr w:type="gramStart"/>
      <w:r w:rsidRPr="00155A26">
        <w:rPr>
          <w:rFonts w:ascii="Segoe UI" w:hAnsi="Segoe UI" w:cs="Segoe UI"/>
          <w:color w:val="000000"/>
          <w:szCs w:val="24"/>
          <w:lang w:val="de-DE"/>
        </w:rPr>
        <w:t>Code  IMDRF</w:t>
      </w:r>
      <w:proofErr w:type="gramEnd"/>
      <w:r w:rsidRPr="00155A26">
        <w:rPr>
          <w:rFonts w:ascii="Segoe UI" w:hAnsi="Segoe UI" w:cs="Segoe UI"/>
          <w:color w:val="000000"/>
          <w:szCs w:val="24"/>
          <w:lang w:val="de-DE"/>
        </w:rPr>
        <w:t>/AIMD WG/N67</w:t>
      </w:r>
    </w:p>
    <w:p w14:paraId="79C70332" w14:textId="77777777" w:rsidR="00155A26" w:rsidRPr="00346205" w:rsidRDefault="005E787E" w:rsidP="00155A26">
      <w:pPr>
        <w:autoSpaceDE w:val="0"/>
        <w:autoSpaceDN w:val="0"/>
        <w:adjustRightInd w:val="0"/>
        <w:spacing w:after="0"/>
        <w:rPr>
          <w:rFonts w:ascii="Segoe UI" w:hAnsi="Segoe UI" w:cs="Segoe UI"/>
          <w:i/>
          <w:iCs/>
          <w:color w:val="000000"/>
          <w:szCs w:val="24"/>
          <w:lang w:val="en-GB"/>
        </w:rPr>
      </w:pPr>
      <w:hyperlink r:id="rId8" w:history="1">
        <w:r w:rsidR="00155A26" w:rsidRPr="00346205">
          <w:rPr>
            <w:rStyle w:val="Hyperlink"/>
            <w:rFonts w:ascii="Segoe UI" w:hAnsi="Segoe UI" w:cs="Segoe UI"/>
            <w:i/>
            <w:iCs/>
            <w:lang w:val="en-GB"/>
          </w:rPr>
          <w:t>https://www.imdrf.org/sites/default/files/2022-05/IMDRF%20AIMD%20WG%20Final%20Document%20N67.pdf</w:t>
        </w:r>
      </w:hyperlink>
      <w:r w:rsidR="00155A26" w:rsidRPr="00346205">
        <w:rPr>
          <w:rFonts w:ascii="Segoe UI" w:hAnsi="Segoe UI" w:cs="Segoe UI"/>
          <w:i/>
          <w:iCs/>
          <w:color w:val="000000"/>
          <w:szCs w:val="24"/>
          <w:lang w:val="en-GB"/>
        </w:rPr>
        <w:t xml:space="preserve"> ac</w:t>
      </w:r>
      <w:r w:rsidR="00155A26">
        <w:rPr>
          <w:rFonts w:ascii="Segoe UI" w:hAnsi="Segoe UI" w:cs="Segoe UI"/>
          <w:i/>
          <w:iCs/>
          <w:color w:val="000000"/>
          <w:szCs w:val="24"/>
          <w:lang w:val="en-GB"/>
        </w:rPr>
        <w:t>cessed 21.6.2022</w:t>
      </w:r>
      <w:r w:rsidR="00155A26" w:rsidRPr="00346205">
        <w:rPr>
          <w:rFonts w:ascii="Segoe UI" w:hAnsi="Segoe UI" w:cs="Segoe UI"/>
          <w:i/>
          <w:iCs/>
          <w:color w:val="000000"/>
          <w:szCs w:val="24"/>
          <w:lang w:val="en-GB"/>
        </w:rPr>
        <w:t xml:space="preserve"> </w:t>
      </w:r>
    </w:p>
    <w:p w14:paraId="62D27E83" w14:textId="77777777" w:rsidR="00155A26" w:rsidRPr="00346205" w:rsidRDefault="00155A26" w:rsidP="00155A26">
      <w:pPr>
        <w:autoSpaceDE w:val="0"/>
        <w:autoSpaceDN w:val="0"/>
        <w:adjustRightInd w:val="0"/>
        <w:spacing w:after="0"/>
        <w:rPr>
          <w:rFonts w:ascii="Segoe UI" w:hAnsi="Segoe UI" w:cs="Segoe UI"/>
          <w:color w:val="000000"/>
          <w:szCs w:val="24"/>
          <w:lang w:val="en-GB"/>
        </w:rPr>
      </w:pPr>
    </w:p>
    <w:p w14:paraId="404C506A" w14:textId="1590B8DF" w:rsidR="00155A26" w:rsidRDefault="00155A26" w:rsidP="00155A26">
      <w:pPr>
        <w:autoSpaceDE w:val="0"/>
        <w:autoSpaceDN w:val="0"/>
        <w:adjustRightInd w:val="0"/>
        <w:spacing w:after="0"/>
        <w:rPr>
          <w:rFonts w:ascii="Segoe UI" w:hAnsi="Segoe UI" w:cs="Segoe UI"/>
          <w:color w:val="000000"/>
          <w:szCs w:val="24"/>
          <w:lang w:val="en-GB"/>
        </w:rPr>
      </w:pPr>
      <w:r w:rsidRPr="00F46714">
        <w:rPr>
          <w:rFonts w:ascii="Segoe UI" w:hAnsi="Segoe UI" w:cs="Segoe UI"/>
          <w:color w:val="000000"/>
          <w:szCs w:val="24"/>
          <w:lang w:val="en-GB"/>
        </w:rPr>
        <w:t xml:space="preserve">IMDRF suggests that AI/ML medical devices be termed "Machine Learning Medical Devices (MLMD). </w:t>
      </w:r>
      <w:r>
        <w:rPr>
          <w:rFonts w:ascii="Segoe UI" w:hAnsi="Segoe UI" w:cs="Segoe UI"/>
          <w:color w:val="000000"/>
          <w:szCs w:val="24"/>
          <w:lang w:val="en-GB"/>
        </w:rPr>
        <w:t>I did replace “</w:t>
      </w:r>
      <w:r w:rsidRPr="00F46714">
        <w:rPr>
          <w:rFonts w:ascii="Segoe UI" w:hAnsi="Segoe UI" w:cs="Segoe UI"/>
          <w:color w:val="000000"/>
          <w:szCs w:val="24"/>
          <w:lang w:val="en-GB"/>
        </w:rPr>
        <w:t>AI/ML medical devices</w:t>
      </w:r>
      <w:r>
        <w:rPr>
          <w:rFonts w:ascii="Segoe UI" w:hAnsi="Segoe UI" w:cs="Segoe UI"/>
          <w:color w:val="000000"/>
          <w:szCs w:val="24"/>
          <w:lang w:val="en-GB"/>
        </w:rPr>
        <w:t>” by “MLMD” in the paper</w:t>
      </w:r>
      <w:r w:rsidR="00A80A24">
        <w:rPr>
          <w:rFonts w:ascii="Segoe UI" w:hAnsi="Segoe UI" w:cs="Segoe UI"/>
          <w:color w:val="000000"/>
          <w:szCs w:val="24"/>
          <w:lang w:val="en-GB"/>
        </w:rPr>
        <w:t xml:space="preserve"> except in direct quotes.</w:t>
      </w:r>
      <w:r>
        <w:rPr>
          <w:rFonts w:ascii="Segoe UI" w:hAnsi="Segoe UI" w:cs="Segoe UI"/>
          <w:color w:val="000000"/>
          <w:szCs w:val="24"/>
          <w:lang w:val="en-GB"/>
        </w:rPr>
        <w:t xml:space="preserve"> </w:t>
      </w:r>
      <w:r w:rsidR="00A80A24" w:rsidRPr="00A80A24">
        <w:rPr>
          <w:rFonts w:ascii="Segoe UI" w:hAnsi="Segoe UI" w:cs="Segoe UI"/>
          <w:b/>
          <w:bCs/>
          <w:color w:val="000000"/>
          <w:szCs w:val="24"/>
          <w:lang w:val="en-GB"/>
        </w:rPr>
        <w:t>MLMD</w:t>
      </w:r>
      <w:r w:rsidR="00A80A24">
        <w:rPr>
          <w:rFonts w:ascii="Segoe UI" w:hAnsi="Segoe UI" w:cs="Segoe UI"/>
          <w:color w:val="000000"/>
          <w:szCs w:val="24"/>
          <w:lang w:val="en-GB"/>
        </w:rPr>
        <w:t xml:space="preserve"> </w:t>
      </w:r>
      <w:r>
        <w:rPr>
          <w:rFonts w:ascii="Segoe UI" w:hAnsi="Segoe UI" w:cs="Segoe UI"/>
          <w:color w:val="000000"/>
          <w:szCs w:val="24"/>
          <w:lang w:val="en-GB"/>
        </w:rPr>
        <w:t>is defined as:</w:t>
      </w:r>
    </w:p>
    <w:p w14:paraId="3C16DC60" w14:textId="6C111043" w:rsidR="00155A26" w:rsidRPr="0043027A" w:rsidRDefault="00155A26" w:rsidP="00155A26">
      <w:pPr>
        <w:autoSpaceDE w:val="0"/>
        <w:autoSpaceDN w:val="0"/>
        <w:adjustRightInd w:val="0"/>
        <w:spacing w:after="0"/>
        <w:rPr>
          <w:rFonts w:ascii="Segoe UI" w:hAnsi="Segoe UI" w:cs="Segoe UI"/>
          <w:i/>
          <w:iCs/>
          <w:color w:val="000000"/>
          <w:szCs w:val="24"/>
          <w:lang w:val="en-GB"/>
        </w:rPr>
      </w:pPr>
      <w:r w:rsidRPr="0043027A">
        <w:rPr>
          <w:rFonts w:ascii="Segoe UI" w:hAnsi="Segoe UI" w:cs="Segoe UI"/>
          <w:i/>
          <w:iCs/>
          <w:color w:val="000000"/>
          <w:szCs w:val="24"/>
          <w:lang w:val="en-GB"/>
        </w:rPr>
        <w:t>“A medical device that uses machine learning, in part or in whole, to achieve its intended medical purpose.”</w:t>
      </w:r>
    </w:p>
    <w:p w14:paraId="54111B4D" w14:textId="77777777" w:rsidR="00155A26" w:rsidRDefault="00155A26" w:rsidP="00155A26">
      <w:pPr>
        <w:autoSpaceDE w:val="0"/>
        <w:autoSpaceDN w:val="0"/>
        <w:adjustRightInd w:val="0"/>
        <w:spacing w:after="0"/>
        <w:rPr>
          <w:rFonts w:ascii="Segoe UI" w:hAnsi="Segoe UI" w:cs="Segoe UI"/>
          <w:color w:val="000000"/>
          <w:szCs w:val="24"/>
          <w:lang w:val="en-GB"/>
        </w:rPr>
      </w:pPr>
      <w:r w:rsidRPr="00A80A24">
        <w:rPr>
          <w:rFonts w:ascii="Segoe UI" w:hAnsi="Segoe UI" w:cs="Segoe UI"/>
          <w:b/>
          <w:bCs/>
          <w:color w:val="000000"/>
          <w:szCs w:val="24"/>
          <w:lang w:val="en-GB"/>
        </w:rPr>
        <w:t>Bias</w:t>
      </w:r>
      <w:r>
        <w:rPr>
          <w:rFonts w:ascii="Segoe UI" w:hAnsi="Segoe UI" w:cs="Segoe UI"/>
          <w:color w:val="000000"/>
          <w:szCs w:val="24"/>
          <w:lang w:val="en-GB"/>
        </w:rPr>
        <w:t xml:space="preserve"> is defined as:</w:t>
      </w:r>
    </w:p>
    <w:p w14:paraId="2F513D4E" w14:textId="77777777" w:rsidR="00155A26" w:rsidRPr="0043027A" w:rsidRDefault="00155A26" w:rsidP="00155A26">
      <w:pPr>
        <w:autoSpaceDE w:val="0"/>
        <w:autoSpaceDN w:val="0"/>
        <w:adjustRightInd w:val="0"/>
        <w:spacing w:after="0"/>
        <w:rPr>
          <w:rFonts w:ascii="Segoe UI" w:hAnsi="Segoe UI" w:cs="Segoe UI"/>
          <w:i/>
          <w:iCs/>
          <w:color w:val="000000"/>
          <w:szCs w:val="24"/>
          <w:lang w:val="en-GB"/>
        </w:rPr>
      </w:pPr>
      <w:r w:rsidRPr="0043027A">
        <w:rPr>
          <w:rFonts w:ascii="Segoe UI" w:hAnsi="Segoe UI" w:cs="Segoe UI"/>
          <w:i/>
          <w:iCs/>
          <w:color w:val="000000"/>
          <w:szCs w:val="24"/>
          <w:lang w:val="en-GB"/>
        </w:rPr>
        <w:t>“Systematic difference in treatment 2 of certain objects, people, or groups in</w:t>
      </w:r>
    </w:p>
    <w:p w14:paraId="5AA99521" w14:textId="77777777" w:rsidR="00155A26" w:rsidRPr="0043027A" w:rsidRDefault="00155A26" w:rsidP="00155A26">
      <w:pPr>
        <w:autoSpaceDE w:val="0"/>
        <w:autoSpaceDN w:val="0"/>
        <w:adjustRightInd w:val="0"/>
        <w:spacing w:after="0"/>
        <w:rPr>
          <w:rFonts w:ascii="Segoe UI" w:hAnsi="Segoe UI" w:cs="Segoe UI"/>
          <w:i/>
          <w:iCs/>
          <w:color w:val="000000"/>
          <w:szCs w:val="24"/>
          <w:lang w:val="en-GB"/>
        </w:rPr>
      </w:pPr>
      <w:r w:rsidRPr="0043027A">
        <w:rPr>
          <w:rFonts w:ascii="Segoe UI" w:hAnsi="Segoe UI" w:cs="Segoe UI"/>
          <w:i/>
          <w:iCs/>
          <w:color w:val="000000"/>
          <w:szCs w:val="24"/>
          <w:lang w:val="en-GB"/>
        </w:rPr>
        <w:t>comparison to others.</w:t>
      </w:r>
    </w:p>
    <w:p w14:paraId="36CAEAE1" w14:textId="77777777" w:rsidR="00155A26" w:rsidRPr="0043027A" w:rsidRDefault="00155A26" w:rsidP="00155A26">
      <w:pPr>
        <w:autoSpaceDE w:val="0"/>
        <w:autoSpaceDN w:val="0"/>
        <w:adjustRightInd w:val="0"/>
        <w:spacing w:after="0"/>
        <w:rPr>
          <w:rFonts w:ascii="Segoe UI" w:hAnsi="Segoe UI" w:cs="Segoe UI"/>
          <w:i/>
          <w:iCs/>
          <w:color w:val="000000"/>
          <w:szCs w:val="24"/>
          <w:lang w:val="en-GB"/>
        </w:rPr>
      </w:pPr>
      <w:r w:rsidRPr="0043027A">
        <w:rPr>
          <w:rFonts w:ascii="Segoe UI" w:hAnsi="Segoe UI" w:cs="Segoe UI"/>
          <w:i/>
          <w:iCs/>
          <w:color w:val="000000"/>
          <w:szCs w:val="24"/>
          <w:lang w:val="en-GB"/>
        </w:rPr>
        <w:t>Note 1 to entry: Treatment is any kind of action, including perception, observation,</w:t>
      </w:r>
    </w:p>
    <w:p w14:paraId="21A1960D" w14:textId="77777777" w:rsidR="00155A26" w:rsidRDefault="00155A26" w:rsidP="00155A26">
      <w:pPr>
        <w:autoSpaceDE w:val="0"/>
        <w:autoSpaceDN w:val="0"/>
        <w:adjustRightInd w:val="0"/>
        <w:spacing w:after="0"/>
        <w:rPr>
          <w:rFonts w:ascii="Segoe UI" w:hAnsi="Segoe UI" w:cs="Segoe UI"/>
          <w:i/>
          <w:iCs/>
          <w:color w:val="000000"/>
          <w:szCs w:val="24"/>
          <w:lang w:val="en-GB"/>
        </w:rPr>
      </w:pPr>
      <w:r w:rsidRPr="0043027A">
        <w:rPr>
          <w:rFonts w:ascii="Segoe UI" w:hAnsi="Segoe UI" w:cs="Segoe UI"/>
          <w:i/>
          <w:iCs/>
          <w:color w:val="000000"/>
          <w:szCs w:val="24"/>
          <w:lang w:val="en-GB"/>
        </w:rPr>
        <w:t>representation, prediction or decision. (ISO/IEC TR 24027:2021) Among the key definitions, the definition of bias suggests a citation and minor clarification/amendment.”</w:t>
      </w:r>
    </w:p>
    <w:p w14:paraId="4F06422B" w14:textId="77777777" w:rsidR="00155A26" w:rsidRDefault="00155A26" w:rsidP="00155A26">
      <w:pPr>
        <w:autoSpaceDE w:val="0"/>
        <w:autoSpaceDN w:val="0"/>
        <w:adjustRightInd w:val="0"/>
        <w:spacing w:after="0"/>
        <w:rPr>
          <w:rFonts w:ascii="Segoe UI" w:hAnsi="Segoe UI" w:cs="Segoe UI"/>
          <w:i/>
          <w:iCs/>
          <w:color w:val="000000"/>
          <w:szCs w:val="24"/>
          <w:lang w:val="en-GB"/>
        </w:rPr>
      </w:pPr>
    </w:p>
    <w:p w14:paraId="3E255678" w14:textId="77777777" w:rsidR="00155A26" w:rsidRDefault="00155A26" w:rsidP="00155A26">
      <w:pPr>
        <w:autoSpaceDE w:val="0"/>
        <w:autoSpaceDN w:val="0"/>
        <w:adjustRightInd w:val="0"/>
        <w:spacing w:after="0"/>
        <w:rPr>
          <w:rFonts w:ascii="Segoe UI" w:hAnsi="Segoe UI" w:cs="Segoe UI"/>
          <w:color w:val="000000"/>
          <w:szCs w:val="24"/>
          <w:lang w:val="en-GB"/>
        </w:rPr>
      </w:pPr>
      <w:r>
        <w:rPr>
          <w:rFonts w:ascii="Segoe UI" w:hAnsi="Segoe UI" w:cs="Segoe UI"/>
          <w:color w:val="000000"/>
          <w:szCs w:val="24"/>
          <w:lang w:val="en-GB"/>
        </w:rPr>
        <w:lastRenderedPageBreak/>
        <w:t xml:space="preserve">IMDRF distinguishes wanted and unwanted bias </w:t>
      </w:r>
      <w:r w:rsidRPr="0051745B">
        <w:rPr>
          <w:rFonts w:ascii="Segoe UI" w:hAnsi="Segoe UI" w:cs="Segoe UI"/>
          <w:color w:val="000000"/>
          <w:szCs w:val="24"/>
          <w:lang w:val="en-GB"/>
        </w:rPr>
        <w:t>depending on</w:t>
      </w:r>
      <w:r>
        <w:rPr>
          <w:rFonts w:ascii="Segoe UI" w:hAnsi="Segoe UI" w:cs="Segoe UI"/>
          <w:color w:val="000000"/>
          <w:szCs w:val="24"/>
          <w:lang w:val="en-GB"/>
        </w:rPr>
        <w:t>, whether bias supports</w:t>
      </w:r>
      <w:r w:rsidRPr="0051745B">
        <w:rPr>
          <w:rFonts w:ascii="Segoe UI" w:hAnsi="Segoe UI" w:cs="Segoe UI"/>
          <w:color w:val="000000"/>
          <w:szCs w:val="24"/>
          <w:lang w:val="en-GB"/>
        </w:rPr>
        <w:t xml:space="preserve"> the intended purpose of an AI(-based) system</w:t>
      </w:r>
      <w:r>
        <w:rPr>
          <w:rFonts w:ascii="Segoe UI" w:hAnsi="Segoe UI" w:cs="Segoe UI"/>
          <w:color w:val="000000"/>
          <w:szCs w:val="24"/>
          <w:lang w:val="en-GB"/>
        </w:rPr>
        <w:t xml:space="preserve"> or not.  In a screening application, a high sensitivity bias may be wanted. IMDRF bias definition is based on</w:t>
      </w:r>
    </w:p>
    <w:p w14:paraId="3973142F" w14:textId="77777777" w:rsidR="00155A26" w:rsidRPr="009522C7" w:rsidRDefault="00155A26" w:rsidP="00155A26">
      <w:pPr>
        <w:autoSpaceDE w:val="0"/>
        <w:autoSpaceDN w:val="0"/>
        <w:adjustRightInd w:val="0"/>
        <w:spacing w:after="0"/>
        <w:rPr>
          <w:rFonts w:ascii="Segoe UI" w:hAnsi="Segoe UI" w:cs="Segoe UI"/>
          <w:color w:val="000000"/>
          <w:szCs w:val="24"/>
          <w:lang w:val="en-GB"/>
        </w:rPr>
      </w:pPr>
      <w:r w:rsidRPr="009522C7">
        <w:rPr>
          <w:rFonts w:ascii="Segoe UI" w:hAnsi="Segoe UI" w:cs="Segoe UI"/>
          <w:color w:val="000000"/>
          <w:szCs w:val="24"/>
          <w:lang w:val="en-GB"/>
        </w:rPr>
        <w:t>ISO/IEC TR 24027:2021</w:t>
      </w:r>
    </w:p>
    <w:p w14:paraId="0EDA19B5" w14:textId="77777777" w:rsidR="00155A26" w:rsidRDefault="00155A26" w:rsidP="00155A26">
      <w:pPr>
        <w:autoSpaceDE w:val="0"/>
        <w:autoSpaceDN w:val="0"/>
        <w:adjustRightInd w:val="0"/>
        <w:spacing w:after="0"/>
        <w:rPr>
          <w:rFonts w:ascii="Segoe UI" w:hAnsi="Segoe UI" w:cs="Segoe UI"/>
          <w:color w:val="000000"/>
          <w:szCs w:val="24"/>
          <w:lang w:val="en-GB"/>
        </w:rPr>
      </w:pPr>
      <w:r w:rsidRPr="009522C7">
        <w:rPr>
          <w:rFonts w:ascii="Segoe UI" w:hAnsi="Segoe UI" w:cs="Segoe UI"/>
          <w:color w:val="000000"/>
          <w:szCs w:val="24"/>
          <w:lang w:val="en-GB"/>
        </w:rPr>
        <w:t>Information technology — Artificial intelligence (AI) — Bias in AI systems and AI aided decision making</w:t>
      </w:r>
      <w:r>
        <w:rPr>
          <w:rFonts w:ascii="Segoe UI" w:hAnsi="Segoe UI" w:cs="Segoe UI"/>
          <w:color w:val="000000"/>
          <w:szCs w:val="24"/>
          <w:lang w:val="en-GB"/>
        </w:rPr>
        <w:t>.</w:t>
      </w:r>
    </w:p>
    <w:p w14:paraId="6018E4EE" w14:textId="77777777" w:rsidR="00155A26" w:rsidRDefault="005E787E" w:rsidP="00155A26">
      <w:pPr>
        <w:autoSpaceDE w:val="0"/>
        <w:autoSpaceDN w:val="0"/>
        <w:adjustRightInd w:val="0"/>
        <w:spacing w:after="0"/>
        <w:rPr>
          <w:rFonts w:ascii="Segoe UI" w:hAnsi="Segoe UI" w:cs="Segoe UI"/>
          <w:i/>
          <w:iCs/>
          <w:color w:val="000000"/>
          <w:szCs w:val="24"/>
          <w:lang w:val="en-GB"/>
        </w:rPr>
      </w:pPr>
      <w:hyperlink r:id="rId9" w:history="1">
        <w:r w:rsidR="00155A26" w:rsidRPr="00465920">
          <w:rPr>
            <w:rStyle w:val="Hyperlink"/>
            <w:rFonts w:ascii="Segoe UI" w:hAnsi="Segoe UI" w:cs="Segoe UI"/>
            <w:lang w:val="en-GB"/>
          </w:rPr>
          <w:t>https://www.iso.org/standard/77607.html</w:t>
        </w:r>
      </w:hyperlink>
      <w:r w:rsidR="00155A26">
        <w:rPr>
          <w:rFonts w:ascii="Segoe UI" w:hAnsi="Segoe UI" w:cs="Segoe UI"/>
          <w:color w:val="000000"/>
          <w:szCs w:val="24"/>
          <w:lang w:val="en-GB"/>
        </w:rPr>
        <w:t xml:space="preserve">  </w:t>
      </w:r>
      <w:r w:rsidR="00155A26" w:rsidRPr="00346205">
        <w:rPr>
          <w:rFonts w:ascii="Segoe UI" w:hAnsi="Segoe UI" w:cs="Segoe UI"/>
          <w:i/>
          <w:iCs/>
          <w:color w:val="000000"/>
          <w:szCs w:val="24"/>
          <w:lang w:val="en-GB"/>
        </w:rPr>
        <w:t>ac</w:t>
      </w:r>
      <w:r w:rsidR="00155A26">
        <w:rPr>
          <w:rFonts w:ascii="Segoe UI" w:hAnsi="Segoe UI" w:cs="Segoe UI"/>
          <w:i/>
          <w:iCs/>
          <w:color w:val="000000"/>
          <w:szCs w:val="24"/>
          <w:lang w:val="en-GB"/>
        </w:rPr>
        <w:t>cessed 21.6.2022</w:t>
      </w:r>
    </w:p>
    <w:p w14:paraId="23549FA2" w14:textId="58886F89" w:rsidR="00155A26" w:rsidRDefault="00155A26" w:rsidP="00155A26">
      <w:pPr>
        <w:autoSpaceDE w:val="0"/>
        <w:autoSpaceDN w:val="0"/>
        <w:adjustRightInd w:val="0"/>
        <w:spacing w:after="0"/>
        <w:rPr>
          <w:rFonts w:ascii="Segoe UI" w:hAnsi="Segoe UI" w:cs="Segoe UI"/>
          <w:color w:val="000000"/>
          <w:szCs w:val="24"/>
          <w:lang w:val="en-GB"/>
        </w:rPr>
      </w:pPr>
    </w:p>
    <w:p w14:paraId="052BCED6" w14:textId="440B49B1" w:rsidR="00686FCC" w:rsidRDefault="00686FCC" w:rsidP="00155A26">
      <w:pPr>
        <w:autoSpaceDE w:val="0"/>
        <w:autoSpaceDN w:val="0"/>
        <w:adjustRightInd w:val="0"/>
        <w:spacing w:after="0"/>
        <w:rPr>
          <w:rFonts w:ascii="Segoe UI" w:hAnsi="Segoe UI" w:cs="Segoe UI"/>
          <w:b/>
          <w:bCs/>
          <w:color w:val="000000"/>
          <w:szCs w:val="24"/>
          <w:lang w:val="en-GB"/>
        </w:rPr>
      </w:pPr>
      <w:r w:rsidRPr="00A80A24">
        <w:rPr>
          <w:rFonts w:ascii="Segoe UI" w:hAnsi="Segoe UI" w:cs="Segoe UI"/>
          <w:b/>
          <w:bCs/>
          <w:color w:val="000000"/>
          <w:szCs w:val="24"/>
          <w:lang w:val="en-GB"/>
        </w:rPr>
        <w:t>Changes to MLMD</w:t>
      </w:r>
    </w:p>
    <w:p w14:paraId="0016D915" w14:textId="77777777" w:rsidR="00686FCC" w:rsidRPr="00686FCC" w:rsidRDefault="00686FCC" w:rsidP="00155A26">
      <w:pPr>
        <w:autoSpaceDE w:val="0"/>
        <w:autoSpaceDN w:val="0"/>
        <w:adjustRightInd w:val="0"/>
        <w:spacing w:after="0"/>
        <w:rPr>
          <w:rFonts w:ascii="Segoe UI" w:hAnsi="Segoe UI" w:cs="Segoe UI"/>
          <w:b/>
          <w:bCs/>
          <w:color w:val="000000"/>
          <w:szCs w:val="24"/>
          <w:lang w:val="en-GB"/>
        </w:rPr>
      </w:pPr>
    </w:p>
    <w:p w14:paraId="05E468C9" w14:textId="77777777" w:rsidR="00155A26" w:rsidRDefault="00155A26" w:rsidP="00155A26">
      <w:pPr>
        <w:autoSpaceDE w:val="0"/>
        <w:autoSpaceDN w:val="0"/>
        <w:adjustRightInd w:val="0"/>
        <w:spacing w:after="0"/>
        <w:rPr>
          <w:rFonts w:ascii="Segoe UI" w:hAnsi="Segoe UI" w:cs="Segoe UI"/>
          <w:color w:val="000000"/>
          <w:szCs w:val="24"/>
          <w:lang w:val="en-GB"/>
        </w:rPr>
      </w:pPr>
      <w:r>
        <w:rPr>
          <w:rFonts w:ascii="Segoe UI" w:hAnsi="Segoe UI" w:cs="Segoe UI"/>
          <w:color w:val="000000"/>
          <w:szCs w:val="24"/>
          <w:lang w:val="en-GB"/>
        </w:rPr>
        <w:t xml:space="preserve">IMDRF provides a definition of </w:t>
      </w:r>
      <w:r w:rsidRPr="00686FCC">
        <w:rPr>
          <w:rFonts w:ascii="Segoe UI" w:hAnsi="Segoe UI" w:cs="Segoe UI"/>
          <w:b/>
          <w:bCs/>
          <w:color w:val="000000"/>
          <w:szCs w:val="24"/>
          <w:lang w:val="en-GB"/>
        </w:rPr>
        <w:t>continuous learning</w:t>
      </w:r>
      <w:r>
        <w:rPr>
          <w:rFonts w:ascii="Segoe UI" w:hAnsi="Segoe UI" w:cs="Segoe UI"/>
          <w:color w:val="000000"/>
          <w:szCs w:val="24"/>
          <w:lang w:val="en-GB"/>
        </w:rPr>
        <w:t>:</w:t>
      </w:r>
    </w:p>
    <w:p w14:paraId="2694890A" w14:textId="77777777" w:rsidR="00155A26" w:rsidRPr="007464FC" w:rsidRDefault="00155A26" w:rsidP="00155A26">
      <w:pPr>
        <w:autoSpaceDE w:val="0"/>
        <w:autoSpaceDN w:val="0"/>
        <w:adjustRightInd w:val="0"/>
        <w:spacing w:after="0"/>
        <w:rPr>
          <w:rFonts w:ascii="Segoe UI" w:hAnsi="Segoe UI" w:cs="Segoe UI"/>
          <w:i/>
          <w:iCs/>
          <w:color w:val="000000"/>
          <w:szCs w:val="24"/>
          <w:lang w:val="en-GB"/>
        </w:rPr>
      </w:pPr>
      <w:r w:rsidRPr="007464FC">
        <w:rPr>
          <w:rFonts w:ascii="Segoe UI" w:hAnsi="Segoe UI" w:cs="Segoe UI"/>
          <w:i/>
          <w:iCs/>
          <w:color w:val="000000"/>
          <w:szCs w:val="24"/>
          <w:lang w:val="en-GB"/>
        </w:rPr>
        <w:t xml:space="preserve">“Continuous Learning” </w:t>
      </w:r>
      <w:r w:rsidRPr="007464FC">
        <w:rPr>
          <w:rFonts w:ascii="Segoe UI" w:hAnsi="Segoe UI" w:cs="Segoe UI"/>
          <w:color w:val="000000"/>
          <w:szCs w:val="24"/>
          <w:lang w:val="en-GB"/>
        </w:rPr>
        <w:t>is</w:t>
      </w:r>
      <w:r w:rsidRPr="007464FC">
        <w:rPr>
          <w:rFonts w:ascii="Segoe UI" w:hAnsi="Segoe UI" w:cs="Segoe UI"/>
          <w:i/>
          <w:iCs/>
          <w:color w:val="000000"/>
          <w:szCs w:val="24"/>
          <w:lang w:val="en-GB"/>
        </w:rPr>
        <w:t xml:space="preserve"> “Training that leads to change of an MLMD with each exposure to data that takes place on an ongoing basis during the operation phase of the MLMD life cycle. (Modified from ISO/IEC DIS 22989)</w:t>
      </w:r>
    </w:p>
    <w:p w14:paraId="2B5A09F1" w14:textId="77777777" w:rsidR="00155A26" w:rsidRPr="007464FC" w:rsidRDefault="00155A26" w:rsidP="00155A26">
      <w:pPr>
        <w:autoSpaceDE w:val="0"/>
        <w:autoSpaceDN w:val="0"/>
        <w:adjustRightInd w:val="0"/>
        <w:spacing w:after="0"/>
        <w:rPr>
          <w:rFonts w:ascii="Segoe UI" w:hAnsi="Segoe UI" w:cs="Segoe UI"/>
          <w:i/>
          <w:iCs/>
          <w:color w:val="000000"/>
          <w:szCs w:val="24"/>
          <w:lang w:val="en-GB"/>
        </w:rPr>
      </w:pPr>
      <w:proofErr w:type="gramStart"/>
      <w:r w:rsidRPr="007464FC">
        <w:rPr>
          <w:rFonts w:ascii="Segoe UI" w:hAnsi="Segoe UI" w:cs="Segoe UI"/>
          <w:i/>
          <w:iCs/>
          <w:color w:val="000000"/>
          <w:szCs w:val="24"/>
          <w:lang w:val="en-GB"/>
        </w:rPr>
        <w:t>Note :</w:t>
      </w:r>
      <w:proofErr w:type="gramEnd"/>
      <w:r w:rsidRPr="007464FC">
        <w:rPr>
          <w:rFonts w:ascii="Segoe UI" w:hAnsi="Segoe UI" w:cs="Segoe UI"/>
          <w:i/>
          <w:iCs/>
          <w:color w:val="000000"/>
          <w:szCs w:val="24"/>
          <w:lang w:val="en-GB"/>
        </w:rPr>
        <w:t xml:space="preserve"> Although not necessarily in opposition, Batch Learning is often referred to</w:t>
      </w:r>
    </w:p>
    <w:p w14:paraId="383C3D11" w14:textId="77777777" w:rsidR="00155A26" w:rsidRPr="007464FC" w:rsidRDefault="00155A26" w:rsidP="00155A26">
      <w:pPr>
        <w:autoSpaceDE w:val="0"/>
        <w:autoSpaceDN w:val="0"/>
        <w:adjustRightInd w:val="0"/>
        <w:spacing w:after="0"/>
        <w:rPr>
          <w:rFonts w:ascii="Segoe UI" w:hAnsi="Segoe UI" w:cs="Segoe UI"/>
          <w:i/>
          <w:iCs/>
          <w:color w:val="000000"/>
          <w:szCs w:val="24"/>
          <w:lang w:val="en-GB"/>
        </w:rPr>
      </w:pPr>
      <w:r w:rsidRPr="007464FC">
        <w:rPr>
          <w:rFonts w:ascii="Segoe UI" w:hAnsi="Segoe UI" w:cs="Segoe UI"/>
          <w:i/>
          <w:iCs/>
          <w:color w:val="000000"/>
          <w:szCs w:val="24"/>
          <w:lang w:val="en-GB"/>
        </w:rPr>
        <w:t>when describing Continuous Learning. Batch Learning is a training that leads to</w:t>
      </w:r>
    </w:p>
    <w:p w14:paraId="79FF78D5" w14:textId="77777777" w:rsidR="00155A26" w:rsidRPr="007464FC" w:rsidRDefault="00155A26" w:rsidP="00155A26">
      <w:pPr>
        <w:autoSpaceDE w:val="0"/>
        <w:autoSpaceDN w:val="0"/>
        <w:adjustRightInd w:val="0"/>
        <w:spacing w:after="0"/>
        <w:rPr>
          <w:rFonts w:ascii="Segoe UI" w:hAnsi="Segoe UI" w:cs="Segoe UI"/>
          <w:i/>
          <w:iCs/>
          <w:color w:val="000000"/>
          <w:szCs w:val="24"/>
          <w:lang w:val="en-GB"/>
        </w:rPr>
      </w:pPr>
      <w:r w:rsidRPr="007464FC">
        <w:rPr>
          <w:rFonts w:ascii="Segoe UI" w:hAnsi="Segoe UI" w:cs="Segoe UI"/>
          <w:i/>
          <w:iCs/>
          <w:color w:val="000000"/>
          <w:szCs w:val="24"/>
          <w:lang w:val="en-GB"/>
        </w:rPr>
        <w:t>the change of an MLMD that involves discrete updates based on defined sets of</w:t>
      </w:r>
    </w:p>
    <w:p w14:paraId="58CB8467" w14:textId="77777777" w:rsidR="00155A26" w:rsidRPr="007464FC" w:rsidRDefault="00155A26" w:rsidP="00155A26">
      <w:pPr>
        <w:autoSpaceDE w:val="0"/>
        <w:autoSpaceDN w:val="0"/>
        <w:adjustRightInd w:val="0"/>
        <w:spacing w:after="0"/>
        <w:rPr>
          <w:rFonts w:ascii="Segoe UI" w:hAnsi="Segoe UI" w:cs="Segoe UI"/>
          <w:i/>
          <w:iCs/>
          <w:color w:val="000000"/>
          <w:szCs w:val="24"/>
          <w:lang w:val="en-GB"/>
        </w:rPr>
      </w:pPr>
      <w:r w:rsidRPr="007464FC">
        <w:rPr>
          <w:rFonts w:ascii="Segoe UI" w:hAnsi="Segoe UI" w:cs="Segoe UI"/>
          <w:i/>
          <w:iCs/>
          <w:color w:val="000000"/>
          <w:szCs w:val="24"/>
          <w:lang w:val="en-GB"/>
        </w:rPr>
        <w:t>data that take place at distinct points prior to or during the operation phase of the</w:t>
      </w:r>
    </w:p>
    <w:p w14:paraId="12A35B88" w14:textId="77777777" w:rsidR="00155A26" w:rsidRDefault="00155A26" w:rsidP="00155A26">
      <w:pPr>
        <w:autoSpaceDE w:val="0"/>
        <w:autoSpaceDN w:val="0"/>
        <w:adjustRightInd w:val="0"/>
        <w:spacing w:after="0"/>
        <w:rPr>
          <w:rFonts w:ascii="Segoe UI" w:hAnsi="Segoe UI" w:cs="Segoe UI"/>
          <w:i/>
          <w:iCs/>
          <w:color w:val="000000"/>
          <w:szCs w:val="24"/>
          <w:lang w:val="en-GB"/>
        </w:rPr>
      </w:pPr>
      <w:r w:rsidRPr="007464FC">
        <w:rPr>
          <w:rFonts w:ascii="Segoe UI" w:hAnsi="Segoe UI" w:cs="Segoe UI"/>
          <w:i/>
          <w:iCs/>
          <w:color w:val="000000"/>
          <w:szCs w:val="24"/>
          <w:lang w:val="en-GB"/>
        </w:rPr>
        <w:t>MLMD life cycle. “</w:t>
      </w:r>
    </w:p>
    <w:p w14:paraId="081C1C1B" w14:textId="77777777" w:rsidR="00686FCC" w:rsidRDefault="00686FCC" w:rsidP="00686FCC">
      <w:pPr>
        <w:autoSpaceDE w:val="0"/>
        <w:autoSpaceDN w:val="0"/>
        <w:adjustRightInd w:val="0"/>
        <w:spacing w:after="0"/>
        <w:rPr>
          <w:rFonts w:ascii="Segoe UI" w:hAnsi="Segoe UI" w:cs="Segoe UI"/>
          <w:color w:val="000000"/>
          <w:szCs w:val="24"/>
          <w:lang w:val="en-GB"/>
        </w:rPr>
      </w:pPr>
    </w:p>
    <w:p w14:paraId="01967B87" w14:textId="1C85FC1F" w:rsidR="00155A26" w:rsidRDefault="00155A26" w:rsidP="00155A26">
      <w:pPr>
        <w:autoSpaceDE w:val="0"/>
        <w:autoSpaceDN w:val="0"/>
        <w:adjustRightInd w:val="0"/>
        <w:spacing w:after="0"/>
        <w:rPr>
          <w:rFonts w:ascii="Segoe UI" w:hAnsi="Segoe UI" w:cs="Segoe UI"/>
          <w:color w:val="000000"/>
          <w:szCs w:val="24"/>
          <w:lang w:val="en-GB"/>
        </w:rPr>
      </w:pPr>
      <w:r>
        <w:rPr>
          <w:rFonts w:ascii="Segoe UI" w:hAnsi="Segoe UI" w:cs="Segoe UI"/>
          <w:color w:val="000000"/>
          <w:szCs w:val="24"/>
          <w:lang w:val="en-GB"/>
        </w:rPr>
        <w:t>IMDRF discusses a</w:t>
      </w:r>
      <w:r w:rsidRPr="007464FC">
        <w:rPr>
          <w:rFonts w:ascii="Segoe UI" w:hAnsi="Segoe UI" w:cs="Segoe UI"/>
          <w:color w:val="000000"/>
          <w:szCs w:val="24"/>
          <w:lang w:val="en-GB"/>
        </w:rPr>
        <w:t xml:space="preserve">spects that describe </w:t>
      </w:r>
      <w:r w:rsidRPr="00686FCC">
        <w:rPr>
          <w:rFonts w:ascii="Segoe UI" w:hAnsi="Segoe UI" w:cs="Segoe UI"/>
          <w:b/>
          <w:bCs/>
          <w:color w:val="000000"/>
          <w:szCs w:val="24"/>
          <w:lang w:val="en-GB"/>
        </w:rPr>
        <w:t>changes to MLMD</w:t>
      </w:r>
      <w:r>
        <w:rPr>
          <w:rFonts w:ascii="Segoe UI" w:hAnsi="Segoe UI" w:cs="Segoe UI"/>
          <w:color w:val="000000"/>
          <w:szCs w:val="24"/>
          <w:lang w:val="en-GB"/>
        </w:rPr>
        <w:t>.</w:t>
      </w:r>
    </w:p>
    <w:p w14:paraId="050D8FD0" w14:textId="77777777" w:rsidR="00155A26" w:rsidRPr="008951FF" w:rsidRDefault="00155A26" w:rsidP="00155A26">
      <w:pPr>
        <w:autoSpaceDE w:val="0"/>
        <w:autoSpaceDN w:val="0"/>
        <w:adjustRightInd w:val="0"/>
        <w:spacing w:after="0"/>
        <w:rPr>
          <w:rFonts w:ascii="Segoe UI" w:hAnsi="Segoe UI" w:cs="Segoe UI"/>
          <w:i/>
          <w:iCs/>
          <w:color w:val="000000"/>
          <w:szCs w:val="24"/>
          <w:lang w:val="en-GB"/>
        </w:rPr>
      </w:pPr>
      <w:r w:rsidRPr="007464FC">
        <w:rPr>
          <w:rFonts w:ascii="Segoe UI" w:hAnsi="Segoe UI" w:cs="Segoe UI"/>
          <w:color w:val="000000"/>
          <w:szCs w:val="24"/>
          <w:lang w:val="en-GB"/>
        </w:rPr>
        <w:t xml:space="preserve">These </w:t>
      </w:r>
      <w:r>
        <w:rPr>
          <w:rFonts w:ascii="Segoe UI" w:hAnsi="Segoe UI" w:cs="Segoe UI"/>
          <w:color w:val="000000"/>
          <w:szCs w:val="24"/>
          <w:lang w:val="en-GB"/>
        </w:rPr>
        <w:t>aspects</w:t>
      </w:r>
      <w:r w:rsidRPr="007464FC">
        <w:rPr>
          <w:rFonts w:ascii="Segoe UI" w:hAnsi="Segoe UI" w:cs="Segoe UI"/>
          <w:color w:val="000000"/>
          <w:szCs w:val="24"/>
          <w:lang w:val="en-GB"/>
        </w:rPr>
        <w:t xml:space="preserve"> </w:t>
      </w:r>
      <w:r>
        <w:rPr>
          <w:rFonts w:ascii="Segoe UI" w:hAnsi="Segoe UI" w:cs="Segoe UI"/>
          <w:color w:val="000000"/>
          <w:szCs w:val="24"/>
          <w:lang w:val="en-GB"/>
        </w:rPr>
        <w:t>“</w:t>
      </w:r>
      <w:r w:rsidRPr="008951FF">
        <w:rPr>
          <w:rFonts w:ascii="Segoe UI" w:hAnsi="Segoe UI" w:cs="Segoe UI"/>
          <w:i/>
          <w:iCs/>
          <w:color w:val="000000"/>
          <w:szCs w:val="24"/>
          <w:lang w:val="en-GB"/>
        </w:rPr>
        <w:t>describe what changes, as well as why, where, when, and</w:t>
      </w:r>
    </w:p>
    <w:p w14:paraId="7452C0A7" w14:textId="77777777" w:rsidR="00155A26" w:rsidRPr="008951FF" w:rsidRDefault="00155A26" w:rsidP="00155A26">
      <w:pPr>
        <w:autoSpaceDE w:val="0"/>
        <w:autoSpaceDN w:val="0"/>
        <w:adjustRightInd w:val="0"/>
        <w:spacing w:after="0"/>
        <w:rPr>
          <w:rFonts w:ascii="Segoe UI" w:hAnsi="Segoe UI" w:cs="Segoe UI"/>
          <w:i/>
          <w:iCs/>
          <w:color w:val="000000"/>
          <w:szCs w:val="24"/>
          <w:lang w:val="en-GB"/>
        </w:rPr>
      </w:pPr>
      <w:r w:rsidRPr="008951FF">
        <w:rPr>
          <w:rFonts w:ascii="Segoe UI" w:hAnsi="Segoe UI" w:cs="Segoe UI"/>
          <w:i/>
          <w:iCs/>
          <w:color w:val="000000"/>
          <w:szCs w:val="24"/>
          <w:lang w:val="en-GB"/>
        </w:rPr>
        <w:t xml:space="preserve">how the MLMD change occurs.” </w:t>
      </w:r>
    </w:p>
    <w:p w14:paraId="494BF045" w14:textId="77777777" w:rsidR="00155A26" w:rsidRDefault="00155A26" w:rsidP="00155A26">
      <w:pPr>
        <w:autoSpaceDE w:val="0"/>
        <w:autoSpaceDN w:val="0"/>
        <w:adjustRightInd w:val="0"/>
        <w:spacing w:after="0"/>
        <w:rPr>
          <w:rFonts w:ascii="Segoe UI" w:hAnsi="Segoe UI" w:cs="Segoe UI"/>
          <w:color w:val="000000"/>
          <w:szCs w:val="24"/>
          <w:lang w:val="en-GB"/>
        </w:rPr>
      </w:pPr>
    </w:p>
    <w:p w14:paraId="1373F476" w14:textId="1E8D71BF" w:rsidR="00155A26" w:rsidRDefault="00155A26" w:rsidP="00155A26">
      <w:pPr>
        <w:autoSpaceDE w:val="0"/>
        <w:autoSpaceDN w:val="0"/>
        <w:adjustRightInd w:val="0"/>
        <w:spacing w:after="0"/>
        <w:rPr>
          <w:rFonts w:ascii="Segoe UI" w:hAnsi="Segoe UI" w:cs="Segoe UI"/>
          <w:color w:val="000000"/>
          <w:szCs w:val="24"/>
          <w:lang w:val="en-GB"/>
        </w:rPr>
      </w:pPr>
      <w:r>
        <w:rPr>
          <w:rFonts w:ascii="Segoe UI" w:hAnsi="Segoe UI" w:cs="Segoe UI"/>
          <w:color w:val="000000"/>
          <w:szCs w:val="24"/>
          <w:lang w:val="en-GB"/>
        </w:rPr>
        <w:t>IMDRF introduce</w:t>
      </w:r>
      <w:r w:rsidR="00686FCC">
        <w:rPr>
          <w:rFonts w:ascii="Segoe UI" w:hAnsi="Segoe UI" w:cs="Segoe UI"/>
          <w:color w:val="000000"/>
          <w:szCs w:val="24"/>
          <w:lang w:val="en-GB"/>
        </w:rPr>
        <w:t>s</w:t>
      </w:r>
      <w:r>
        <w:rPr>
          <w:rFonts w:ascii="Segoe UI" w:hAnsi="Segoe UI" w:cs="Segoe UI"/>
          <w:color w:val="000000"/>
          <w:szCs w:val="24"/>
          <w:lang w:val="en-GB"/>
        </w:rPr>
        <w:t xml:space="preserve"> “</w:t>
      </w:r>
      <w:r w:rsidRPr="00686FCC">
        <w:rPr>
          <w:rFonts w:ascii="Segoe UI" w:hAnsi="Segoe UI" w:cs="Segoe UI"/>
          <w:b/>
          <w:bCs/>
          <w:color w:val="000000"/>
          <w:szCs w:val="24"/>
          <w:lang w:val="en-GB"/>
        </w:rPr>
        <w:t>Changes to MLMD Environment for Data</w:t>
      </w:r>
      <w:r>
        <w:rPr>
          <w:rFonts w:ascii="Segoe UI" w:hAnsi="Segoe UI" w:cs="Segoe UI"/>
          <w:color w:val="000000"/>
          <w:szCs w:val="24"/>
          <w:lang w:val="en-GB"/>
        </w:rPr>
        <w:t>”.</w:t>
      </w:r>
    </w:p>
    <w:p w14:paraId="62760CB6" w14:textId="77777777" w:rsidR="00155A26" w:rsidRPr="009F2CE7" w:rsidRDefault="00155A26" w:rsidP="00155A26">
      <w:pPr>
        <w:autoSpaceDE w:val="0"/>
        <w:autoSpaceDN w:val="0"/>
        <w:adjustRightInd w:val="0"/>
        <w:spacing w:after="0"/>
        <w:rPr>
          <w:rFonts w:ascii="Segoe UI" w:hAnsi="Segoe UI" w:cs="Segoe UI"/>
          <w:i/>
          <w:iCs/>
          <w:color w:val="000000"/>
          <w:szCs w:val="24"/>
          <w:lang w:val="en-GB"/>
        </w:rPr>
      </w:pPr>
      <w:r w:rsidRPr="009F2CE7">
        <w:rPr>
          <w:rFonts w:ascii="Segoe UI" w:hAnsi="Segoe UI" w:cs="Segoe UI"/>
          <w:i/>
          <w:iCs/>
          <w:color w:val="000000"/>
          <w:szCs w:val="24"/>
          <w:lang w:val="en-GB"/>
        </w:rPr>
        <w:t>“The cause of an MLMD environmental change refers to the source of the change</w:t>
      </w:r>
    </w:p>
    <w:p w14:paraId="65D29026" w14:textId="77777777" w:rsidR="00155A26" w:rsidRPr="009F2CE7" w:rsidRDefault="00155A26" w:rsidP="00155A26">
      <w:pPr>
        <w:autoSpaceDE w:val="0"/>
        <w:autoSpaceDN w:val="0"/>
        <w:adjustRightInd w:val="0"/>
        <w:spacing w:after="0"/>
        <w:rPr>
          <w:rFonts w:ascii="Segoe UI" w:hAnsi="Segoe UI" w:cs="Segoe UI"/>
          <w:i/>
          <w:iCs/>
          <w:color w:val="000000"/>
          <w:szCs w:val="24"/>
          <w:lang w:val="en-GB"/>
        </w:rPr>
      </w:pPr>
      <w:r w:rsidRPr="009F2CE7">
        <w:rPr>
          <w:rFonts w:ascii="Segoe UI" w:hAnsi="Segoe UI" w:cs="Segoe UI"/>
          <w:i/>
          <w:iCs/>
          <w:color w:val="000000"/>
          <w:szCs w:val="24"/>
          <w:lang w:val="en-GB"/>
        </w:rPr>
        <w:t>relative to the development environment. Examples of such causes include changes to the format or quality of the MLMD inputs (e.g., changes to third party image processing, incidents of adversarial machine learning); changes in the patient population (e.g., demographic shift); changes in clinical practice (e.g., earlier interventions that mask features used by the ML model for classification), etc.</w:t>
      </w:r>
    </w:p>
    <w:p w14:paraId="59F0E4DC" w14:textId="77777777" w:rsidR="00155A26" w:rsidRPr="009F2CE7" w:rsidRDefault="00155A26" w:rsidP="00155A26">
      <w:pPr>
        <w:autoSpaceDE w:val="0"/>
        <w:autoSpaceDN w:val="0"/>
        <w:adjustRightInd w:val="0"/>
        <w:spacing w:after="0"/>
        <w:rPr>
          <w:rFonts w:ascii="Segoe UI" w:hAnsi="Segoe UI" w:cs="Segoe UI"/>
          <w:i/>
          <w:iCs/>
          <w:color w:val="000000"/>
          <w:szCs w:val="24"/>
          <w:lang w:val="en-GB"/>
        </w:rPr>
      </w:pPr>
    </w:p>
    <w:p w14:paraId="0988AAB6" w14:textId="77777777" w:rsidR="00155A26" w:rsidRPr="009F2CE7" w:rsidRDefault="00155A26" w:rsidP="00155A26">
      <w:pPr>
        <w:autoSpaceDE w:val="0"/>
        <w:autoSpaceDN w:val="0"/>
        <w:adjustRightInd w:val="0"/>
        <w:spacing w:after="0"/>
        <w:rPr>
          <w:rFonts w:ascii="Segoe UI" w:hAnsi="Segoe UI" w:cs="Segoe UI"/>
          <w:i/>
          <w:iCs/>
          <w:color w:val="000000"/>
          <w:szCs w:val="24"/>
          <w:lang w:val="en-GB"/>
        </w:rPr>
      </w:pPr>
      <w:r w:rsidRPr="009F2CE7">
        <w:rPr>
          <w:rFonts w:ascii="Segoe UI" w:hAnsi="Segoe UI" w:cs="Segoe UI"/>
          <w:i/>
          <w:iCs/>
          <w:color w:val="000000"/>
          <w:szCs w:val="24"/>
          <w:lang w:val="en-GB"/>
        </w:rPr>
        <w:lastRenderedPageBreak/>
        <w:t>The effect of an MLMD environmental change can involve deteriorated or improved</w:t>
      </w:r>
    </w:p>
    <w:p w14:paraId="5B09B2FA" w14:textId="77777777" w:rsidR="00155A26" w:rsidRPr="009F2CE7" w:rsidRDefault="00155A26" w:rsidP="00155A26">
      <w:pPr>
        <w:autoSpaceDE w:val="0"/>
        <w:autoSpaceDN w:val="0"/>
        <w:adjustRightInd w:val="0"/>
        <w:spacing w:after="0"/>
        <w:rPr>
          <w:rFonts w:ascii="Segoe UI" w:hAnsi="Segoe UI" w:cs="Segoe UI"/>
          <w:i/>
          <w:iCs/>
          <w:color w:val="000000"/>
          <w:szCs w:val="24"/>
          <w:lang w:val="en-GB"/>
        </w:rPr>
      </w:pPr>
      <w:r w:rsidRPr="009F2CE7">
        <w:rPr>
          <w:rFonts w:ascii="Segoe UI" w:hAnsi="Segoe UI" w:cs="Segoe UI"/>
          <w:i/>
          <w:iCs/>
          <w:color w:val="000000"/>
          <w:szCs w:val="24"/>
          <w:lang w:val="en-GB"/>
        </w:rPr>
        <w:t>performance, effectiveness, or safety.</w:t>
      </w:r>
    </w:p>
    <w:p w14:paraId="64BE7DCA" w14:textId="33517251" w:rsidR="00155A26" w:rsidRDefault="00155A26" w:rsidP="00155A26">
      <w:pPr>
        <w:autoSpaceDE w:val="0"/>
        <w:autoSpaceDN w:val="0"/>
        <w:adjustRightInd w:val="0"/>
        <w:spacing w:after="0"/>
        <w:rPr>
          <w:rFonts w:ascii="Segoe UI" w:hAnsi="Segoe UI" w:cs="Segoe UI"/>
          <w:i/>
          <w:iCs/>
          <w:color w:val="000000"/>
          <w:szCs w:val="24"/>
          <w:lang w:val="en-GB"/>
        </w:rPr>
      </w:pPr>
      <w:r w:rsidRPr="009F2CE7">
        <w:rPr>
          <w:rFonts w:ascii="Segoe UI" w:hAnsi="Segoe UI" w:cs="Segoe UI"/>
          <w:i/>
          <w:iCs/>
          <w:color w:val="000000"/>
          <w:szCs w:val="24"/>
          <w:lang w:val="en-GB"/>
        </w:rPr>
        <w:t>The domain of an MLMD environmental change refers to the scope or applicable extent of the change, which can be categorized as either homogeneous or heterogeneous. Heterogeneous changes are non-uniform changes that can be specific to one clinic, region, demographic, etc. (sometimes referred to as local changes). Homogeneous changes are changes that occur uniformly (universally, globally) over some groups or settings/context. Note that global does not denote around-the-world.”</w:t>
      </w:r>
    </w:p>
    <w:p w14:paraId="670C5338" w14:textId="77777777" w:rsidR="00155A26" w:rsidRPr="00976BF3" w:rsidRDefault="00155A26" w:rsidP="00686FCC">
      <w:pPr>
        <w:pStyle w:val="Listenabsatz"/>
        <w:numPr>
          <w:ilvl w:val="0"/>
          <w:numId w:val="0"/>
        </w:numPr>
        <w:autoSpaceDE w:val="0"/>
        <w:autoSpaceDN w:val="0"/>
        <w:adjustRightInd w:val="0"/>
        <w:spacing w:after="0"/>
        <w:ind w:left="1440"/>
        <w:rPr>
          <w:rFonts w:ascii="Segoe UI" w:hAnsi="Segoe UI" w:cs="Segoe UI"/>
          <w:b/>
          <w:bCs/>
          <w:color w:val="000000"/>
          <w:lang w:val="en-GB"/>
        </w:rPr>
      </w:pPr>
    </w:p>
    <w:p w14:paraId="5EE18879" w14:textId="77777777" w:rsidR="00155A26" w:rsidRDefault="00155A26" w:rsidP="00155A26">
      <w:pPr>
        <w:pStyle w:val="Listenabsatz"/>
        <w:numPr>
          <w:ilvl w:val="0"/>
          <w:numId w:val="20"/>
        </w:numPr>
        <w:autoSpaceDE w:val="0"/>
        <w:autoSpaceDN w:val="0"/>
        <w:adjustRightInd w:val="0"/>
        <w:spacing w:before="0" w:after="0"/>
        <w:rPr>
          <w:rFonts w:ascii="Segoe UI" w:hAnsi="Segoe UI" w:cs="Segoe UI"/>
          <w:b/>
          <w:bCs/>
          <w:color w:val="000000"/>
          <w:lang w:val="en-GB"/>
        </w:rPr>
      </w:pPr>
      <w:r>
        <w:rPr>
          <w:rFonts w:ascii="Segoe UI" w:hAnsi="Segoe UI" w:cs="Segoe UI"/>
          <w:b/>
          <w:bCs/>
          <w:color w:val="000000"/>
          <w:lang w:val="en-GB"/>
        </w:rPr>
        <w:t>Additional</w:t>
      </w:r>
      <w:r w:rsidRPr="00890FEC">
        <w:rPr>
          <w:rFonts w:ascii="Segoe UI" w:hAnsi="Segoe UI" w:cs="Segoe UI"/>
          <w:b/>
          <w:bCs/>
          <w:color w:val="000000"/>
          <w:lang w:val="en-GB"/>
        </w:rPr>
        <w:t xml:space="preserve"> amendments:</w:t>
      </w:r>
    </w:p>
    <w:p w14:paraId="0D3D70D6" w14:textId="77777777" w:rsidR="00155A26" w:rsidRDefault="00155A26" w:rsidP="00155A26">
      <w:pPr>
        <w:autoSpaceDE w:val="0"/>
        <w:autoSpaceDN w:val="0"/>
        <w:adjustRightInd w:val="0"/>
        <w:spacing w:after="0"/>
        <w:rPr>
          <w:rFonts w:ascii="Segoe UI" w:hAnsi="Segoe UI" w:cs="Segoe UI"/>
          <w:b/>
          <w:bCs/>
          <w:color w:val="000000"/>
          <w:szCs w:val="24"/>
          <w:lang w:val="en-GB"/>
        </w:rPr>
      </w:pPr>
    </w:p>
    <w:p w14:paraId="091E8448" w14:textId="77777777" w:rsidR="00155A26" w:rsidRDefault="00155A26" w:rsidP="00155A26">
      <w:pPr>
        <w:autoSpaceDE w:val="0"/>
        <w:autoSpaceDN w:val="0"/>
        <w:adjustRightInd w:val="0"/>
        <w:spacing w:after="0"/>
        <w:rPr>
          <w:rFonts w:ascii="Segoe UI" w:hAnsi="Segoe UI" w:cs="Segoe UI"/>
          <w:b/>
          <w:bCs/>
          <w:color w:val="000000"/>
          <w:szCs w:val="24"/>
          <w:lang w:val="en-GB"/>
        </w:rPr>
      </w:pPr>
      <w:r>
        <w:rPr>
          <w:rFonts w:ascii="Segoe UI" w:hAnsi="Segoe UI" w:cs="Segoe UI"/>
          <w:b/>
          <w:bCs/>
          <w:color w:val="000000"/>
          <w:szCs w:val="24"/>
          <w:lang w:val="en-GB"/>
        </w:rPr>
        <w:t>Clarification &amp; correction</w:t>
      </w:r>
    </w:p>
    <w:p w14:paraId="72C57D05" w14:textId="77777777" w:rsidR="00155A26" w:rsidRDefault="00155A26" w:rsidP="00155A26">
      <w:pPr>
        <w:autoSpaceDE w:val="0"/>
        <w:autoSpaceDN w:val="0"/>
        <w:adjustRightInd w:val="0"/>
        <w:spacing w:after="0"/>
        <w:rPr>
          <w:rFonts w:ascii="Segoe UI" w:hAnsi="Segoe UI" w:cs="Segoe UI"/>
          <w:b/>
          <w:bCs/>
          <w:color w:val="000000"/>
          <w:szCs w:val="24"/>
          <w:lang w:val="en-GB"/>
        </w:rPr>
      </w:pPr>
    </w:p>
    <w:p w14:paraId="1D5A11DE" w14:textId="1E9C9E01" w:rsidR="00155A26" w:rsidRPr="00AD41EE" w:rsidRDefault="00155A26" w:rsidP="00155A26">
      <w:pPr>
        <w:autoSpaceDE w:val="0"/>
        <w:autoSpaceDN w:val="0"/>
        <w:adjustRightInd w:val="0"/>
        <w:spacing w:after="0"/>
        <w:rPr>
          <w:rFonts w:ascii="Segoe UI" w:hAnsi="Segoe UI" w:cs="Segoe UI"/>
          <w:color w:val="000000"/>
          <w:szCs w:val="24"/>
          <w:lang w:val="en-GB"/>
        </w:rPr>
      </w:pPr>
      <w:r w:rsidRPr="00AD41EE">
        <w:rPr>
          <w:rFonts w:ascii="Segoe UI" w:hAnsi="Segoe UI" w:cs="Segoe UI"/>
          <w:color w:val="000000"/>
          <w:szCs w:val="24"/>
          <w:lang w:val="en-GB"/>
        </w:rPr>
        <w:t xml:space="preserve">Not all machine learning approaches </w:t>
      </w:r>
      <w:r>
        <w:rPr>
          <w:rFonts w:ascii="Segoe UI" w:hAnsi="Segoe UI" w:cs="Segoe UI"/>
          <w:color w:val="000000"/>
          <w:szCs w:val="24"/>
          <w:lang w:val="en-GB"/>
        </w:rPr>
        <w:t>map</w:t>
      </w:r>
      <w:r w:rsidRPr="00AD41EE">
        <w:rPr>
          <w:rFonts w:ascii="Segoe UI" w:hAnsi="Segoe UI" w:cs="Segoe UI"/>
          <w:color w:val="000000"/>
          <w:szCs w:val="24"/>
          <w:lang w:val="en-GB"/>
        </w:rPr>
        <w:t xml:space="preserve"> data patterns on output without intermediate hypothesis </w:t>
      </w:r>
      <w:r>
        <w:rPr>
          <w:rFonts w:ascii="Segoe UI" w:hAnsi="Segoe UI" w:cs="Segoe UI"/>
          <w:color w:val="000000"/>
          <w:szCs w:val="24"/>
          <w:lang w:val="en-GB"/>
        </w:rPr>
        <w:t>model</w:t>
      </w:r>
      <w:r w:rsidR="00686FCC">
        <w:rPr>
          <w:rFonts w:ascii="Segoe UI" w:hAnsi="Segoe UI" w:cs="Segoe UI"/>
          <w:color w:val="000000"/>
          <w:szCs w:val="24"/>
          <w:lang w:val="en-GB"/>
        </w:rPr>
        <w:t>l</w:t>
      </w:r>
      <w:r>
        <w:rPr>
          <w:rFonts w:ascii="Segoe UI" w:hAnsi="Segoe UI" w:cs="Segoe UI"/>
          <w:color w:val="000000"/>
          <w:szCs w:val="24"/>
          <w:lang w:val="en-GB"/>
        </w:rPr>
        <w:t>ing as suggested in the introduction of the paper (line 119). Some statistical and Bayesian models as well as rule-based approaches support explicit mechanistic mode</w:t>
      </w:r>
      <w:r w:rsidR="00686FCC">
        <w:rPr>
          <w:rFonts w:ascii="Segoe UI" w:hAnsi="Segoe UI" w:cs="Segoe UI"/>
          <w:color w:val="000000"/>
          <w:szCs w:val="24"/>
          <w:lang w:val="en-GB"/>
        </w:rPr>
        <w:t>l</w:t>
      </w:r>
      <w:r>
        <w:rPr>
          <w:rFonts w:ascii="Segoe UI" w:hAnsi="Segoe UI" w:cs="Segoe UI"/>
          <w:color w:val="000000"/>
          <w:szCs w:val="24"/>
          <w:lang w:val="en-GB"/>
        </w:rPr>
        <w:t xml:space="preserve">ling. </w:t>
      </w:r>
    </w:p>
    <w:p w14:paraId="236C3E9A" w14:textId="77777777" w:rsidR="00155A26" w:rsidRDefault="00155A26" w:rsidP="00155A26">
      <w:pPr>
        <w:autoSpaceDE w:val="0"/>
        <w:autoSpaceDN w:val="0"/>
        <w:adjustRightInd w:val="0"/>
        <w:spacing w:after="0"/>
        <w:rPr>
          <w:rFonts w:ascii="Segoe UI" w:hAnsi="Segoe UI" w:cs="Segoe UI"/>
          <w:b/>
          <w:bCs/>
          <w:color w:val="000000"/>
          <w:szCs w:val="24"/>
          <w:lang w:val="en-GB"/>
        </w:rPr>
      </w:pPr>
    </w:p>
    <w:p w14:paraId="0AAA6254" w14:textId="77777777" w:rsidR="00155A26" w:rsidRDefault="00155A26" w:rsidP="00155A26">
      <w:pPr>
        <w:autoSpaceDE w:val="0"/>
        <w:autoSpaceDN w:val="0"/>
        <w:adjustRightInd w:val="0"/>
        <w:spacing w:after="0"/>
        <w:rPr>
          <w:rFonts w:ascii="Segoe UI" w:hAnsi="Segoe UI" w:cs="Segoe UI"/>
          <w:b/>
          <w:bCs/>
          <w:color w:val="000000"/>
          <w:szCs w:val="24"/>
          <w:lang w:val="en-GB"/>
        </w:rPr>
      </w:pPr>
      <w:r>
        <w:rPr>
          <w:rFonts w:ascii="Segoe UI" w:hAnsi="Segoe UI" w:cs="Segoe UI"/>
          <w:b/>
          <w:bCs/>
          <w:color w:val="000000"/>
          <w:szCs w:val="24"/>
          <w:lang w:val="en-GB"/>
        </w:rPr>
        <w:t>Trends in Learning of MLMD</w:t>
      </w:r>
    </w:p>
    <w:p w14:paraId="7F057A2A" w14:textId="79664E5F" w:rsidR="00155A26" w:rsidRDefault="00155A26" w:rsidP="00155A26">
      <w:pPr>
        <w:autoSpaceDE w:val="0"/>
        <w:autoSpaceDN w:val="0"/>
        <w:adjustRightInd w:val="0"/>
        <w:spacing w:after="0"/>
        <w:rPr>
          <w:rFonts w:ascii="Segoe UI" w:hAnsi="Segoe UI" w:cs="Segoe UI"/>
          <w:color w:val="000000"/>
          <w:szCs w:val="24"/>
          <w:lang w:val="en-GB"/>
        </w:rPr>
      </w:pPr>
      <w:r w:rsidRPr="00E26BAA">
        <w:rPr>
          <w:rFonts w:ascii="Segoe UI" w:hAnsi="Segoe UI" w:cs="Segoe UI"/>
          <w:color w:val="000000"/>
          <w:szCs w:val="24"/>
          <w:lang w:val="en-GB"/>
        </w:rPr>
        <w:t>Though</w:t>
      </w:r>
      <w:r>
        <w:rPr>
          <w:rFonts w:ascii="Segoe UI" w:hAnsi="Segoe UI" w:cs="Segoe UI"/>
          <w:color w:val="000000"/>
          <w:szCs w:val="24"/>
          <w:lang w:val="en-GB"/>
        </w:rPr>
        <w:t xml:space="preserve"> currently continuously learning </w:t>
      </w:r>
      <w:r w:rsidRPr="00E26BAA">
        <w:rPr>
          <w:rFonts w:ascii="Segoe UI" w:hAnsi="Segoe UI" w:cs="Segoe UI"/>
          <w:color w:val="000000"/>
          <w:szCs w:val="24"/>
          <w:lang w:val="en-GB"/>
        </w:rPr>
        <w:t>MLMD</w:t>
      </w:r>
      <w:r>
        <w:rPr>
          <w:rFonts w:ascii="Segoe UI" w:hAnsi="Segoe UI" w:cs="Segoe UI"/>
          <w:color w:val="000000"/>
          <w:szCs w:val="24"/>
          <w:lang w:val="en-GB"/>
        </w:rPr>
        <w:t xml:space="preserve"> may not be certified, there are approaches to cover learning </w:t>
      </w:r>
      <w:r w:rsidRPr="00E26BAA">
        <w:rPr>
          <w:rFonts w:ascii="Segoe UI" w:hAnsi="Segoe UI" w:cs="Segoe UI"/>
          <w:color w:val="000000"/>
          <w:szCs w:val="24"/>
          <w:lang w:val="en-GB"/>
        </w:rPr>
        <w:t>MLMD</w:t>
      </w:r>
      <w:r>
        <w:rPr>
          <w:rFonts w:ascii="Segoe UI" w:hAnsi="Segoe UI" w:cs="Segoe UI"/>
          <w:color w:val="000000"/>
          <w:szCs w:val="24"/>
          <w:lang w:val="en-GB"/>
        </w:rPr>
        <w:t xml:space="preserve"> by regulation in Europe and in the USA. </w:t>
      </w:r>
    </w:p>
    <w:p w14:paraId="102C8749" w14:textId="1967CE21" w:rsidR="00155A26" w:rsidRPr="00686FCC" w:rsidRDefault="00155A26" w:rsidP="00155A26">
      <w:pPr>
        <w:autoSpaceDE w:val="0"/>
        <w:autoSpaceDN w:val="0"/>
        <w:adjustRightInd w:val="0"/>
        <w:spacing w:after="0"/>
        <w:rPr>
          <w:rFonts w:ascii="Segoe UI" w:hAnsi="Segoe UI" w:cs="Segoe UI"/>
          <w:b/>
          <w:bCs/>
          <w:color w:val="000000"/>
          <w:szCs w:val="24"/>
          <w:lang w:val="en-GB"/>
        </w:rPr>
      </w:pPr>
      <w:r w:rsidRPr="00686FCC">
        <w:rPr>
          <w:rFonts w:ascii="Segoe UI" w:hAnsi="Segoe UI" w:cs="Segoe UI"/>
          <w:b/>
          <w:bCs/>
          <w:color w:val="000000"/>
          <w:szCs w:val="24"/>
          <w:lang w:val="en-GB"/>
        </w:rPr>
        <w:t>E</w:t>
      </w:r>
      <w:r w:rsidR="00686FCC">
        <w:rPr>
          <w:rFonts w:ascii="Segoe UI" w:hAnsi="Segoe UI" w:cs="Segoe UI"/>
          <w:b/>
          <w:bCs/>
          <w:color w:val="000000"/>
          <w:szCs w:val="24"/>
          <w:lang w:val="en-GB"/>
        </w:rPr>
        <w:t>U</w:t>
      </w:r>
      <w:r w:rsidRPr="00686FCC">
        <w:rPr>
          <w:rFonts w:ascii="Segoe UI" w:hAnsi="Segoe UI" w:cs="Segoe UI"/>
          <w:b/>
          <w:bCs/>
          <w:color w:val="000000"/>
          <w:szCs w:val="24"/>
          <w:lang w:val="en-GB"/>
        </w:rPr>
        <w:t>:</w:t>
      </w:r>
    </w:p>
    <w:p w14:paraId="174EAFE6" w14:textId="77777777" w:rsidR="00155A26" w:rsidRPr="00D14D56" w:rsidRDefault="00155A26" w:rsidP="00155A26">
      <w:pPr>
        <w:autoSpaceDE w:val="0"/>
        <w:autoSpaceDN w:val="0"/>
        <w:adjustRightInd w:val="0"/>
        <w:spacing w:after="0"/>
        <w:rPr>
          <w:rFonts w:ascii="Segoe UI" w:hAnsi="Segoe UI" w:cs="Segoe UI"/>
          <w:i/>
          <w:iCs/>
          <w:color w:val="000000"/>
          <w:szCs w:val="24"/>
          <w:lang w:val="en-GB"/>
        </w:rPr>
      </w:pPr>
      <w:r>
        <w:rPr>
          <w:rFonts w:ascii="Segoe UI" w:hAnsi="Segoe UI" w:cs="Segoe UI"/>
          <w:color w:val="000000"/>
          <w:szCs w:val="24"/>
          <w:lang w:val="en-GB"/>
        </w:rPr>
        <w:t>“</w:t>
      </w:r>
      <w:r w:rsidRPr="00D14D56">
        <w:rPr>
          <w:rFonts w:ascii="Segoe UI" w:hAnsi="Segoe UI" w:cs="Segoe UI"/>
          <w:i/>
          <w:iCs/>
          <w:color w:val="000000"/>
          <w:szCs w:val="24"/>
          <w:lang w:val="en-GB"/>
        </w:rPr>
        <w:t>For high-risk AI systems that continue to learn after being placed on the market or</w:t>
      </w:r>
    </w:p>
    <w:p w14:paraId="40BEBCC2" w14:textId="77777777" w:rsidR="00155A26" w:rsidRPr="00D14D56" w:rsidRDefault="00155A26" w:rsidP="00155A26">
      <w:pPr>
        <w:autoSpaceDE w:val="0"/>
        <w:autoSpaceDN w:val="0"/>
        <w:adjustRightInd w:val="0"/>
        <w:spacing w:after="0"/>
        <w:rPr>
          <w:rFonts w:ascii="Segoe UI" w:hAnsi="Segoe UI" w:cs="Segoe UI"/>
          <w:i/>
          <w:iCs/>
          <w:color w:val="000000"/>
          <w:szCs w:val="24"/>
          <w:lang w:val="en-GB"/>
        </w:rPr>
      </w:pPr>
      <w:r w:rsidRPr="00D14D56">
        <w:rPr>
          <w:rFonts w:ascii="Segoe UI" w:hAnsi="Segoe UI" w:cs="Segoe UI"/>
          <w:i/>
          <w:iCs/>
          <w:color w:val="000000"/>
          <w:szCs w:val="24"/>
          <w:lang w:val="en-GB"/>
        </w:rPr>
        <w:t>put into service, changes to the high-risk AI system and its performance that have</w:t>
      </w:r>
    </w:p>
    <w:p w14:paraId="705C2CC6" w14:textId="77777777" w:rsidR="00155A26" w:rsidRPr="00D14D56" w:rsidRDefault="00155A26" w:rsidP="00155A26">
      <w:pPr>
        <w:autoSpaceDE w:val="0"/>
        <w:autoSpaceDN w:val="0"/>
        <w:adjustRightInd w:val="0"/>
        <w:spacing w:after="0"/>
        <w:rPr>
          <w:rFonts w:ascii="Segoe UI" w:hAnsi="Segoe UI" w:cs="Segoe UI"/>
          <w:i/>
          <w:iCs/>
          <w:color w:val="000000"/>
          <w:szCs w:val="24"/>
          <w:lang w:val="en-GB"/>
        </w:rPr>
      </w:pPr>
      <w:r w:rsidRPr="00D14D56">
        <w:rPr>
          <w:rFonts w:ascii="Segoe UI" w:hAnsi="Segoe UI" w:cs="Segoe UI"/>
          <w:i/>
          <w:iCs/>
          <w:color w:val="000000"/>
          <w:szCs w:val="24"/>
          <w:lang w:val="en-GB"/>
        </w:rPr>
        <w:t>been pre-determined by the provider at the moment of the initial conformity</w:t>
      </w:r>
    </w:p>
    <w:p w14:paraId="1B2EA104" w14:textId="77777777" w:rsidR="00155A26" w:rsidRPr="00D14D56" w:rsidRDefault="00155A26" w:rsidP="00155A26">
      <w:pPr>
        <w:autoSpaceDE w:val="0"/>
        <w:autoSpaceDN w:val="0"/>
        <w:adjustRightInd w:val="0"/>
        <w:spacing w:after="0"/>
        <w:rPr>
          <w:rFonts w:ascii="Segoe UI" w:hAnsi="Segoe UI" w:cs="Segoe UI"/>
          <w:i/>
          <w:iCs/>
          <w:color w:val="000000"/>
          <w:szCs w:val="24"/>
          <w:lang w:val="en-GB"/>
        </w:rPr>
      </w:pPr>
      <w:r w:rsidRPr="00D14D56">
        <w:rPr>
          <w:rFonts w:ascii="Segoe UI" w:hAnsi="Segoe UI" w:cs="Segoe UI"/>
          <w:i/>
          <w:iCs/>
          <w:color w:val="000000"/>
          <w:szCs w:val="24"/>
          <w:lang w:val="en-GB"/>
        </w:rPr>
        <w:t>assessment and are part of the information contained in the technical documentation</w:t>
      </w:r>
    </w:p>
    <w:p w14:paraId="66E3DE4F" w14:textId="77777777" w:rsidR="00155A26" w:rsidRDefault="00155A26" w:rsidP="00155A26">
      <w:pPr>
        <w:autoSpaceDE w:val="0"/>
        <w:autoSpaceDN w:val="0"/>
        <w:adjustRightInd w:val="0"/>
        <w:spacing w:after="0"/>
        <w:rPr>
          <w:rFonts w:ascii="Segoe UI" w:hAnsi="Segoe UI" w:cs="Segoe UI"/>
          <w:i/>
          <w:iCs/>
          <w:color w:val="000000"/>
          <w:szCs w:val="24"/>
          <w:lang w:val="en-GB"/>
        </w:rPr>
      </w:pPr>
      <w:r w:rsidRPr="00D14D56">
        <w:rPr>
          <w:rFonts w:ascii="Segoe UI" w:hAnsi="Segoe UI" w:cs="Segoe UI"/>
          <w:i/>
          <w:iCs/>
          <w:color w:val="000000"/>
          <w:szCs w:val="24"/>
          <w:lang w:val="en-GB"/>
        </w:rPr>
        <w:t>referred to in point 2(f) of Annex IV, shall not constitute a substantial modification.”</w:t>
      </w:r>
    </w:p>
    <w:p w14:paraId="4ED45DF5" w14:textId="3AAD02FC" w:rsidR="00155A26" w:rsidRDefault="009417B8" w:rsidP="00155A26">
      <w:pPr>
        <w:autoSpaceDE w:val="0"/>
        <w:autoSpaceDN w:val="0"/>
        <w:adjustRightInd w:val="0"/>
        <w:spacing w:after="0"/>
        <w:rPr>
          <w:rFonts w:ascii="Segoe UI" w:hAnsi="Segoe UI" w:cs="Segoe UI"/>
          <w:color w:val="000000"/>
          <w:szCs w:val="24"/>
          <w:lang w:val="en-GB"/>
        </w:rPr>
      </w:pPr>
      <w:r>
        <w:rPr>
          <w:rFonts w:ascii="Segoe UI" w:hAnsi="Segoe UI" w:cs="Segoe UI"/>
          <w:color w:val="000000"/>
          <w:szCs w:val="24"/>
          <w:lang w:val="en-GB"/>
        </w:rPr>
        <w:t xml:space="preserve">Source: </w:t>
      </w:r>
      <w:r w:rsidR="00155A26">
        <w:rPr>
          <w:rFonts w:ascii="Segoe UI" w:hAnsi="Segoe UI" w:cs="Segoe UI"/>
          <w:color w:val="000000"/>
          <w:szCs w:val="24"/>
          <w:lang w:val="en-GB"/>
        </w:rPr>
        <w:t xml:space="preserve">Second clause in Art. 43 paragraph 4 </w:t>
      </w:r>
      <w:r w:rsidR="00155A26" w:rsidRPr="00D14D56">
        <w:rPr>
          <w:rFonts w:ascii="Segoe UI" w:hAnsi="Segoe UI" w:cs="Segoe UI"/>
          <w:color w:val="000000"/>
          <w:szCs w:val="24"/>
          <w:lang w:val="en-GB"/>
        </w:rPr>
        <w:t>Artificial Intelligence Act (AIA)</w:t>
      </w:r>
    </w:p>
    <w:p w14:paraId="66A15466" w14:textId="64D993B0" w:rsidR="00155A26" w:rsidRDefault="005E787E" w:rsidP="00155A26">
      <w:pPr>
        <w:autoSpaceDE w:val="0"/>
        <w:autoSpaceDN w:val="0"/>
        <w:adjustRightInd w:val="0"/>
        <w:spacing w:after="0"/>
        <w:rPr>
          <w:rFonts w:ascii="Segoe UI" w:hAnsi="Segoe UI" w:cs="Segoe UI"/>
          <w:color w:val="000000"/>
          <w:szCs w:val="24"/>
          <w:lang w:val="en-GB"/>
        </w:rPr>
      </w:pPr>
      <w:hyperlink r:id="rId10" w:history="1">
        <w:r w:rsidR="00155A26" w:rsidRPr="00465920">
          <w:rPr>
            <w:rStyle w:val="Hyperlink"/>
            <w:rFonts w:ascii="Segoe UI" w:hAnsi="Segoe UI" w:cs="Segoe UI"/>
            <w:szCs w:val="24"/>
            <w:lang w:val="en-GB"/>
          </w:rPr>
          <w:t>https://eur-lex.europa.eu/resource.html?uri=cellar:e0649735-a372-11eb-9585-01aa75ed71a1.0001.02/DOC_1&amp;format=PDF</w:t>
        </w:r>
      </w:hyperlink>
      <w:r w:rsidR="00155A26">
        <w:rPr>
          <w:rFonts w:ascii="Segoe UI" w:hAnsi="Segoe UI" w:cs="Segoe UI"/>
          <w:color w:val="000000"/>
          <w:szCs w:val="24"/>
          <w:lang w:val="en-GB"/>
        </w:rPr>
        <w:t xml:space="preserve">  accessed 22.6.22</w:t>
      </w:r>
    </w:p>
    <w:p w14:paraId="562FC05E" w14:textId="77777777" w:rsidR="00155A26" w:rsidRPr="00686FCC" w:rsidRDefault="00155A26" w:rsidP="00155A26">
      <w:pPr>
        <w:autoSpaceDE w:val="0"/>
        <w:autoSpaceDN w:val="0"/>
        <w:adjustRightInd w:val="0"/>
        <w:spacing w:after="0"/>
        <w:rPr>
          <w:rFonts w:ascii="Segoe UI" w:hAnsi="Segoe UI" w:cs="Segoe UI"/>
          <w:b/>
          <w:bCs/>
          <w:color w:val="000000"/>
          <w:szCs w:val="24"/>
          <w:lang w:val="en-GB"/>
        </w:rPr>
      </w:pPr>
      <w:r w:rsidRPr="00686FCC">
        <w:rPr>
          <w:rFonts w:ascii="Segoe UI" w:hAnsi="Segoe UI" w:cs="Segoe UI"/>
          <w:b/>
          <w:bCs/>
          <w:color w:val="000000"/>
          <w:szCs w:val="24"/>
          <w:lang w:val="en-GB"/>
        </w:rPr>
        <w:t>USA:</w:t>
      </w:r>
    </w:p>
    <w:p w14:paraId="00F3C4E6" w14:textId="77777777" w:rsidR="00155A26" w:rsidRPr="007D45DC" w:rsidRDefault="00155A26" w:rsidP="00155A26">
      <w:pPr>
        <w:autoSpaceDE w:val="0"/>
        <w:autoSpaceDN w:val="0"/>
        <w:adjustRightInd w:val="0"/>
        <w:spacing w:after="0"/>
        <w:rPr>
          <w:rFonts w:ascii="Segoe UI" w:hAnsi="Segoe UI" w:cs="Segoe UI"/>
          <w:i/>
          <w:iCs/>
          <w:color w:val="000000"/>
          <w:szCs w:val="24"/>
          <w:lang w:val="en-GB"/>
        </w:rPr>
      </w:pPr>
      <w:r>
        <w:rPr>
          <w:rFonts w:ascii="Segoe UI" w:hAnsi="Segoe UI" w:cs="Segoe UI"/>
          <w:color w:val="000000"/>
          <w:szCs w:val="24"/>
          <w:lang w:val="en-GB"/>
        </w:rPr>
        <w:t>FDA ex</w:t>
      </w:r>
      <w:r w:rsidRPr="000C69C7">
        <w:rPr>
          <w:rFonts w:ascii="Segoe UI" w:hAnsi="Segoe UI" w:cs="Segoe UI"/>
          <w:color w:val="000000"/>
          <w:szCs w:val="24"/>
          <w:lang w:val="en-GB"/>
        </w:rPr>
        <w:t>pect</w:t>
      </w:r>
      <w:r>
        <w:rPr>
          <w:rFonts w:ascii="Segoe UI" w:hAnsi="Segoe UI" w:cs="Segoe UI"/>
          <w:color w:val="000000"/>
          <w:szCs w:val="24"/>
          <w:lang w:val="en-GB"/>
        </w:rPr>
        <w:t>s</w:t>
      </w:r>
      <w:r w:rsidRPr="000C69C7">
        <w:rPr>
          <w:rFonts w:ascii="Segoe UI" w:hAnsi="Segoe UI" w:cs="Segoe UI"/>
          <w:color w:val="000000"/>
          <w:szCs w:val="24"/>
          <w:lang w:val="en-GB"/>
        </w:rPr>
        <w:t xml:space="preserve"> </w:t>
      </w:r>
      <w:r>
        <w:rPr>
          <w:rFonts w:ascii="Segoe UI" w:hAnsi="Segoe UI" w:cs="Segoe UI"/>
          <w:color w:val="000000"/>
          <w:szCs w:val="24"/>
          <w:lang w:val="en-GB"/>
        </w:rPr>
        <w:t>“</w:t>
      </w:r>
      <w:r w:rsidRPr="007D45DC">
        <w:rPr>
          <w:rFonts w:ascii="Segoe UI" w:hAnsi="Segoe UI" w:cs="Segoe UI"/>
          <w:i/>
          <w:iCs/>
          <w:color w:val="000000"/>
          <w:szCs w:val="24"/>
          <w:lang w:val="en-GB"/>
        </w:rPr>
        <w:t xml:space="preserve">manufacturers to monitor the AI/ML device and incorporate a risk management and other approaches outlined in “Deciding When to Submit a 510(k) for a Software Change </w:t>
      </w:r>
      <w:r w:rsidRPr="007D45DC">
        <w:rPr>
          <w:rFonts w:ascii="Segoe UI" w:hAnsi="Segoe UI" w:cs="Segoe UI"/>
          <w:i/>
          <w:iCs/>
          <w:color w:val="000000"/>
          <w:szCs w:val="24"/>
          <w:lang w:val="en-GB"/>
        </w:rPr>
        <w:lastRenderedPageBreak/>
        <w:t>to an Existing Device”</w:t>
      </w:r>
      <w:r w:rsidRPr="007D45DC">
        <w:rPr>
          <w:rStyle w:val="Funotenzeichen"/>
          <w:rFonts w:ascii="Segoe UI" w:hAnsi="Segoe UI" w:cs="Segoe UI"/>
          <w:i/>
          <w:iCs/>
          <w:color w:val="000000"/>
          <w:szCs w:val="24"/>
          <w:lang w:val="en-GB"/>
        </w:rPr>
        <w:footnoteReference w:id="1"/>
      </w:r>
      <w:r w:rsidRPr="007D45DC">
        <w:rPr>
          <w:rFonts w:ascii="Segoe UI" w:hAnsi="Segoe UI" w:cs="Segoe UI"/>
          <w:i/>
          <w:iCs/>
          <w:color w:val="000000"/>
          <w:szCs w:val="24"/>
          <w:lang w:val="en-GB"/>
        </w:rPr>
        <w:t xml:space="preserve"> in development, validation, and execution of the algorithm changes (</w:t>
      </w:r>
      <w:proofErr w:type="spellStart"/>
      <w:r w:rsidRPr="007D45DC">
        <w:rPr>
          <w:rFonts w:ascii="Segoe UI" w:hAnsi="Segoe UI" w:cs="Segoe UI"/>
          <w:i/>
          <w:iCs/>
          <w:color w:val="000000"/>
          <w:szCs w:val="24"/>
          <w:lang w:val="en-GB"/>
        </w:rPr>
        <w:t>SaMD</w:t>
      </w:r>
      <w:proofErr w:type="spellEnd"/>
      <w:r w:rsidRPr="007D45DC">
        <w:rPr>
          <w:rFonts w:ascii="Segoe UI" w:hAnsi="Segoe UI" w:cs="Segoe UI"/>
          <w:i/>
          <w:iCs/>
          <w:color w:val="000000"/>
          <w:szCs w:val="24"/>
          <w:lang w:val="en-GB"/>
        </w:rPr>
        <w:t xml:space="preserve"> Pre-Specifications and Algorithm Change Protocol</w:t>
      </w:r>
      <w:proofErr w:type="gramStart"/>
      <w:r w:rsidRPr="007D45DC">
        <w:rPr>
          <w:rFonts w:ascii="Segoe UI" w:hAnsi="Segoe UI" w:cs="Segoe UI"/>
          <w:i/>
          <w:iCs/>
          <w:color w:val="000000"/>
          <w:szCs w:val="24"/>
          <w:lang w:val="en-GB"/>
        </w:rPr>
        <w:t>);</w:t>
      </w:r>
      <w:r>
        <w:rPr>
          <w:rFonts w:ascii="Segoe UI" w:hAnsi="Segoe UI" w:cs="Segoe UI"/>
          <w:i/>
          <w:iCs/>
          <w:color w:val="000000"/>
          <w:szCs w:val="24"/>
          <w:lang w:val="en-GB"/>
        </w:rPr>
        <w:t>…</w:t>
      </w:r>
      <w:proofErr w:type="gramEnd"/>
    </w:p>
    <w:p w14:paraId="6B97EB03" w14:textId="3E5B776B" w:rsidR="00155A26" w:rsidRPr="007D45DC" w:rsidRDefault="00155A26" w:rsidP="00155A26">
      <w:pPr>
        <w:autoSpaceDE w:val="0"/>
        <w:autoSpaceDN w:val="0"/>
        <w:adjustRightInd w:val="0"/>
        <w:spacing w:after="0"/>
        <w:rPr>
          <w:rFonts w:ascii="Segoe UI" w:hAnsi="Segoe UI" w:cs="Segoe UI"/>
          <w:i/>
          <w:iCs/>
          <w:color w:val="000000"/>
          <w:szCs w:val="24"/>
          <w:lang w:val="en-GB"/>
        </w:rPr>
      </w:pPr>
      <w:r w:rsidRPr="007D45DC">
        <w:rPr>
          <w:rFonts w:ascii="Segoe UI" w:hAnsi="Segoe UI" w:cs="Segoe UI"/>
          <w:i/>
          <w:iCs/>
          <w:color w:val="000000"/>
          <w:szCs w:val="24"/>
          <w:lang w:val="en-GB"/>
        </w:rPr>
        <w:t xml:space="preserve">The predetermined change control plan would include the types of anticipated modifications – </w:t>
      </w:r>
      <w:proofErr w:type="spellStart"/>
      <w:r w:rsidRPr="007D45DC">
        <w:rPr>
          <w:rFonts w:ascii="Segoe UI" w:hAnsi="Segoe UI" w:cs="Segoe UI"/>
          <w:i/>
          <w:iCs/>
          <w:color w:val="000000"/>
          <w:szCs w:val="24"/>
          <w:lang w:val="en-GB"/>
        </w:rPr>
        <w:t>SaMD</w:t>
      </w:r>
      <w:proofErr w:type="spellEnd"/>
      <w:r w:rsidRPr="007D45DC">
        <w:rPr>
          <w:rFonts w:ascii="Segoe UI" w:hAnsi="Segoe UI" w:cs="Segoe UI"/>
          <w:i/>
          <w:iCs/>
          <w:color w:val="000000"/>
          <w:szCs w:val="24"/>
          <w:lang w:val="en-GB"/>
        </w:rPr>
        <w:t xml:space="preserve"> Pre-Specifications – based on the retraining and model update strategy, and the associated methodology – Algorithm Change Protocol – being used to implement those changes in a controlled manner that manages risks to patients.</w:t>
      </w:r>
      <w:r>
        <w:rPr>
          <w:rFonts w:ascii="Segoe UI" w:hAnsi="Segoe UI" w:cs="Segoe UI"/>
          <w:i/>
          <w:iCs/>
          <w:color w:val="000000"/>
          <w:szCs w:val="24"/>
          <w:lang w:val="en-GB"/>
        </w:rPr>
        <w:t>”</w:t>
      </w:r>
    </w:p>
    <w:p w14:paraId="3E1FC79E" w14:textId="77777777" w:rsidR="00155A26" w:rsidRDefault="00155A26" w:rsidP="00155A26">
      <w:pPr>
        <w:autoSpaceDE w:val="0"/>
        <w:autoSpaceDN w:val="0"/>
        <w:adjustRightInd w:val="0"/>
        <w:spacing w:after="0"/>
        <w:rPr>
          <w:rFonts w:ascii="Segoe UI" w:hAnsi="Segoe UI" w:cs="Segoe UI"/>
          <w:color w:val="000000"/>
          <w:szCs w:val="24"/>
          <w:lang w:val="en-GB"/>
        </w:rPr>
      </w:pPr>
      <w:r>
        <w:rPr>
          <w:rFonts w:ascii="Segoe UI" w:hAnsi="Segoe UI" w:cs="Segoe UI"/>
          <w:color w:val="000000"/>
          <w:szCs w:val="24"/>
          <w:lang w:val="en-GB"/>
        </w:rPr>
        <w:t xml:space="preserve">All changes of </w:t>
      </w:r>
      <w:r w:rsidRPr="000C69C7">
        <w:rPr>
          <w:rFonts w:ascii="Segoe UI" w:hAnsi="Segoe UI" w:cs="Segoe UI"/>
          <w:color w:val="000000"/>
          <w:szCs w:val="24"/>
          <w:lang w:val="en-GB"/>
        </w:rPr>
        <w:t xml:space="preserve">AI/ML based </w:t>
      </w:r>
      <w:proofErr w:type="spellStart"/>
      <w:r w:rsidRPr="000C69C7">
        <w:rPr>
          <w:rFonts w:ascii="Segoe UI" w:hAnsi="Segoe UI" w:cs="Segoe UI"/>
          <w:color w:val="000000"/>
          <w:szCs w:val="24"/>
          <w:lang w:val="en-GB"/>
        </w:rPr>
        <w:t>SaMD</w:t>
      </w:r>
      <w:proofErr w:type="spellEnd"/>
      <w:r w:rsidRPr="000C69C7">
        <w:rPr>
          <w:rFonts w:ascii="Segoe UI" w:hAnsi="Segoe UI" w:cs="Segoe UI"/>
          <w:color w:val="000000"/>
          <w:szCs w:val="24"/>
          <w:lang w:val="en-GB"/>
        </w:rPr>
        <w:t xml:space="preserve"> with approved SPS </w:t>
      </w:r>
      <w:r>
        <w:rPr>
          <w:rFonts w:ascii="Segoe UI" w:hAnsi="Segoe UI" w:cs="Segoe UI"/>
          <w:color w:val="000000"/>
          <w:szCs w:val="24"/>
          <w:lang w:val="en-GB"/>
        </w:rPr>
        <w:t>a</w:t>
      </w:r>
      <w:r w:rsidRPr="000C69C7">
        <w:rPr>
          <w:rFonts w:ascii="Segoe UI" w:hAnsi="Segoe UI" w:cs="Segoe UI"/>
          <w:color w:val="000000"/>
          <w:szCs w:val="24"/>
          <w:lang w:val="en-GB"/>
        </w:rPr>
        <w:t xml:space="preserve">nd ACP </w:t>
      </w:r>
      <w:r>
        <w:rPr>
          <w:rFonts w:ascii="Segoe UI" w:hAnsi="Segoe UI" w:cs="Segoe UI"/>
          <w:color w:val="000000"/>
          <w:szCs w:val="24"/>
          <w:lang w:val="en-GB"/>
        </w:rPr>
        <w:t>have to be documented. If the s</w:t>
      </w:r>
      <w:r w:rsidRPr="000C69C7">
        <w:rPr>
          <w:rFonts w:ascii="Segoe UI" w:hAnsi="Segoe UI" w:cs="Segoe UI"/>
          <w:color w:val="000000"/>
          <w:szCs w:val="24"/>
          <w:lang w:val="en-GB"/>
        </w:rPr>
        <w:t xml:space="preserve">oftware modifications decision tree would require new 510(k) </w:t>
      </w:r>
      <w:r>
        <w:rPr>
          <w:rFonts w:ascii="Segoe UI" w:hAnsi="Segoe UI" w:cs="Segoe UI"/>
          <w:color w:val="000000"/>
          <w:szCs w:val="24"/>
          <w:lang w:val="en-GB"/>
        </w:rPr>
        <w:t>according to guidance “</w:t>
      </w:r>
      <w:r w:rsidRPr="00730C80">
        <w:rPr>
          <w:rFonts w:ascii="Segoe UI" w:hAnsi="Segoe UI" w:cs="Segoe UI"/>
          <w:color w:val="000000"/>
          <w:szCs w:val="24"/>
          <w:lang w:val="en-GB"/>
        </w:rPr>
        <w:t>Deciding When to Submit a 510(k) for a Software Change to an Existing Device</w:t>
      </w:r>
      <w:r>
        <w:rPr>
          <w:rFonts w:ascii="Segoe UI" w:hAnsi="Segoe UI" w:cs="Segoe UI"/>
          <w:color w:val="000000"/>
          <w:szCs w:val="24"/>
          <w:lang w:val="en-GB"/>
        </w:rPr>
        <w:t xml:space="preserve">” </w:t>
      </w:r>
      <w:r w:rsidRPr="000C69C7">
        <w:rPr>
          <w:rFonts w:ascii="Segoe UI" w:hAnsi="Segoe UI" w:cs="Segoe UI"/>
          <w:color w:val="000000"/>
          <w:szCs w:val="24"/>
          <w:lang w:val="en-GB"/>
        </w:rPr>
        <w:t xml:space="preserve">and </w:t>
      </w:r>
      <w:r>
        <w:rPr>
          <w:rFonts w:ascii="Segoe UI" w:hAnsi="Segoe UI" w:cs="Segoe UI"/>
          <w:color w:val="000000"/>
          <w:szCs w:val="24"/>
          <w:lang w:val="en-GB"/>
        </w:rPr>
        <w:t>m</w:t>
      </w:r>
      <w:r w:rsidRPr="000C69C7">
        <w:rPr>
          <w:rFonts w:ascii="Segoe UI" w:hAnsi="Segoe UI" w:cs="Segoe UI"/>
          <w:color w:val="000000"/>
          <w:szCs w:val="24"/>
          <w:lang w:val="en-GB"/>
        </w:rPr>
        <w:t xml:space="preserve">odifications </w:t>
      </w:r>
      <w:r>
        <w:rPr>
          <w:rFonts w:ascii="Segoe UI" w:hAnsi="Segoe UI" w:cs="Segoe UI"/>
          <w:color w:val="000000"/>
          <w:szCs w:val="24"/>
          <w:lang w:val="en-GB"/>
        </w:rPr>
        <w:t xml:space="preserve">are </w:t>
      </w:r>
      <w:r w:rsidRPr="000C69C7">
        <w:rPr>
          <w:rFonts w:ascii="Segoe UI" w:hAnsi="Segoe UI" w:cs="Segoe UI"/>
          <w:color w:val="000000"/>
          <w:szCs w:val="24"/>
          <w:lang w:val="en-GB"/>
        </w:rPr>
        <w:t>outside of agreed SPS+ACP but no new intended use</w:t>
      </w:r>
      <w:r>
        <w:rPr>
          <w:rFonts w:ascii="Segoe UI" w:hAnsi="Segoe UI" w:cs="Segoe UI"/>
          <w:color w:val="000000"/>
          <w:szCs w:val="24"/>
          <w:lang w:val="en-GB"/>
        </w:rPr>
        <w:t xml:space="preserve"> is requested</w:t>
      </w:r>
      <w:r w:rsidRPr="000C69C7">
        <w:rPr>
          <w:rFonts w:ascii="Segoe UI" w:hAnsi="Segoe UI" w:cs="Segoe UI"/>
          <w:color w:val="000000"/>
          <w:szCs w:val="24"/>
          <w:lang w:val="en-GB"/>
        </w:rPr>
        <w:t xml:space="preserve"> </w:t>
      </w:r>
      <w:r>
        <w:rPr>
          <w:rFonts w:ascii="Segoe UI" w:hAnsi="Segoe UI" w:cs="Segoe UI"/>
          <w:color w:val="000000"/>
          <w:szCs w:val="24"/>
          <w:lang w:val="en-GB"/>
        </w:rPr>
        <w:t>a f</w:t>
      </w:r>
      <w:r w:rsidRPr="000C69C7">
        <w:rPr>
          <w:rFonts w:ascii="Segoe UI" w:hAnsi="Segoe UI" w:cs="Segoe UI"/>
          <w:color w:val="000000"/>
          <w:szCs w:val="24"/>
          <w:lang w:val="en-GB"/>
        </w:rPr>
        <w:t>ocussed review</w:t>
      </w:r>
      <w:r>
        <w:rPr>
          <w:rFonts w:ascii="Segoe UI" w:hAnsi="Segoe UI" w:cs="Segoe UI"/>
          <w:color w:val="000000"/>
          <w:szCs w:val="24"/>
          <w:lang w:val="en-GB"/>
        </w:rPr>
        <w:t xml:space="preserve"> is requested by</w:t>
      </w:r>
      <w:r w:rsidRPr="000C69C7">
        <w:rPr>
          <w:rFonts w:ascii="Segoe UI" w:hAnsi="Segoe UI" w:cs="Segoe UI"/>
          <w:color w:val="000000"/>
          <w:szCs w:val="24"/>
          <w:lang w:val="en-GB"/>
        </w:rPr>
        <w:t xml:space="preserve"> FDA (new approved SPS+ACP)</w:t>
      </w:r>
      <w:r>
        <w:rPr>
          <w:rFonts w:ascii="Segoe UI" w:hAnsi="Segoe UI" w:cs="Segoe UI"/>
          <w:color w:val="000000"/>
          <w:szCs w:val="24"/>
          <w:lang w:val="en-GB"/>
        </w:rPr>
        <w:t xml:space="preserve">. </w:t>
      </w:r>
      <w:r w:rsidRPr="000C69C7">
        <w:rPr>
          <w:rFonts w:ascii="Segoe UI" w:hAnsi="Segoe UI" w:cs="Segoe UI"/>
          <w:color w:val="000000"/>
          <w:szCs w:val="24"/>
          <w:lang w:val="en-GB"/>
        </w:rPr>
        <w:t xml:space="preserve">Modifications </w:t>
      </w:r>
      <w:r>
        <w:rPr>
          <w:rFonts w:ascii="Segoe UI" w:hAnsi="Segoe UI" w:cs="Segoe UI"/>
          <w:color w:val="000000"/>
          <w:szCs w:val="24"/>
          <w:lang w:val="en-GB"/>
        </w:rPr>
        <w:t xml:space="preserve">that </w:t>
      </w:r>
      <w:r w:rsidRPr="000C69C7">
        <w:rPr>
          <w:rFonts w:ascii="Segoe UI" w:hAnsi="Segoe UI" w:cs="Segoe UI"/>
          <w:color w:val="000000"/>
          <w:szCs w:val="24"/>
          <w:lang w:val="en-GB"/>
        </w:rPr>
        <w:t xml:space="preserve">lead to a new intended use </w:t>
      </w:r>
      <w:r>
        <w:rPr>
          <w:rFonts w:ascii="Segoe UI" w:hAnsi="Segoe UI" w:cs="Segoe UI"/>
          <w:color w:val="000000"/>
          <w:szCs w:val="24"/>
          <w:lang w:val="en-GB"/>
        </w:rPr>
        <w:t xml:space="preserve">require </w:t>
      </w:r>
      <w:proofErr w:type="gramStart"/>
      <w:r>
        <w:rPr>
          <w:rFonts w:ascii="Segoe UI" w:hAnsi="Segoe UI" w:cs="Segoe UI"/>
          <w:color w:val="000000"/>
          <w:szCs w:val="24"/>
          <w:lang w:val="en-GB"/>
        </w:rPr>
        <w:t>a</w:t>
      </w:r>
      <w:proofErr w:type="gramEnd"/>
      <w:r w:rsidRPr="000C69C7">
        <w:rPr>
          <w:rFonts w:ascii="Segoe UI" w:hAnsi="Segoe UI" w:cs="Segoe UI"/>
          <w:color w:val="000000"/>
          <w:szCs w:val="24"/>
          <w:lang w:val="en-GB"/>
        </w:rPr>
        <w:t xml:space="preserve"> FDA premarket review</w:t>
      </w:r>
      <w:r>
        <w:rPr>
          <w:rFonts w:ascii="Segoe UI" w:hAnsi="Segoe UI" w:cs="Segoe UI"/>
          <w:color w:val="000000"/>
          <w:szCs w:val="24"/>
          <w:lang w:val="en-GB"/>
        </w:rPr>
        <w:t>.</w:t>
      </w:r>
    </w:p>
    <w:p w14:paraId="6439BB75" w14:textId="6226A605" w:rsidR="00155A26" w:rsidRPr="000C69C7" w:rsidRDefault="009417B8" w:rsidP="00155A26">
      <w:pPr>
        <w:autoSpaceDE w:val="0"/>
        <w:autoSpaceDN w:val="0"/>
        <w:adjustRightInd w:val="0"/>
        <w:spacing w:after="0"/>
        <w:rPr>
          <w:rFonts w:ascii="Segoe UI" w:hAnsi="Segoe UI" w:cs="Segoe UI"/>
          <w:color w:val="000000"/>
          <w:szCs w:val="24"/>
          <w:lang w:val="en-GB"/>
        </w:rPr>
      </w:pPr>
      <w:r>
        <w:rPr>
          <w:rFonts w:ascii="Segoe UI" w:hAnsi="Segoe UI" w:cs="Segoe UI"/>
          <w:color w:val="000000"/>
          <w:szCs w:val="24"/>
          <w:lang w:val="en-GB"/>
        </w:rPr>
        <w:t>Source: “</w:t>
      </w:r>
      <w:r w:rsidR="00155A26" w:rsidRPr="000C69C7">
        <w:rPr>
          <w:rFonts w:ascii="Segoe UI" w:hAnsi="Segoe UI" w:cs="Segoe UI"/>
          <w:color w:val="000000"/>
          <w:szCs w:val="24"/>
          <w:lang w:val="en-GB"/>
        </w:rPr>
        <w:t>Proposed Regulatory Framework for Modifications to Artificial</w:t>
      </w:r>
    </w:p>
    <w:p w14:paraId="15D96726" w14:textId="77777777" w:rsidR="00155A26" w:rsidRPr="000C69C7" w:rsidRDefault="00155A26" w:rsidP="00155A26">
      <w:pPr>
        <w:autoSpaceDE w:val="0"/>
        <w:autoSpaceDN w:val="0"/>
        <w:adjustRightInd w:val="0"/>
        <w:spacing w:after="0"/>
        <w:rPr>
          <w:rFonts w:ascii="Segoe UI" w:hAnsi="Segoe UI" w:cs="Segoe UI"/>
          <w:color w:val="000000"/>
          <w:szCs w:val="24"/>
          <w:lang w:val="en-GB"/>
        </w:rPr>
      </w:pPr>
      <w:r w:rsidRPr="000C69C7">
        <w:rPr>
          <w:rFonts w:ascii="Segoe UI" w:hAnsi="Segoe UI" w:cs="Segoe UI"/>
          <w:color w:val="000000"/>
          <w:szCs w:val="24"/>
          <w:lang w:val="en-GB"/>
        </w:rPr>
        <w:t>Intelligence/Machine Learning (AI/ML)-Based Software as a Medical Device</w:t>
      </w:r>
    </w:p>
    <w:p w14:paraId="5056E902" w14:textId="7BCF9143" w:rsidR="00155A26" w:rsidRDefault="00155A26" w:rsidP="00155A26">
      <w:pPr>
        <w:autoSpaceDE w:val="0"/>
        <w:autoSpaceDN w:val="0"/>
        <w:adjustRightInd w:val="0"/>
        <w:spacing w:after="0"/>
        <w:rPr>
          <w:rFonts w:ascii="Segoe UI" w:hAnsi="Segoe UI" w:cs="Segoe UI"/>
          <w:color w:val="000000"/>
          <w:szCs w:val="24"/>
          <w:lang w:val="en-GB"/>
        </w:rPr>
      </w:pPr>
      <w:r w:rsidRPr="000C69C7">
        <w:rPr>
          <w:rFonts w:ascii="Segoe UI" w:hAnsi="Segoe UI" w:cs="Segoe UI"/>
          <w:color w:val="000000"/>
          <w:szCs w:val="24"/>
          <w:lang w:val="en-GB"/>
        </w:rPr>
        <w:t>(</w:t>
      </w:r>
      <w:proofErr w:type="spellStart"/>
      <w:r w:rsidRPr="000C69C7">
        <w:rPr>
          <w:rFonts w:ascii="Segoe UI" w:hAnsi="Segoe UI" w:cs="Segoe UI"/>
          <w:color w:val="000000"/>
          <w:szCs w:val="24"/>
          <w:lang w:val="en-GB"/>
        </w:rPr>
        <w:t>SaMD</w:t>
      </w:r>
      <w:proofErr w:type="spellEnd"/>
      <w:r w:rsidRPr="000C69C7">
        <w:rPr>
          <w:rFonts w:ascii="Segoe UI" w:hAnsi="Segoe UI" w:cs="Segoe UI"/>
          <w:color w:val="000000"/>
          <w:szCs w:val="24"/>
          <w:lang w:val="en-GB"/>
        </w:rPr>
        <w:t>) - Discussion Paper and Request for Feedback</w:t>
      </w:r>
      <w:r w:rsidR="009417B8">
        <w:rPr>
          <w:rFonts w:ascii="Segoe UI" w:hAnsi="Segoe UI" w:cs="Segoe UI"/>
          <w:color w:val="000000"/>
          <w:szCs w:val="24"/>
          <w:lang w:val="en-GB"/>
        </w:rPr>
        <w:t>”</w:t>
      </w:r>
      <w:r>
        <w:rPr>
          <w:rFonts w:ascii="Segoe UI" w:hAnsi="Segoe UI" w:cs="Segoe UI"/>
          <w:color w:val="000000"/>
          <w:szCs w:val="24"/>
          <w:lang w:val="en-GB"/>
        </w:rPr>
        <w:t xml:space="preserve"> </w:t>
      </w:r>
    </w:p>
    <w:p w14:paraId="3135C127" w14:textId="77777777" w:rsidR="00155A26" w:rsidRDefault="005E787E" w:rsidP="00155A26">
      <w:pPr>
        <w:autoSpaceDE w:val="0"/>
        <w:autoSpaceDN w:val="0"/>
        <w:adjustRightInd w:val="0"/>
        <w:spacing w:after="0"/>
        <w:rPr>
          <w:rFonts w:ascii="Segoe UI" w:hAnsi="Segoe UI" w:cs="Segoe UI"/>
          <w:color w:val="000000"/>
          <w:szCs w:val="24"/>
          <w:lang w:val="en-GB"/>
        </w:rPr>
      </w:pPr>
      <w:hyperlink r:id="rId11" w:history="1">
        <w:r w:rsidR="00155A26" w:rsidRPr="00465920">
          <w:rPr>
            <w:rStyle w:val="Hyperlink"/>
            <w:rFonts w:ascii="Segoe UI" w:hAnsi="Segoe UI" w:cs="Segoe UI"/>
            <w:szCs w:val="24"/>
            <w:lang w:val="en-GB"/>
          </w:rPr>
          <w:t>https://www.fda.gov/media/122535/download</w:t>
        </w:r>
      </w:hyperlink>
      <w:r w:rsidR="00155A26">
        <w:rPr>
          <w:rFonts w:ascii="Segoe UI" w:hAnsi="Segoe UI" w:cs="Segoe UI"/>
          <w:color w:val="000000"/>
          <w:szCs w:val="24"/>
          <w:lang w:val="en-GB"/>
        </w:rPr>
        <w:t xml:space="preserve"> accessed 22.6.22</w:t>
      </w:r>
    </w:p>
    <w:p w14:paraId="2B77A687" w14:textId="77777777" w:rsidR="00155A26" w:rsidRDefault="00155A26" w:rsidP="00155A26">
      <w:pPr>
        <w:autoSpaceDE w:val="0"/>
        <w:autoSpaceDN w:val="0"/>
        <w:adjustRightInd w:val="0"/>
        <w:spacing w:after="0"/>
        <w:rPr>
          <w:rFonts w:ascii="Segoe UI" w:hAnsi="Segoe UI" w:cs="Segoe UI"/>
          <w:b/>
          <w:bCs/>
          <w:color w:val="000000"/>
          <w:szCs w:val="24"/>
          <w:lang w:val="en-GB"/>
        </w:rPr>
      </w:pPr>
    </w:p>
    <w:p w14:paraId="283C6608" w14:textId="77777777" w:rsidR="00155A26" w:rsidRDefault="00155A26" w:rsidP="00155A26">
      <w:pPr>
        <w:autoSpaceDE w:val="0"/>
        <w:autoSpaceDN w:val="0"/>
        <w:adjustRightInd w:val="0"/>
        <w:spacing w:after="0"/>
        <w:rPr>
          <w:rFonts w:ascii="Segoe UI" w:hAnsi="Segoe UI" w:cs="Segoe UI"/>
          <w:b/>
          <w:bCs/>
          <w:color w:val="000000"/>
          <w:szCs w:val="24"/>
          <w:lang w:val="en-GB"/>
        </w:rPr>
      </w:pPr>
      <w:r>
        <w:rPr>
          <w:rFonts w:ascii="Segoe UI" w:hAnsi="Segoe UI" w:cs="Segoe UI"/>
          <w:b/>
          <w:bCs/>
          <w:color w:val="000000"/>
          <w:szCs w:val="24"/>
          <w:lang w:val="en-GB"/>
        </w:rPr>
        <w:t>FDA strategy to foster excellence of manufacturer</w:t>
      </w:r>
    </w:p>
    <w:p w14:paraId="30230458" w14:textId="77777777" w:rsidR="00155A26" w:rsidRDefault="00155A26" w:rsidP="00155A26">
      <w:pPr>
        <w:autoSpaceDE w:val="0"/>
        <w:autoSpaceDN w:val="0"/>
        <w:adjustRightInd w:val="0"/>
        <w:spacing w:after="0"/>
        <w:rPr>
          <w:rFonts w:ascii="Segoe UI" w:hAnsi="Segoe UI" w:cs="Segoe UI"/>
          <w:b/>
          <w:bCs/>
          <w:color w:val="000000"/>
          <w:szCs w:val="24"/>
          <w:lang w:val="en-GB"/>
        </w:rPr>
      </w:pPr>
    </w:p>
    <w:p w14:paraId="4A6A69BA" w14:textId="77777777" w:rsidR="00155A26" w:rsidRPr="00DE2DBA" w:rsidRDefault="00155A26" w:rsidP="00155A26">
      <w:pPr>
        <w:autoSpaceDE w:val="0"/>
        <w:autoSpaceDN w:val="0"/>
        <w:adjustRightInd w:val="0"/>
        <w:spacing w:after="0"/>
        <w:rPr>
          <w:rFonts w:ascii="Segoe UI" w:hAnsi="Segoe UI" w:cs="Segoe UI"/>
          <w:i/>
          <w:iCs/>
          <w:color w:val="000000"/>
          <w:szCs w:val="24"/>
          <w:lang w:val="en-GB"/>
        </w:rPr>
      </w:pPr>
      <w:r w:rsidRPr="00B53129">
        <w:rPr>
          <w:rFonts w:ascii="Segoe UI" w:hAnsi="Segoe UI" w:cs="Segoe UI"/>
          <w:color w:val="000000"/>
          <w:szCs w:val="24"/>
          <w:lang w:val="en-GB"/>
        </w:rPr>
        <w:t xml:space="preserve">The FDA’s </w:t>
      </w:r>
      <w:proofErr w:type="spellStart"/>
      <w:r w:rsidRPr="00B53129">
        <w:rPr>
          <w:rFonts w:ascii="Segoe UI" w:hAnsi="Segoe UI" w:cs="Segoe UI"/>
          <w:color w:val="000000"/>
          <w:szCs w:val="24"/>
          <w:lang w:val="en-GB"/>
        </w:rPr>
        <w:t>Center</w:t>
      </w:r>
      <w:proofErr w:type="spellEnd"/>
      <w:r w:rsidRPr="00B53129">
        <w:rPr>
          <w:rFonts w:ascii="Segoe UI" w:hAnsi="Segoe UI" w:cs="Segoe UI"/>
          <w:color w:val="000000"/>
          <w:szCs w:val="24"/>
          <w:lang w:val="en-GB"/>
        </w:rPr>
        <w:t xml:space="preserve"> for Devices and Radiological Health (CDRH) i</w:t>
      </w:r>
      <w:r>
        <w:rPr>
          <w:rFonts w:ascii="Segoe UI" w:hAnsi="Segoe UI" w:cs="Segoe UI"/>
          <w:color w:val="000000"/>
          <w:szCs w:val="24"/>
          <w:lang w:val="en-GB"/>
        </w:rPr>
        <w:t>ssued a recent</w:t>
      </w:r>
      <w:r w:rsidRPr="004B0D34">
        <w:rPr>
          <w:rFonts w:ascii="Segoe UI" w:hAnsi="Segoe UI" w:cs="Segoe UI"/>
          <w:i/>
          <w:iCs/>
          <w:color w:val="000000"/>
          <w:szCs w:val="24"/>
          <w:lang w:val="en-GB"/>
        </w:rPr>
        <w:t xml:space="preserve"> </w:t>
      </w:r>
      <w:r>
        <w:rPr>
          <w:rFonts w:ascii="Segoe UI" w:hAnsi="Segoe UI" w:cs="Segoe UI"/>
          <w:i/>
          <w:iCs/>
          <w:color w:val="000000"/>
          <w:szCs w:val="24"/>
          <w:lang w:val="en-GB"/>
        </w:rPr>
        <w:t>“</w:t>
      </w:r>
      <w:r w:rsidRPr="004B0D34">
        <w:rPr>
          <w:rFonts w:ascii="Segoe UI" w:hAnsi="Segoe UI" w:cs="Segoe UI"/>
          <w:i/>
          <w:iCs/>
          <w:color w:val="000000"/>
          <w:szCs w:val="24"/>
          <w:lang w:val="en-GB"/>
        </w:rPr>
        <w:t>draft guidance to describe its policy regarding FDA’s participation in the Voluntary Improvement Program (VIP). The VIP is a voluntary program facilitated through the Medical Device Innovation Consortium (MDIC) that evaluates the capability and performance of a medical device manufacturer’s practices using third-party appraisals, and is intended to guide improvement to enhance the quality of devices.</w:t>
      </w:r>
      <w:r w:rsidRPr="00B53129">
        <w:rPr>
          <w:rFonts w:ascii="Segoe UI" w:hAnsi="Segoe UI" w:cs="Segoe UI"/>
          <w:color w:val="000000"/>
          <w:szCs w:val="24"/>
          <w:lang w:val="en-GB"/>
        </w:rPr>
        <w:t xml:space="preserve"> </w:t>
      </w:r>
      <w:r>
        <w:rPr>
          <w:rFonts w:ascii="Segoe UI" w:hAnsi="Segoe UI" w:cs="Segoe UI"/>
          <w:i/>
          <w:iCs/>
          <w:color w:val="000000"/>
          <w:szCs w:val="24"/>
          <w:lang w:val="en-GB"/>
        </w:rPr>
        <w:t xml:space="preserve">… </w:t>
      </w:r>
      <w:r w:rsidRPr="00364323">
        <w:rPr>
          <w:rFonts w:ascii="Segoe UI" w:hAnsi="Segoe UI" w:cs="Segoe UI"/>
          <w:i/>
          <w:iCs/>
          <w:color w:val="000000"/>
          <w:szCs w:val="24"/>
          <w:lang w:val="en-GB"/>
        </w:rPr>
        <w:t>The VIP builds on the framework piloted through FDA’s 2018 Case for Quality Voluntary Medical Device Manufacturing and Product Quality Pilot Program (</w:t>
      </w:r>
      <w:proofErr w:type="spellStart"/>
      <w:r w:rsidRPr="00364323">
        <w:rPr>
          <w:rFonts w:ascii="Segoe UI" w:hAnsi="Segoe UI" w:cs="Segoe UI"/>
          <w:i/>
          <w:iCs/>
          <w:color w:val="000000"/>
          <w:szCs w:val="24"/>
          <w:lang w:val="en-GB"/>
        </w:rPr>
        <w:t>CfQ</w:t>
      </w:r>
      <w:proofErr w:type="spellEnd"/>
      <w:r w:rsidRPr="00364323">
        <w:rPr>
          <w:rFonts w:ascii="Segoe UI" w:hAnsi="Segoe UI" w:cs="Segoe UI"/>
          <w:i/>
          <w:iCs/>
          <w:color w:val="000000"/>
          <w:szCs w:val="24"/>
          <w:lang w:val="en-GB"/>
        </w:rPr>
        <w:t xml:space="preserve"> Pilot Program) </w:t>
      </w:r>
      <w:r>
        <w:rPr>
          <w:rFonts w:ascii="Segoe UI" w:hAnsi="Segoe UI" w:cs="Segoe UI"/>
          <w:i/>
          <w:iCs/>
          <w:color w:val="000000"/>
          <w:szCs w:val="24"/>
          <w:lang w:val="en-GB"/>
        </w:rPr>
        <w:t>…</w:t>
      </w:r>
      <w:r w:rsidRPr="00364323">
        <w:rPr>
          <w:rFonts w:ascii="Segoe UI" w:hAnsi="Segoe UI" w:cs="Segoe UI"/>
          <w:i/>
          <w:iCs/>
          <w:color w:val="000000"/>
          <w:szCs w:val="24"/>
          <w:lang w:val="en-GB"/>
        </w:rPr>
        <w:t>This voluntary program is currently only available to eligible manufacturers of medical devices regulated by</w:t>
      </w:r>
      <w:r>
        <w:rPr>
          <w:rFonts w:ascii="Segoe UI" w:hAnsi="Segoe UI" w:cs="Segoe UI"/>
          <w:i/>
          <w:iCs/>
          <w:color w:val="000000"/>
          <w:szCs w:val="24"/>
          <w:lang w:val="en-GB"/>
        </w:rPr>
        <w:t xml:space="preserve"> </w:t>
      </w:r>
      <w:r w:rsidRPr="00364323">
        <w:rPr>
          <w:rFonts w:ascii="Segoe UI" w:hAnsi="Segoe UI" w:cs="Segoe UI"/>
          <w:i/>
          <w:iCs/>
          <w:color w:val="000000"/>
          <w:szCs w:val="24"/>
          <w:lang w:val="en-GB"/>
        </w:rPr>
        <w:t xml:space="preserve">CDRH </w:t>
      </w:r>
      <w:r>
        <w:rPr>
          <w:rFonts w:ascii="Segoe UI" w:hAnsi="Segoe UI" w:cs="Segoe UI"/>
          <w:i/>
          <w:iCs/>
          <w:color w:val="000000"/>
          <w:szCs w:val="24"/>
          <w:lang w:val="en-GB"/>
        </w:rPr>
        <w:t>…</w:t>
      </w:r>
      <w:r w:rsidRPr="00364323">
        <w:rPr>
          <w:rFonts w:ascii="Segoe UI" w:hAnsi="Segoe UI" w:cs="Segoe UI"/>
          <w:i/>
          <w:iCs/>
          <w:color w:val="000000"/>
          <w:szCs w:val="24"/>
          <w:lang w:val="en-GB"/>
        </w:rPr>
        <w:t>.”</w:t>
      </w:r>
    </w:p>
    <w:p w14:paraId="6F66E287" w14:textId="77777777" w:rsidR="00155A26" w:rsidRDefault="00155A26" w:rsidP="00155A26">
      <w:pPr>
        <w:autoSpaceDE w:val="0"/>
        <w:autoSpaceDN w:val="0"/>
        <w:adjustRightInd w:val="0"/>
        <w:spacing w:after="0"/>
        <w:rPr>
          <w:rFonts w:ascii="Segoe UI" w:hAnsi="Segoe UI" w:cs="Segoe UI"/>
          <w:i/>
          <w:iCs/>
          <w:color w:val="000000"/>
          <w:szCs w:val="24"/>
          <w:lang w:val="en-GB"/>
        </w:rPr>
      </w:pPr>
      <w:r>
        <w:rPr>
          <w:rFonts w:ascii="Segoe UI" w:hAnsi="Segoe UI" w:cs="Segoe UI"/>
          <w:i/>
          <w:iCs/>
          <w:color w:val="000000"/>
          <w:szCs w:val="24"/>
          <w:lang w:val="en-GB"/>
        </w:rPr>
        <w:t>“</w:t>
      </w:r>
      <w:r w:rsidRPr="00364323">
        <w:rPr>
          <w:rFonts w:ascii="Segoe UI" w:hAnsi="Segoe UI" w:cs="Segoe UI"/>
          <w:i/>
          <w:iCs/>
          <w:color w:val="000000"/>
          <w:szCs w:val="24"/>
          <w:lang w:val="en-GB"/>
        </w:rPr>
        <w:t xml:space="preserve">As part of CDRH's 2016-2017 strategic priority to “Promote a Culture of Quality and Organizational Excellence,” CDRH envisions a future where the medical device ecosystem is inherently focused on device features and manufacturing practices that have the greatest impact on product quality and patient safety. Among its other regulatory activities, FDA evaluates manufacturers' compliance with regulations governing the design and production of </w:t>
      </w:r>
      <w:r w:rsidRPr="00364323">
        <w:rPr>
          <w:rFonts w:ascii="Segoe UI" w:hAnsi="Segoe UI" w:cs="Segoe UI"/>
          <w:i/>
          <w:iCs/>
          <w:color w:val="000000"/>
          <w:szCs w:val="24"/>
          <w:lang w:val="en-GB"/>
        </w:rPr>
        <w:lastRenderedPageBreak/>
        <w:t xml:space="preserve">devices. Compliance with the Quality System Regulation, 21 CFR Part 820, is a baseline requirement for medical device manufacturing firms. </w:t>
      </w:r>
      <w:r>
        <w:rPr>
          <w:rFonts w:ascii="Segoe UI" w:hAnsi="Segoe UI" w:cs="Segoe UI"/>
          <w:i/>
          <w:iCs/>
          <w:color w:val="000000"/>
          <w:szCs w:val="24"/>
          <w:lang w:val="en-GB"/>
        </w:rPr>
        <w:t>….</w:t>
      </w:r>
      <w:r w:rsidRPr="00390445">
        <w:rPr>
          <w:lang w:val="en-GB"/>
        </w:rPr>
        <w:t xml:space="preserve"> </w:t>
      </w:r>
      <w:r w:rsidRPr="00390445">
        <w:rPr>
          <w:rFonts w:ascii="Segoe UI" w:hAnsi="Segoe UI" w:cs="Segoe UI"/>
          <w:i/>
          <w:iCs/>
          <w:color w:val="000000"/>
          <w:szCs w:val="24"/>
          <w:lang w:val="en-GB"/>
        </w:rPr>
        <w:t>The practices are detailed in the Information Systems Audit and Control Association (ISACA) Capability Maturity Model Integration (CMMI) system.</w:t>
      </w:r>
      <w:r>
        <w:rPr>
          <w:rFonts w:ascii="Segoe UI" w:hAnsi="Segoe UI" w:cs="Segoe UI"/>
          <w:i/>
          <w:iCs/>
          <w:color w:val="000000"/>
          <w:szCs w:val="24"/>
          <w:lang w:val="en-GB"/>
        </w:rPr>
        <w:t xml:space="preserve"> </w:t>
      </w:r>
    </w:p>
    <w:p w14:paraId="590D4CB4" w14:textId="6DAB7F70" w:rsidR="00155A26" w:rsidRDefault="009417B8" w:rsidP="00155A26">
      <w:pPr>
        <w:autoSpaceDE w:val="0"/>
        <w:autoSpaceDN w:val="0"/>
        <w:adjustRightInd w:val="0"/>
        <w:spacing w:after="0"/>
        <w:rPr>
          <w:rFonts w:ascii="Segoe UI" w:hAnsi="Segoe UI" w:cs="Segoe UI"/>
          <w:color w:val="000000"/>
          <w:szCs w:val="24"/>
          <w:lang w:val="en-GB"/>
        </w:rPr>
      </w:pPr>
      <w:r>
        <w:rPr>
          <w:rFonts w:ascii="Segoe UI" w:hAnsi="Segoe UI" w:cs="Segoe UI"/>
          <w:color w:val="000000"/>
          <w:szCs w:val="24"/>
          <w:lang w:val="en-GB"/>
        </w:rPr>
        <w:t xml:space="preserve">Source: </w:t>
      </w:r>
    </w:p>
    <w:p w14:paraId="6E447260" w14:textId="4022D660" w:rsidR="00155A26" w:rsidRPr="009417B8" w:rsidRDefault="009417B8" w:rsidP="00155A26">
      <w:pPr>
        <w:autoSpaceDE w:val="0"/>
        <w:autoSpaceDN w:val="0"/>
        <w:adjustRightInd w:val="0"/>
        <w:spacing w:after="0"/>
        <w:rPr>
          <w:rFonts w:ascii="Segoe UI" w:hAnsi="Segoe UI" w:cs="Segoe UI"/>
          <w:color w:val="000000"/>
          <w:szCs w:val="24"/>
          <w:lang w:val="en-GB"/>
        </w:rPr>
      </w:pPr>
      <w:r>
        <w:rPr>
          <w:rFonts w:ascii="Segoe UI" w:hAnsi="Segoe UI" w:cs="Segoe UI"/>
          <w:color w:val="000000"/>
          <w:szCs w:val="24"/>
          <w:lang w:val="en-GB"/>
        </w:rPr>
        <w:t>“</w:t>
      </w:r>
      <w:r w:rsidR="00155A26" w:rsidRPr="009417B8">
        <w:rPr>
          <w:rFonts w:ascii="Segoe UI" w:hAnsi="Segoe UI" w:cs="Segoe UI"/>
          <w:color w:val="000000"/>
          <w:szCs w:val="24"/>
          <w:lang w:val="en-GB"/>
        </w:rPr>
        <w:t>Fostering Medical Device Improvement: FDA Activities and Engagement with the Voluntary Improvement Program. Draft Guidance for Industry and Food and Drug Administration Staff.</w:t>
      </w:r>
      <w:r>
        <w:rPr>
          <w:rFonts w:ascii="Segoe UI" w:hAnsi="Segoe UI" w:cs="Segoe UI"/>
          <w:color w:val="000000"/>
          <w:szCs w:val="24"/>
          <w:lang w:val="en-GB"/>
        </w:rPr>
        <w:t>”</w:t>
      </w:r>
    </w:p>
    <w:p w14:paraId="52E4B6AC" w14:textId="77777777" w:rsidR="00155A26" w:rsidRPr="00DE2DBA" w:rsidRDefault="005E787E" w:rsidP="00155A26">
      <w:pPr>
        <w:autoSpaceDE w:val="0"/>
        <w:autoSpaceDN w:val="0"/>
        <w:adjustRightInd w:val="0"/>
        <w:spacing w:after="0"/>
        <w:rPr>
          <w:rFonts w:ascii="Segoe UI" w:hAnsi="Segoe UI" w:cs="Segoe UI"/>
          <w:color w:val="000000"/>
          <w:szCs w:val="24"/>
          <w:lang w:val="en-GB"/>
        </w:rPr>
      </w:pPr>
      <w:hyperlink r:id="rId12" w:history="1">
        <w:r w:rsidR="00155A26" w:rsidRPr="00465920">
          <w:rPr>
            <w:rStyle w:val="Hyperlink"/>
            <w:rFonts w:ascii="Segoe UI" w:hAnsi="Segoe UI" w:cs="Segoe UI"/>
            <w:lang w:val="en-GB"/>
          </w:rPr>
          <w:t>https://www.fda.gov/regulatory-information/search-fda-guidance-documents/fostering-medical-device-improvement-fda-activities-and-engagement-voluntary-improvement-program</w:t>
        </w:r>
      </w:hyperlink>
      <w:r w:rsidR="00155A26">
        <w:rPr>
          <w:rFonts w:ascii="Segoe UI" w:hAnsi="Segoe UI" w:cs="Segoe UI"/>
          <w:color w:val="000000"/>
          <w:szCs w:val="24"/>
          <w:lang w:val="en-GB"/>
        </w:rPr>
        <w:t xml:space="preserve"> accessed 22.6.22</w:t>
      </w:r>
    </w:p>
    <w:p w14:paraId="2B40D09C" w14:textId="77777777" w:rsidR="00155A26" w:rsidRDefault="00155A26" w:rsidP="00155A26">
      <w:pPr>
        <w:autoSpaceDE w:val="0"/>
        <w:autoSpaceDN w:val="0"/>
        <w:adjustRightInd w:val="0"/>
        <w:spacing w:after="0"/>
        <w:ind w:left="708" w:hanging="708"/>
        <w:rPr>
          <w:rFonts w:ascii="Segoe UI" w:hAnsi="Segoe UI" w:cs="Segoe UI"/>
          <w:color w:val="000000"/>
          <w:szCs w:val="24"/>
          <w:lang w:val="en-GB"/>
        </w:rPr>
      </w:pPr>
    </w:p>
    <w:p w14:paraId="708FA844" w14:textId="77777777" w:rsidR="00155A26" w:rsidRPr="00DE2DBA" w:rsidRDefault="00155A26" w:rsidP="00155A26">
      <w:pPr>
        <w:autoSpaceDE w:val="0"/>
        <w:autoSpaceDN w:val="0"/>
        <w:adjustRightInd w:val="0"/>
        <w:spacing w:after="0"/>
        <w:rPr>
          <w:rFonts w:ascii="Segoe UI" w:hAnsi="Segoe UI" w:cs="Segoe UI"/>
          <w:color w:val="000000"/>
          <w:szCs w:val="24"/>
          <w:lang w:val="en-GB"/>
        </w:rPr>
      </w:pPr>
      <w:r w:rsidRPr="00DE2DBA">
        <w:rPr>
          <w:rFonts w:ascii="Segoe UI" w:hAnsi="Segoe UI" w:cs="Segoe UI"/>
          <w:color w:val="000000"/>
          <w:szCs w:val="24"/>
          <w:lang w:val="en-GB"/>
        </w:rPr>
        <w:t>The</w:t>
      </w:r>
      <w:r>
        <w:rPr>
          <w:rFonts w:ascii="Segoe UI" w:hAnsi="Segoe UI" w:cs="Segoe UI"/>
          <w:color w:val="000000"/>
          <w:szCs w:val="24"/>
          <w:lang w:val="en-GB"/>
        </w:rPr>
        <w:t xml:space="preserve"> CDRH collaborates with ISACA training and certification organization as 3</w:t>
      </w:r>
      <w:r w:rsidRPr="00E117D2">
        <w:rPr>
          <w:rFonts w:ascii="Segoe UI" w:hAnsi="Segoe UI" w:cs="Segoe UI"/>
          <w:color w:val="000000"/>
          <w:szCs w:val="24"/>
          <w:vertAlign w:val="superscript"/>
          <w:lang w:val="en-GB"/>
        </w:rPr>
        <w:t>rd</w:t>
      </w:r>
      <w:r>
        <w:rPr>
          <w:rFonts w:ascii="Segoe UI" w:hAnsi="Segoe UI" w:cs="Segoe UI"/>
          <w:color w:val="000000"/>
          <w:szCs w:val="24"/>
          <w:lang w:val="en-GB"/>
        </w:rPr>
        <w:t xml:space="preserve"> party in the pilot program to assess and enhance organizational quality.</w:t>
      </w:r>
    </w:p>
    <w:p w14:paraId="5237305D" w14:textId="77777777" w:rsidR="00155A26" w:rsidRPr="00302612" w:rsidRDefault="00155A26" w:rsidP="00155A26">
      <w:pPr>
        <w:autoSpaceDE w:val="0"/>
        <w:autoSpaceDN w:val="0"/>
        <w:adjustRightInd w:val="0"/>
        <w:spacing w:after="0"/>
        <w:rPr>
          <w:rFonts w:ascii="Segoe UI" w:hAnsi="Segoe UI" w:cs="Segoe UI"/>
          <w:i/>
          <w:iCs/>
          <w:color w:val="000000"/>
          <w:szCs w:val="24"/>
          <w:lang w:val="en-GB"/>
        </w:rPr>
      </w:pPr>
      <w:r w:rsidRPr="00302612">
        <w:rPr>
          <w:rFonts w:ascii="Segoe UI" w:hAnsi="Segoe UI" w:cs="Segoe UI"/>
          <w:color w:val="000000"/>
          <w:szCs w:val="24"/>
          <w:lang w:val="en-GB"/>
        </w:rPr>
        <w:t>“</w:t>
      </w:r>
      <w:r w:rsidRPr="00302612">
        <w:rPr>
          <w:rFonts w:ascii="Segoe UI" w:hAnsi="Segoe UI" w:cs="Segoe UI"/>
          <w:i/>
          <w:iCs/>
          <w:color w:val="000000"/>
          <w:szCs w:val="24"/>
          <w:lang w:val="en-GB"/>
        </w:rPr>
        <w:t>Beyond training and certification, ISACA’s CMMI models and platforms offer risk-focused programs for enterprise and product assessment and improvement”</w:t>
      </w:r>
    </w:p>
    <w:p w14:paraId="2A473CC6" w14:textId="684283CB" w:rsidR="00155A26" w:rsidRDefault="009417B8" w:rsidP="00155A26">
      <w:pPr>
        <w:autoSpaceDE w:val="0"/>
        <w:autoSpaceDN w:val="0"/>
        <w:adjustRightInd w:val="0"/>
        <w:spacing w:after="0"/>
        <w:rPr>
          <w:rFonts w:ascii="Segoe UI" w:hAnsi="Segoe UI" w:cs="Segoe UI"/>
          <w:color w:val="000000"/>
          <w:szCs w:val="24"/>
          <w:lang w:val="en-GB"/>
        </w:rPr>
      </w:pPr>
      <w:r>
        <w:t xml:space="preserve">Source: </w:t>
      </w:r>
      <w:hyperlink r:id="rId13" w:history="1">
        <w:r w:rsidRPr="00702628">
          <w:rPr>
            <w:rStyle w:val="Hyperlink"/>
            <w:rFonts w:ascii="Segoe UI" w:hAnsi="Segoe UI" w:cs="Segoe UI"/>
            <w:lang w:val="en-GB"/>
          </w:rPr>
          <w:t>https://www.isaca.org/</w:t>
        </w:r>
      </w:hyperlink>
      <w:r w:rsidR="00155A26">
        <w:rPr>
          <w:rFonts w:ascii="Segoe UI" w:hAnsi="Segoe UI" w:cs="Segoe UI"/>
          <w:color w:val="000000"/>
          <w:szCs w:val="24"/>
          <w:lang w:val="en-GB"/>
        </w:rPr>
        <w:t xml:space="preserve"> </w:t>
      </w:r>
      <w:r w:rsidR="00155A26" w:rsidRPr="009C66E5">
        <w:rPr>
          <w:rFonts w:ascii="Segoe UI" w:hAnsi="Segoe UI" w:cs="Segoe UI"/>
          <w:color w:val="000000"/>
          <w:szCs w:val="24"/>
          <w:lang w:val="en-GB"/>
        </w:rPr>
        <w:t xml:space="preserve"> </w:t>
      </w:r>
      <w:r w:rsidR="00155A26">
        <w:rPr>
          <w:rFonts w:ascii="Segoe UI" w:hAnsi="Segoe UI" w:cs="Segoe UI"/>
          <w:color w:val="000000"/>
          <w:szCs w:val="24"/>
          <w:lang w:val="en-GB"/>
        </w:rPr>
        <w:t>accessed 22.6.22</w:t>
      </w:r>
    </w:p>
    <w:p w14:paraId="53394AE8" w14:textId="77777777" w:rsidR="00155A26" w:rsidRDefault="00155A26" w:rsidP="00155A26">
      <w:pPr>
        <w:autoSpaceDE w:val="0"/>
        <w:autoSpaceDN w:val="0"/>
        <w:adjustRightInd w:val="0"/>
        <w:spacing w:after="0"/>
        <w:rPr>
          <w:rFonts w:ascii="Segoe UI" w:hAnsi="Segoe UI" w:cs="Segoe UI"/>
          <w:color w:val="000000"/>
          <w:szCs w:val="24"/>
          <w:lang w:val="en-GB"/>
        </w:rPr>
      </w:pPr>
    </w:p>
    <w:p w14:paraId="57FB843D" w14:textId="77777777" w:rsidR="00155A26" w:rsidRPr="009332AA" w:rsidRDefault="00155A26" w:rsidP="00155A26">
      <w:pPr>
        <w:autoSpaceDE w:val="0"/>
        <w:autoSpaceDN w:val="0"/>
        <w:adjustRightInd w:val="0"/>
        <w:spacing w:after="0"/>
        <w:rPr>
          <w:rFonts w:ascii="Segoe UI" w:hAnsi="Segoe UI" w:cs="Segoe UI"/>
          <w:b/>
          <w:bCs/>
          <w:color w:val="000000"/>
          <w:szCs w:val="24"/>
          <w:lang w:val="en-GB"/>
        </w:rPr>
      </w:pPr>
      <w:r w:rsidRPr="009332AA">
        <w:rPr>
          <w:rFonts w:ascii="Segoe UI" w:hAnsi="Segoe UI" w:cs="Segoe UI"/>
          <w:b/>
          <w:bCs/>
          <w:color w:val="000000"/>
          <w:szCs w:val="24"/>
          <w:lang w:val="en-GB"/>
        </w:rPr>
        <w:t>AI regulatory sandboxes</w:t>
      </w:r>
    </w:p>
    <w:p w14:paraId="670D0FD2" w14:textId="77777777" w:rsidR="00155A26" w:rsidRDefault="00155A26" w:rsidP="00155A26">
      <w:pPr>
        <w:autoSpaceDE w:val="0"/>
        <w:autoSpaceDN w:val="0"/>
        <w:adjustRightInd w:val="0"/>
        <w:spacing w:after="0"/>
        <w:rPr>
          <w:rFonts w:ascii="Segoe UI" w:hAnsi="Segoe UI" w:cs="Segoe UI"/>
          <w:color w:val="000000"/>
          <w:szCs w:val="24"/>
          <w:lang w:val="en-GB"/>
        </w:rPr>
      </w:pPr>
    </w:p>
    <w:p w14:paraId="7B24C832" w14:textId="77777777" w:rsidR="00155A26" w:rsidRPr="009332AA" w:rsidRDefault="00155A26" w:rsidP="00155A26">
      <w:pPr>
        <w:autoSpaceDE w:val="0"/>
        <w:autoSpaceDN w:val="0"/>
        <w:adjustRightInd w:val="0"/>
        <w:spacing w:after="0"/>
        <w:rPr>
          <w:rFonts w:ascii="Segoe UI" w:hAnsi="Segoe UI" w:cs="Segoe UI"/>
          <w:i/>
          <w:iCs/>
          <w:color w:val="000000"/>
          <w:szCs w:val="24"/>
          <w:lang w:val="en-GB"/>
        </w:rPr>
      </w:pPr>
      <w:r w:rsidRPr="009332AA">
        <w:rPr>
          <w:rFonts w:ascii="Segoe UI" w:hAnsi="Segoe UI" w:cs="Segoe UI"/>
          <w:i/>
          <w:iCs/>
          <w:color w:val="000000"/>
          <w:szCs w:val="24"/>
          <w:lang w:val="en-GB"/>
        </w:rPr>
        <w:t>“AI regulatory sandboxes established by one or more Member States competent</w:t>
      </w:r>
    </w:p>
    <w:p w14:paraId="4D212F5B" w14:textId="77777777" w:rsidR="00155A26" w:rsidRPr="009332AA" w:rsidRDefault="00155A26" w:rsidP="00155A26">
      <w:pPr>
        <w:autoSpaceDE w:val="0"/>
        <w:autoSpaceDN w:val="0"/>
        <w:adjustRightInd w:val="0"/>
        <w:spacing w:after="0"/>
        <w:rPr>
          <w:rFonts w:ascii="Segoe UI" w:hAnsi="Segoe UI" w:cs="Segoe UI"/>
          <w:i/>
          <w:iCs/>
          <w:color w:val="000000"/>
          <w:szCs w:val="24"/>
          <w:lang w:val="en-GB"/>
        </w:rPr>
      </w:pPr>
      <w:r w:rsidRPr="009332AA">
        <w:rPr>
          <w:rFonts w:ascii="Segoe UI" w:hAnsi="Segoe UI" w:cs="Segoe UI"/>
          <w:i/>
          <w:iCs/>
          <w:color w:val="000000"/>
          <w:szCs w:val="24"/>
          <w:lang w:val="en-GB"/>
        </w:rPr>
        <w:t>authorities or the European Data Protection Supervisor shall provide a controlled</w:t>
      </w:r>
    </w:p>
    <w:p w14:paraId="0D22A661" w14:textId="77777777" w:rsidR="00155A26" w:rsidRPr="009332AA" w:rsidRDefault="00155A26" w:rsidP="00155A26">
      <w:pPr>
        <w:autoSpaceDE w:val="0"/>
        <w:autoSpaceDN w:val="0"/>
        <w:adjustRightInd w:val="0"/>
        <w:spacing w:after="0"/>
        <w:rPr>
          <w:rFonts w:ascii="Segoe UI" w:hAnsi="Segoe UI" w:cs="Segoe UI"/>
          <w:i/>
          <w:iCs/>
          <w:color w:val="000000"/>
          <w:szCs w:val="24"/>
          <w:lang w:val="en-GB"/>
        </w:rPr>
      </w:pPr>
      <w:r w:rsidRPr="009332AA">
        <w:rPr>
          <w:rFonts w:ascii="Segoe UI" w:hAnsi="Segoe UI" w:cs="Segoe UI"/>
          <w:i/>
          <w:iCs/>
          <w:color w:val="000000"/>
          <w:szCs w:val="24"/>
          <w:lang w:val="en-GB"/>
        </w:rPr>
        <w:t>environment that facilitates the development, testing and validation of innovative AI</w:t>
      </w:r>
    </w:p>
    <w:p w14:paraId="0555956F" w14:textId="77777777" w:rsidR="00155A26" w:rsidRPr="009332AA" w:rsidRDefault="00155A26" w:rsidP="00155A26">
      <w:pPr>
        <w:autoSpaceDE w:val="0"/>
        <w:autoSpaceDN w:val="0"/>
        <w:adjustRightInd w:val="0"/>
        <w:spacing w:after="0"/>
        <w:rPr>
          <w:rFonts w:ascii="Segoe UI" w:hAnsi="Segoe UI" w:cs="Segoe UI"/>
          <w:i/>
          <w:iCs/>
          <w:color w:val="000000"/>
          <w:szCs w:val="24"/>
          <w:lang w:val="en-GB"/>
        </w:rPr>
      </w:pPr>
      <w:r w:rsidRPr="009332AA">
        <w:rPr>
          <w:rFonts w:ascii="Segoe UI" w:hAnsi="Segoe UI" w:cs="Segoe UI"/>
          <w:i/>
          <w:iCs/>
          <w:color w:val="000000"/>
          <w:szCs w:val="24"/>
          <w:lang w:val="en-GB"/>
        </w:rPr>
        <w:t>systems for a limited time before their placement on the market or putting into</w:t>
      </w:r>
    </w:p>
    <w:p w14:paraId="3F526DA9" w14:textId="77777777" w:rsidR="00155A26" w:rsidRPr="009332AA" w:rsidRDefault="00155A26" w:rsidP="00155A26">
      <w:pPr>
        <w:autoSpaceDE w:val="0"/>
        <w:autoSpaceDN w:val="0"/>
        <w:adjustRightInd w:val="0"/>
        <w:spacing w:after="0"/>
        <w:rPr>
          <w:rFonts w:ascii="Segoe UI" w:hAnsi="Segoe UI" w:cs="Segoe UI"/>
          <w:i/>
          <w:iCs/>
          <w:color w:val="000000"/>
          <w:szCs w:val="24"/>
          <w:lang w:val="en-GB"/>
        </w:rPr>
      </w:pPr>
      <w:r w:rsidRPr="009332AA">
        <w:rPr>
          <w:rFonts w:ascii="Segoe UI" w:hAnsi="Segoe UI" w:cs="Segoe UI"/>
          <w:i/>
          <w:iCs/>
          <w:color w:val="000000"/>
          <w:szCs w:val="24"/>
          <w:lang w:val="en-GB"/>
        </w:rPr>
        <w:t>service pursuant to a specific plan. This shall take place under the direct supervision</w:t>
      </w:r>
    </w:p>
    <w:p w14:paraId="5845B7EC" w14:textId="77777777" w:rsidR="00155A26" w:rsidRPr="009332AA" w:rsidRDefault="00155A26" w:rsidP="00155A26">
      <w:pPr>
        <w:autoSpaceDE w:val="0"/>
        <w:autoSpaceDN w:val="0"/>
        <w:adjustRightInd w:val="0"/>
        <w:spacing w:after="0"/>
        <w:rPr>
          <w:rFonts w:ascii="Segoe UI" w:hAnsi="Segoe UI" w:cs="Segoe UI"/>
          <w:i/>
          <w:iCs/>
          <w:color w:val="000000"/>
          <w:szCs w:val="24"/>
          <w:lang w:val="en-GB"/>
        </w:rPr>
      </w:pPr>
      <w:r w:rsidRPr="009332AA">
        <w:rPr>
          <w:rFonts w:ascii="Segoe UI" w:hAnsi="Segoe UI" w:cs="Segoe UI"/>
          <w:i/>
          <w:iCs/>
          <w:color w:val="000000"/>
          <w:szCs w:val="24"/>
          <w:lang w:val="en-GB"/>
        </w:rPr>
        <w:t>and guidance by the competent authorities with a view to ensuring compliance with</w:t>
      </w:r>
    </w:p>
    <w:p w14:paraId="05ADB62D" w14:textId="77777777" w:rsidR="00155A26" w:rsidRPr="009332AA" w:rsidRDefault="00155A26" w:rsidP="00155A26">
      <w:pPr>
        <w:autoSpaceDE w:val="0"/>
        <w:autoSpaceDN w:val="0"/>
        <w:adjustRightInd w:val="0"/>
        <w:spacing w:after="0"/>
        <w:rPr>
          <w:rFonts w:ascii="Segoe UI" w:hAnsi="Segoe UI" w:cs="Segoe UI"/>
          <w:i/>
          <w:iCs/>
          <w:color w:val="000000"/>
          <w:szCs w:val="24"/>
          <w:lang w:val="en-GB"/>
        </w:rPr>
      </w:pPr>
      <w:r w:rsidRPr="009332AA">
        <w:rPr>
          <w:rFonts w:ascii="Segoe UI" w:hAnsi="Segoe UI" w:cs="Segoe UI"/>
          <w:i/>
          <w:iCs/>
          <w:color w:val="000000"/>
          <w:szCs w:val="24"/>
          <w:lang w:val="en-GB"/>
        </w:rPr>
        <w:t xml:space="preserve">the requirements of this Regulation and, where relevant, </w:t>
      </w:r>
      <w:proofErr w:type="gramStart"/>
      <w:r w:rsidRPr="009332AA">
        <w:rPr>
          <w:rFonts w:ascii="Segoe UI" w:hAnsi="Segoe UI" w:cs="Segoe UI"/>
          <w:i/>
          <w:iCs/>
          <w:color w:val="000000"/>
          <w:szCs w:val="24"/>
          <w:lang w:val="en-GB"/>
        </w:rPr>
        <w:t>other</w:t>
      </w:r>
      <w:proofErr w:type="gramEnd"/>
      <w:r w:rsidRPr="009332AA">
        <w:rPr>
          <w:rFonts w:ascii="Segoe UI" w:hAnsi="Segoe UI" w:cs="Segoe UI"/>
          <w:i/>
          <w:iCs/>
          <w:color w:val="000000"/>
          <w:szCs w:val="24"/>
          <w:lang w:val="en-GB"/>
        </w:rPr>
        <w:t xml:space="preserve"> Union and Member</w:t>
      </w:r>
    </w:p>
    <w:p w14:paraId="74327CDD" w14:textId="77777777" w:rsidR="00155A26" w:rsidRDefault="00155A26" w:rsidP="00155A26">
      <w:pPr>
        <w:autoSpaceDE w:val="0"/>
        <w:autoSpaceDN w:val="0"/>
        <w:adjustRightInd w:val="0"/>
        <w:spacing w:after="0"/>
        <w:rPr>
          <w:rFonts w:ascii="Segoe UI" w:hAnsi="Segoe UI" w:cs="Segoe UI"/>
          <w:i/>
          <w:iCs/>
          <w:color w:val="000000"/>
          <w:szCs w:val="24"/>
          <w:lang w:val="en-GB"/>
        </w:rPr>
      </w:pPr>
      <w:r w:rsidRPr="009332AA">
        <w:rPr>
          <w:rFonts w:ascii="Segoe UI" w:hAnsi="Segoe UI" w:cs="Segoe UI"/>
          <w:i/>
          <w:iCs/>
          <w:color w:val="000000"/>
          <w:szCs w:val="24"/>
          <w:lang w:val="en-GB"/>
        </w:rPr>
        <w:t>States legislation supervised within the sandbox.</w:t>
      </w:r>
      <w:r>
        <w:rPr>
          <w:rFonts w:ascii="Segoe UI" w:hAnsi="Segoe UI" w:cs="Segoe UI"/>
          <w:i/>
          <w:iCs/>
          <w:color w:val="000000"/>
          <w:szCs w:val="24"/>
          <w:lang w:val="en-GB"/>
        </w:rPr>
        <w:t>”</w:t>
      </w:r>
    </w:p>
    <w:p w14:paraId="4FED240B" w14:textId="7D10D170" w:rsidR="00155A26" w:rsidRDefault="00512551" w:rsidP="00155A26">
      <w:pPr>
        <w:autoSpaceDE w:val="0"/>
        <w:autoSpaceDN w:val="0"/>
        <w:adjustRightInd w:val="0"/>
        <w:spacing w:after="0"/>
        <w:rPr>
          <w:rFonts w:ascii="Segoe UI" w:hAnsi="Segoe UI" w:cs="Segoe UI"/>
          <w:color w:val="000000"/>
          <w:szCs w:val="24"/>
          <w:lang w:val="en-GB"/>
        </w:rPr>
      </w:pPr>
      <w:r>
        <w:rPr>
          <w:rFonts w:ascii="Segoe UI" w:hAnsi="Segoe UI" w:cs="Segoe UI"/>
          <w:color w:val="000000"/>
          <w:szCs w:val="24"/>
          <w:lang w:val="en-GB"/>
        </w:rPr>
        <w:t xml:space="preserve">Source: </w:t>
      </w:r>
      <w:r w:rsidR="00155A26">
        <w:rPr>
          <w:rFonts w:ascii="Segoe UI" w:hAnsi="Segoe UI" w:cs="Segoe UI"/>
          <w:color w:val="000000"/>
          <w:szCs w:val="24"/>
          <w:lang w:val="en-GB"/>
        </w:rPr>
        <w:t xml:space="preserve">Art. 53 paragraph 1 </w:t>
      </w:r>
      <w:r w:rsidR="00155A26" w:rsidRPr="00D14D56">
        <w:rPr>
          <w:rFonts w:ascii="Segoe UI" w:hAnsi="Segoe UI" w:cs="Segoe UI"/>
          <w:color w:val="000000"/>
          <w:szCs w:val="24"/>
          <w:lang w:val="en-GB"/>
        </w:rPr>
        <w:t>Artificial Intelligence Act (AIA)</w:t>
      </w:r>
    </w:p>
    <w:p w14:paraId="578C9A47" w14:textId="77777777" w:rsidR="00155A26" w:rsidRDefault="005E787E" w:rsidP="00155A26">
      <w:pPr>
        <w:autoSpaceDE w:val="0"/>
        <w:autoSpaceDN w:val="0"/>
        <w:adjustRightInd w:val="0"/>
        <w:spacing w:after="0"/>
        <w:rPr>
          <w:rFonts w:ascii="Segoe UI" w:hAnsi="Segoe UI" w:cs="Segoe UI"/>
          <w:color w:val="000000"/>
          <w:szCs w:val="24"/>
          <w:lang w:val="en-GB"/>
        </w:rPr>
      </w:pPr>
      <w:hyperlink r:id="rId14" w:history="1">
        <w:r w:rsidR="00155A26" w:rsidRPr="00465920">
          <w:rPr>
            <w:rStyle w:val="Hyperlink"/>
            <w:rFonts w:ascii="Segoe UI" w:hAnsi="Segoe UI" w:cs="Segoe UI"/>
            <w:szCs w:val="24"/>
            <w:lang w:val="en-GB"/>
          </w:rPr>
          <w:t>https://eur-lex.europa.eu/resource.html?uri=cellar:e0649735-a372-11eb-9585-01aa75ed71a1.0001.02/DOC_1&amp;format=PDF</w:t>
        </w:r>
      </w:hyperlink>
      <w:r w:rsidR="00155A26">
        <w:rPr>
          <w:rFonts w:ascii="Segoe UI" w:hAnsi="Segoe UI" w:cs="Segoe UI"/>
          <w:color w:val="000000"/>
          <w:szCs w:val="24"/>
          <w:lang w:val="en-GB"/>
        </w:rPr>
        <w:t xml:space="preserve">  accessed 22.6.22</w:t>
      </w:r>
    </w:p>
    <w:p w14:paraId="48077F4B" w14:textId="77777777" w:rsidR="00155A26" w:rsidRDefault="00155A26" w:rsidP="00155A26">
      <w:pPr>
        <w:autoSpaceDE w:val="0"/>
        <w:autoSpaceDN w:val="0"/>
        <w:adjustRightInd w:val="0"/>
        <w:spacing w:after="0"/>
        <w:rPr>
          <w:rFonts w:ascii="Segoe UI" w:hAnsi="Segoe UI" w:cs="Segoe UI"/>
          <w:color w:val="000000"/>
          <w:szCs w:val="24"/>
          <w:lang w:val="en-GB"/>
        </w:rPr>
      </w:pPr>
    </w:p>
    <w:p w14:paraId="62AB307E" w14:textId="77777777" w:rsidR="00155A26" w:rsidRDefault="00155A26" w:rsidP="00155A26">
      <w:pPr>
        <w:autoSpaceDE w:val="0"/>
        <w:autoSpaceDN w:val="0"/>
        <w:adjustRightInd w:val="0"/>
        <w:spacing w:after="0"/>
        <w:rPr>
          <w:rFonts w:ascii="Segoe UI" w:hAnsi="Segoe UI" w:cs="Segoe UI"/>
          <w:color w:val="000000"/>
          <w:szCs w:val="24"/>
          <w:lang w:val="en-GB"/>
        </w:rPr>
      </w:pPr>
      <w:r>
        <w:rPr>
          <w:rFonts w:ascii="Segoe UI" w:hAnsi="Segoe UI" w:cs="Segoe UI"/>
          <w:color w:val="000000"/>
          <w:szCs w:val="24"/>
          <w:lang w:val="en-GB"/>
        </w:rPr>
        <w:t>Similar approaches are discussed in the USA (see paper).</w:t>
      </w:r>
    </w:p>
    <w:p w14:paraId="5C704037" w14:textId="77777777" w:rsidR="00155A26" w:rsidRDefault="00155A26" w:rsidP="00155A26">
      <w:pPr>
        <w:rPr>
          <w:rFonts w:ascii="Segoe UI" w:hAnsi="Segoe UI" w:cs="Segoe UI"/>
          <w:b/>
          <w:bCs/>
          <w:color w:val="000000"/>
          <w:szCs w:val="24"/>
          <w:lang w:val="en-GB"/>
        </w:rPr>
      </w:pPr>
    </w:p>
    <w:p w14:paraId="6562BA34" w14:textId="77777777" w:rsidR="002860B2" w:rsidRPr="002860B2" w:rsidRDefault="002860B2" w:rsidP="002860B2">
      <w:pPr>
        <w:rPr>
          <w:b/>
          <w:bCs/>
          <w:szCs w:val="24"/>
          <w:lang w:val="en-GB"/>
        </w:rPr>
      </w:pPr>
      <w:r w:rsidRPr="002860B2">
        <w:rPr>
          <w:b/>
          <w:bCs/>
          <w:szCs w:val="24"/>
          <w:lang w:val="en-GB"/>
        </w:rPr>
        <w:t>New EU-study</w:t>
      </w:r>
    </w:p>
    <w:p w14:paraId="786A2397" w14:textId="6F568615" w:rsidR="002860B2" w:rsidRDefault="002860B2" w:rsidP="002860B2">
      <w:pPr>
        <w:rPr>
          <w:szCs w:val="24"/>
          <w:lang w:val="en-GB"/>
        </w:rPr>
      </w:pPr>
      <w:r>
        <w:rPr>
          <w:szCs w:val="24"/>
          <w:lang w:val="en-GB"/>
        </w:rPr>
        <w:t>June 2022, the thinktank of the European Parliament published a study:</w:t>
      </w:r>
    </w:p>
    <w:p w14:paraId="7808D8FE" w14:textId="2A0609F5" w:rsidR="002860B2" w:rsidRPr="002860B2" w:rsidRDefault="002860B2" w:rsidP="002860B2">
      <w:pPr>
        <w:rPr>
          <w:b/>
          <w:bCs/>
          <w:szCs w:val="24"/>
          <w:lang w:val="en-GB"/>
        </w:rPr>
      </w:pPr>
      <w:r w:rsidRPr="002860B2">
        <w:rPr>
          <w:b/>
          <w:bCs/>
          <w:szCs w:val="24"/>
          <w:lang w:val="en-GB"/>
        </w:rPr>
        <w:t xml:space="preserve"> “</w:t>
      </w:r>
      <w:r w:rsidRPr="002860B2">
        <w:rPr>
          <w:b/>
          <w:bCs/>
          <w:szCs w:val="24"/>
          <w:lang w:val="en-GB"/>
        </w:rPr>
        <w:t>Artificial intelligence in healthcare Applications, risks, and ethical and societal impacts</w:t>
      </w:r>
      <w:r w:rsidRPr="002860B2">
        <w:rPr>
          <w:b/>
          <w:bCs/>
          <w:szCs w:val="24"/>
          <w:lang w:val="en-GB"/>
        </w:rPr>
        <w:t>”</w:t>
      </w:r>
    </w:p>
    <w:p w14:paraId="0679912C" w14:textId="4499D12F" w:rsidR="002860B2" w:rsidRPr="002860B2" w:rsidRDefault="002860B2" w:rsidP="002860B2">
      <w:pPr>
        <w:rPr>
          <w:szCs w:val="24"/>
          <w:lang w:val="en-GB"/>
        </w:rPr>
      </w:pPr>
      <w:hyperlink r:id="rId15" w:history="1">
        <w:r w:rsidRPr="00702628">
          <w:rPr>
            <w:rStyle w:val="Hyperlink"/>
            <w:szCs w:val="24"/>
            <w:lang w:val="en-GB"/>
          </w:rPr>
          <w:t>https://www.europarl.europa.eu/thinktank/en/document/EPRS_STU(2022)729512</w:t>
        </w:r>
      </w:hyperlink>
      <w:r>
        <w:rPr>
          <w:szCs w:val="24"/>
          <w:lang w:val="en-GB"/>
        </w:rPr>
        <w:t xml:space="preserve"> </w:t>
      </w:r>
      <w:r w:rsidRPr="002860B2">
        <w:rPr>
          <w:szCs w:val="24"/>
          <w:lang w:val="en-GB"/>
        </w:rPr>
        <w:t xml:space="preserve"> </w:t>
      </w:r>
      <w:r>
        <w:rPr>
          <w:szCs w:val="24"/>
          <w:lang w:val="en-GB"/>
        </w:rPr>
        <w:t xml:space="preserve"> </w:t>
      </w:r>
    </w:p>
    <w:p w14:paraId="0A94F766" w14:textId="178E505C" w:rsidR="002860B2" w:rsidRDefault="002860B2" w:rsidP="002860B2">
      <w:pPr>
        <w:rPr>
          <w:szCs w:val="24"/>
          <w:lang w:val="en-GB"/>
        </w:rPr>
      </w:pPr>
      <w:hyperlink r:id="rId16" w:history="1">
        <w:r w:rsidRPr="00702628">
          <w:rPr>
            <w:rStyle w:val="Hyperlink"/>
            <w:szCs w:val="24"/>
            <w:lang w:val="en-GB"/>
          </w:rPr>
          <w:t>https://www.europarl.europa.eu/RegData/etudes/STUD/2022/729512/EPRS_STU(2022)729512_EN</w:t>
        </w:r>
        <w:r w:rsidRPr="00702628">
          <w:rPr>
            <w:rStyle w:val="Hyperlink"/>
            <w:szCs w:val="24"/>
            <w:lang w:val="en-GB"/>
          </w:rPr>
          <w:t>.</w:t>
        </w:r>
        <w:r w:rsidRPr="00702628">
          <w:rPr>
            <w:rStyle w:val="Hyperlink"/>
            <w:szCs w:val="24"/>
            <w:lang w:val="en-GB"/>
          </w:rPr>
          <w:t>pdf</w:t>
        </w:r>
      </w:hyperlink>
      <w:r>
        <w:rPr>
          <w:szCs w:val="24"/>
          <w:lang w:val="en-GB"/>
        </w:rPr>
        <w:t xml:space="preserve">  </w:t>
      </w:r>
      <w:r w:rsidRPr="002860B2">
        <w:rPr>
          <w:szCs w:val="24"/>
          <w:lang w:val="en-GB"/>
        </w:rPr>
        <w:t xml:space="preserve"> accessed 9.7.2022</w:t>
      </w:r>
    </w:p>
    <w:p w14:paraId="480D7746" w14:textId="47A59677" w:rsidR="00511B55" w:rsidRDefault="00511B55" w:rsidP="002860B2">
      <w:pPr>
        <w:rPr>
          <w:szCs w:val="24"/>
          <w:lang w:val="en-GB"/>
        </w:rPr>
      </w:pPr>
      <w:r>
        <w:rPr>
          <w:szCs w:val="24"/>
          <w:lang w:val="en-GB"/>
        </w:rPr>
        <w:t>Seven main risk areas are identified:</w:t>
      </w:r>
    </w:p>
    <w:p w14:paraId="368A2B7F" w14:textId="2A20AC7C" w:rsidR="00511B55" w:rsidRDefault="00511B55" w:rsidP="00511B55">
      <w:pPr>
        <w:pStyle w:val="Listenabsatz"/>
        <w:numPr>
          <w:ilvl w:val="0"/>
          <w:numId w:val="22"/>
        </w:numPr>
        <w:rPr>
          <w:lang w:val="en-GB"/>
        </w:rPr>
      </w:pPr>
      <w:r>
        <w:rPr>
          <w:lang w:val="en-GB"/>
        </w:rPr>
        <w:t>Patient harm due to AI errors</w:t>
      </w:r>
    </w:p>
    <w:p w14:paraId="4285E87D" w14:textId="6FA7FBB9" w:rsidR="00511B55" w:rsidRDefault="00511B55" w:rsidP="00511B55">
      <w:pPr>
        <w:pStyle w:val="Listenabsatz"/>
        <w:numPr>
          <w:ilvl w:val="0"/>
          <w:numId w:val="22"/>
        </w:numPr>
        <w:rPr>
          <w:lang w:val="en-GB"/>
        </w:rPr>
      </w:pPr>
      <w:r>
        <w:rPr>
          <w:lang w:val="en-GB"/>
        </w:rPr>
        <w:t>Misuse of medical AI tools</w:t>
      </w:r>
    </w:p>
    <w:p w14:paraId="1A70D5E8" w14:textId="63994316" w:rsidR="00511B55" w:rsidRDefault="00511B55" w:rsidP="00511B55">
      <w:pPr>
        <w:pStyle w:val="Listenabsatz"/>
        <w:numPr>
          <w:ilvl w:val="0"/>
          <w:numId w:val="22"/>
        </w:numPr>
        <w:rPr>
          <w:lang w:val="en-GB"/>
        </w:rPr>
      </w:pPr>
      <w:r>
        <w:rPr>
          <w:lang w:val="en-GB"/>
        </w:rPr>
        <w:t>Bias in AI</w:t>
      </w:r>
    </w:p>
    <w:p w14:paraId="09AF921D" w14:textId="5AEE0991" w:rsidR="00511B55" w:rsidRDefault="00511B55" w:rsidP="00511B55">
      <w:pPr>
        <w:pStyle w:val="Listenabsatz"/>
        <w:numPr>
          <w:ilvl w:val="0"/>
          <w:numId w:val="22"/>
        </w:numPr>
        <w:rPr>
          <w:lang w:val="en-GB"/>
        </w:rPr>
      </w:pPr>
      <w:r>
        <w:rPr>
          <w:lang w:val="en-GB"/>
        </w:rPr>
        <w:t>Lack of transparency</w:t>
      </w:r>
    </w:p>
    <w:p w14:paraId="78F1F8E8" w14:textId="44D5C7F4" w:rsidR="00511B55" w:rsidRDefault="00511B55" w:rsidP="00511B55">
      <w:pPr>
        <w:pStyle w:val="Listenabsatz"/>
        <w:numPr>
          <w:ilvl w:val="0"/>
          <w:numId w:val="22"/>
        </w:numPr>
        <w:rPr>
          <w:lang w:val="en-GB"/>
        </w:rPr>
      </w:pPr>
      <w:r>
        <w:rPr>
          <w:lang w:val="en-GB"/>
        </w:rPr>
        <w:t>Privacy and security issues</w:t>
      </w:r>
    </w:p>
    <w:p w14:paraId="5864A60B" w14:textId="76728C3B" w:rsidR="003D4E73" w:rsidRDefault="003D4E73" w:rsidP="00511B55">
      <w:pPr>
        <w:pStyle w:val="Listenabsatz"/>
        <w:numPr>
          <w:ilvl w:val="0"/>
          <w:numId w:val="22"/>
        </w:numPr>
        <w:rPr>
          <w:lang w:val="en-GB"/>
        </w:rPr>
      </w:pPr>
      <w:r>
        <w:rPr>
          <w:lang w:val="en-GB"/>
        </w:rPr>
        <w:t>Gaps in accountability</w:t>
      </w:r>
      <w:r w:rsidR="00231807">
        <w:rPr>
          <w:lang w:val="en-GB"/>
        </w:rPr>
        <w:t xml:space="preserve"> (legal gaps in current regulations, difficulties in defining roles and responsibilities for multiple actors involved</w:t>
      </w:r>
      <w:r w:rsidR="00694505">
        <w:rPr>
          <w:lang w:val="en-GB"/>
        </w:rPr>
        <w:t xml:space="preserve"> in medical AI, </w:t>
      </w:r>
      <w:r w:rsidR="00231807">
        <w:rPr>
          <w:lang w:val="en-GB"/>
        </w:rPr>
        <w:t>and lack of ethical and legal governance for AI manufacturers)</w:t>
      </w:r>
    </w:p>
    <w:p w14:paraId="131A4927" w14:textId="74911636" w:rsidR="003D4E73" w:rsidRPr="00511B55" w:rsidRDefault="003D4E73" w:rsidP="00511B55">
      <w:pPr>
        <w:pStyle w:val="Listenabsatz"/>
        <w:numPr>
          <w:ilvl w:val="0"/>
          <w:numId w:val="22"/>
        </w:numPr>
        <w:rPr>
          <w:lang w:val="en-GB"/>
        </w:rPr>
      </w:pPr>
      <w:r>
        <w:rPr>
          <w:lang w:val="en-GB"/>
        </w:rPr>
        <w:t>Obstacles in implementation</w:t>
      </w:r>
    </w:p>
    <w:p w14:paraId="49AD8960" w14:textId="1F16C843" w:rsidR="002860B2" w:rsidRDefault="002860B2" w:rsidP="002860B2">
      <w:pPr>
        <w:rPr>
          <w:szCs w:val="24"/>
          <w:lang w:val="en-GB"/>
        </w:rPr>
      </w:pPr>
      <w:r>
        <w:rPr>
          <w:szCs w:val="24"/>
          <w:lang w:val="en-GB"/>
        </w:rPr>
        <w:t xml:space="preserve">The study </w:t>
      </w:r>
      <w:r w:rsidR="006E6BB7">
        <w:rPr>
          <w:szCs w:val="24"/>
          <w:lang w:val="en-GB"/>
        </w:rPr>
        <w:t xml:space="preserve">concludes that a more holistic, multi-faceted evaluation for future AI solutions in healthcare. Recommended policy options are: </w:t>
      </w:r>
    </w:p>
    <w:p w14:paraId="5250D637" w14:textId="13C930FE" w:rsidR="006E6BB7" w:rsidRDefault="006E6BB7" w:rsidP="006E6BB7">
      <w:pPr>
        <w:pStyle w:val="Listenabsatz"/>
        <w:numPr>
          <w:ilvl w:val="0"/>
          <w:numId w:val="21"/>
        </w:numPr>
        <w:rPr>
          <w:lang w:val="en-GB"/>
        </w:rPr>
      </w:pPr>
      <w:r>
        <w:rPr>
          <w:lang w:val="en-GB"/>
        </w:rPr>
        <w:t>Extension of AI regulatory frameworks and best practices to address health</w:t>
      </w:r>
      <w:r w:rsidR="00D9069A">
        <w:rPr>
          <w:lang w:val="en-GB"/>
        </w:rPr>
        <w:t>care-specific risks and requirements.</w:t>
      </w:r>
    </w:p>
    <w:p w14:paraId="2869340D" w14:textId="526051EA" w:rsidR="00D9069A" w:rsidRDefault="00D9069A" w:rsidP="006E6BB7">
      <w:pPr>
        <w:pStyle w:val="Listenabsatz"/>
        <w:numPr>
          <w:ilvl w:val="0"/>
          <w:numId w:val="21"/>
        </w:numPr>
        <w:rPr>
          <w:lang w:val="en-GB"/>
        </w:rPr>
      </w:pPr>
      <w:r>
        <w:rPr>
          <w:lang w:val="en-GB"/>
        </w:rPr>
        <w:t xml:space="preserve">Promotion of multi-stakeholder engagement and co-creation throughout the </w:t>
      </w:r>
      <w:proofErr w:type="gramStart"/>
      <w:r>
        <w:rPr>
          <w:lang w:val="en-GB"/>
        </w:rPr>
        <w:t>MLMD  lifecycle</w:t>
      </w:r>
      <w:proofErr w:type="gramEnd"/>
      <w:r>
        <w:rPr>
          <w:lang w:val="en-GB"/>
        </w:rPr>
        <w:t>.</w:t>
      </w:r>
    </w:p>
    <w:p w14:paraId="54335633" w14:textId="28FD6BC7" w:rsidR="00D9069A" w:rsidRDefault="00D9069A" w:rsidP="006E6BB7">
      <w:pPr>
        <w:pStyle w:val="Listenabsatz"/>
        <w:numPr>
          <w:ilvl w:val="0"/>
          <w:numId w:val="21"/>
        </w:numPr>
        <w:rPr>
          <w:lang w:val="en-GB"/>
        </w:rPr>
      </w:pPr>
      <w:r>
        <w:rPr>
          <w:lang w:val="en-GB"/>
        </w:rPr>
        <w:t>AI passport and traceability mechanisms that contain five categories of information:</w:t>
      </w:r>
    </w:p>
    <w:p w14:paraId="1D1C8571" w14:textId="69CD4CF9" w:rsidR="00D9069A" w:rsidRDefault="00D9069A" w:rsidP="00D9069A">
      <w:pPr>
        <w:pStyle w:val="Listenabsatz"/>
        <w:numPr>
          <w:ilvl w:val="1"/>
          <w:numId w:val="21"/>
        </w:numPr>
        <w:rPr>
          <w:lang w:val="en-GB"/>
        </w:rPr>
      </w:pPr>
      <w:r>
        <w:rPr>
          <w:lang w:val="en-GB"/>
        </w:rPr>
        <w:t>Model-related information</w:t>
      </w:r>
    </w:p>
    <w:p w14:paraId="040ED1FD" w14:textId="59FF7A18" w:rsidR="00D9069A" w:rsidRDefault="00D9069A" w:rsidP="00D9069A">
      <w:pPr>
        <w:pStyle w:val="Listenabsatz"/>
        <w:numPr>
          <w:ilvl w:val="1"/>
          <w:numId w:val="21"/>
        </w:numPr>
        <w:rPr>
          <w:lang w:val="en-GB"/>
        </w:rPr>
      </w:pPr>
      <w:r>
        <w:rPr>
          <w:lang w:val="en-GB"/>
        </w:rPr>
        <w:t>Data-related information</w:t>
      </w:r>
    </w:p>
    <w:p w14:paraId="38FBC2E9" w14:textId="0B3EE40C" w:rsidR="00D9069A" w:rsidRDefault="00D9069A" w:rsidP="00D9069A">
      <w:pPr>
        <w:pStyle w:val="Listenabsatz"/>
        <w:numPr>
          <w:ilvl w:val="1"/>
          <w:numId w:val="21"/>
        </w:numPr>
        <w:rPr>
          <w:lang w:val="en-GB"/>
        </w:rPr>
      </w:pPr>
      <w:r>
        <w:rPr>
          <w:lang w:val="en-GB"/>
        </w:rPr>
        <w:t>Evaluation -related Information</w:t>
      </w:r>
    </w:p>
    <w:p w14:paraId="06BF5DBB" w14:textId="7B0307D5" w:rsidR="009700E2" w:rsidRDefault="009700E2" w:rsidP="00D9069A">
      <w:pPr>
        <w:pStyle w:val="Listenabsatz"/>
        <w:numPr>
          <w:ilvl w:val="1"/>
          <w:numId w:val="21"/>
        </w:numPr>
        <w:rPr>
          <w:lang w:val="en-GB"/>
        </w:rPr>
      </w:pPr>
      <w:r>
        <w:rPr>
          <w:lang w:val="en-GB"/>
        </w:rPr>
        <w:t>Usage-related information</w:t>
      </w:r>
    </w:p>
    <w:p w14:paraId="3E507EF9" w14:textId="76AD9505" w:rsidR="009700E2" w:rsidRDefault="009700E2" w:rsidP="00D9069A">
      <w:pPr>
        <w:pStyle w:val="Listenabsatz"/>
        <w:numPr>
          <w:ilvl w:val="1"/>
          <w:numId w:val="21"/>
        </w:numPr>
        <w:rPr>
          <w:lang w:val="en-GB"/>
        </w:rPr>
      </w:pPr>
      <w:r>
        <w:rPr>
          <w:lang w:val="en-GB"/>
        </w:rPr>
        <w:t>Maintenance-related information</w:t>
      </w:r>
    </w:p>
    <w:p w14:paraId="7C3AD793" w14:textId="6E98E442" w:rsidR="009700E2" w:rsidRDefault="009700E2" w:rsidP="009700E2">
      <w:pPr>
        <w:pStyle w:val="Listenabsatz"/>
        <w:numPr>
          <w:ilvl w:val="0"/>
          <w:numId w:val="21"/>
        </w:numPr>
        <w:rPr>
          <w:lang w:val="en-GB"/>
        </w:rPr>
      </w:pPr>
      <w:r>
        <w:rPr>
          <w:lang w:val="en-GB"/>
        </w:rPr>
        <w:t>Addressing accountability and monitoring of responsibilities</w:t>
      </w:r>
    </w:p>
    <w:p w14:paraId="327314EC" w14:textId="31B5CC7E" w:rsidR="009700E2" w:rsidRDefault="009700E2" w:rsidP="009700E2">
      <w:pPr>
        <w:pStyle w:val="Listenabsatz"/>
        <w:numPr>
          <w:ilvl w:val="0"/>
          <w:numId w:val="21"/>
        </w:numPr>
        <w:rPr>
          <w:lang w:val="en-GB"/>
        </w:rPr>
      </w:pPr>
      <w:r>
        <w:rPr>
          <w:lang w:val="en-GB"/>
        </w:rPr>
        <w:t xml:space="preserve">Education and fostering of skills </w:t>
      </w:r>
      <w:proofErr w:type="gramStart"/>
      <w:r>
        <w:rPr>
          <w:lang w:val="en-GB"/>
        </w:rPr>
        <w:t>an</w:t>
      </w:r>
      <w:proofErr w:type="gramEnd"/>
      <w:r>
        <w:rPr>
          <w:lang w:val="en-GB"/>
        </w:rPr>
        <w:t xml:space="preserve"> literacy of the general public in medical AI</w:t>
      </w:r>
    </w:p>
    <w:p w14:paraId="2672BBAB" w14:textId="6C57D8D3" w:rsidR="009700E2" w:rsidRDefault="009700E2" w:rsidP="009700E2">
      <w:pPr>
        <w:pStyle w:val="Listenabsatz"/>
        <w:numPr>
          <w:ilvl w:val="0"/>
          <w:numId w:val="21"/>
        </w:numPr>
        <w:rPr>
          <w:lang w:val="en-GB"/>
        </w:rPr>
      </w:pPr>
      <w:r>
        <w:rPr>
          <w:lang w:val="en-GB"/>
        </w:rPr>
        <w:t xml:space="preserve">Promotion of further technical, clinical, ethical and regulatory research </w:t>
      </w:r>
    </w:p>
    <w:p w14:paraId="3CECA817" w14:textId="5CE621CE" w:rsidR="00D9069A" w:rsidRDefault="00511B55" w:rsidP="006E6BB7">
      <w:pPr>
        <w:pStyle w:val="Listenabsatz"/>
        <w:numPr>
          <w:ilvl w:val="0"/>
          <w:numId w:val="21"/>
        </w:numPr>
        <w:rPr>
          <w:lang w:val="en-GB"/>
        </w:rPr>
      </w:pPr>
      <w:r>
        <w:rPr>
          <w:lang w:val="en-GB"/>
        </w:rPr>
        <w:t>Strategy for reducing the European d</w:t>
      </w:r>
      <w:r w:rsidR="003D4E73">
        <w:rPr>
          <w:lang w:val="en-GB"/>
        </w:rPr>
        <w:t>i</w:t>
      </w:r>
      <w:r>
        <w:rPr>
          <w:lang w:val="en-GB"/>
        </w:rPr>
        <w:t>vide in medical AI</w:t>
      </w:r>
    </w:p>
    <w:p w14:paraId="03ABB78D" w14:textId="31697C16" w:rsidR="0048595B" w:rsidRDefault="0048595B" w:rsidP="0048595B">
      <w:pPr>
        <w:rPr>
          <w:lang w:val="en-GB"/>
        </w:rPr>
      </w:pPr>
      <w:r>
        <w:rPr>
          <w:lang w:val="en-GB"/>
        </w:rPr>
        <w:t>Mitigation measures are recommended.</w:t>
      </w:r>
      <w:r w:rsidR="00CD5F49">
        <w:rPr>
          <w:lang w:val="en-GB"/>
        </w:rPr>
        <w:t xml:space="preserve"> </w:t>
      </w:r>
      <w:r w:rsidR="00C96F96">
        <w:rPr>
          <w:lang w:val="en-GB"/>
        </w:rPr>
        <w:t xml:space="preserve">Recent </w:t>
      </w:r>
      <w:r w:rsidR="00CD5F49">
        <w:rPr>
          <w:lang w:val="en-GB"/>
        </w:rPr>
        <w:t>Eur</w:t>
      </w:r>
      <w:r w:rsidR="00C96F96">
        <w:rPr>
          <w:lang w:val="en-GB"/>
        </w:rPr>
        <w:t>o</w:t>
      </w:r>
      <w:r w:rsidR="00CD5F49">
        <w:rPr>
          <w:lang w:val="en-GB"/>
        </w:rPr>
        <w:t>pean consensus guideline</w:t>
      </w:r>
      <w:r w:rsidR="00C96F96">
        <w:rPr>
          <w:lang w:val="en-GB"/>
        </w:rPr>
        <w:t>s for trustworthy AI in medicine are based on EC-funded research and international inter-disciplinary experts.</w:t>
      </w:r>
    </w:p>
    <w:p w14:paraId="15FECC56" w14:textId="3682387C" w:rsidR="00CD5F49" w:rsidRPr="0048595B" w:rsidRDefault="00CD5F49" w:rsidP="0048595B">
      <w:pPr>
        <w:rPr>
          <w:lang w:val="en-GB"/>
        </w:rPr>
      </w:pPr>
      <w:r w:rsidRPr="00CD5F49">
        <w:rPr>
          <w:lang w:val="en-GB"/>
        </w:rPr>
        <w:t>FUTURE-AI: Best practices for trustworthy AI in medicine</w:t>
      </w:r>
      <w:r w:rsidR="00C96F96">
        <w:rPr>
          <w:lang w:val="en-GB"/>
        </w:rPr>
        <w:t xml:space="preserve"> </w:t>
      </w:r>
      <w:hyperlink r:id="rId17" w:history="1">
        <w:r w:rsidR="00C96F96" w:rsidRPr="00D5731B">
          <w:rPr>
            <w:rStyle w:val="Hyperlink"/>
            <w:lang w:val="en-GB"/>
          </w:rPr>
          <w:t>http://future-ai.eu/</w:t>
        </w:r>
      </w:hyperlink>
      <w:r w:rsidR="00C96F96">
        <w:rPr>
          <w:lang w:val="en-GB"/>
        </w:rPr>
        <w:t xml:space="preserve"> accessed 9.7.2022</w:t>
      </w:r>
    </w:p>
    <w:p w14:paraId="33AC51D6" w14:textId="48DC92EB" w:rsidR="007F7C0D" w:rsidRPr="007F7C0D" w:rsidRDefault="007F7C0D" w:rsidP="007F7C0D">
      <w:pPr>
        <w:rPr>
          <w:b/>
          <w:bCs/>
          <w:szCs w:val="24"/>
          <w:lang w:val="en-GB"/>
        </w:rPr>
      </w:pPr>
      <w:r w:rsidRPr="007F7C0D">
        <w:rPr>
          <w:b/>
          <w:bCs/>
          <w:szCs w:val="24"/>
          <w:lang w:val="en-GB"/>
        </w:rPr>
        <w:lastRenderedPageBreak/>
        <w:t xml:space="preserve">New </w:t>
      </w:r>
      <w:r w:rsidRPr="007F7C0D">
        <w:rPr>
          <w:b/>
          <w:bCs/>
          <w:szCs w:val="24"/>
          <w:lang w:val="en-GB"/>
        </w:rPr>
        <w:t xml:space="preserve">FDA </w:t>
      </w:r>
      <w:r w:rsidRPr="007F7C0D">
        <w:rPr>
          <w:b/>
          <w:bCs/>
          <w:szCs w:val="24"/>
          <w:lang w:val="en-GB"/>
        </w:rPr>
        <w:t>Guidance</w:t>
      </w:r>
      <w:r w:rsidR="00424CF2">
        <w:rPr>
          <w:b/>
          <w:bCs/>
          <w:szCs w:val="24"/>
          <w:lang w:val="en-GB"/>
        </w:rPr>
        <w:t xml:space="preserve"> on quantitative imaging in radiology</w:t>
      </w:r>
      <w:r w:rsidRPr="007F7C0D">
        <w:rPr>
          <w:b/>
          <w:bCs/>
          <w:szCs w:val="24"/>
          <w:lang w:val="en-GB"/>
        </w:rPr>
        <w:t xml:space="preserve"> issued June 2022</w:t>
      </w:r>
    </w:p>
    <w:p w14:paraId="03A74867" w14:textId="6125EF80" w:rsidR="007F7C0D" w:rsidRPr="007F7C0D" w:rsidRDefault="007F7C0D" w:rsidP="007F7C0D">
      <w:pPr>
        <w:rPr>
          <w:szCs w:val="24"/>
          <w:lang w:val="en-GB"/>
        </w:rPr>
      </w:pPr>
      <w:r>
        <w:rPr>
          <w:szCs w:val="24"/>
          <w:lang w:val="en-GB"/>
        </w:rPr>
        <w:t>T</w:t>
      </w:r>
      <w:r w:rsidRPr="007F7C0D">
        <w:rPr>
          <w:szCs w:val="24"/>
          <w:lang w:val="en-GB"/>
        </w:rPr>
        <w:t>echnical Performance Assessment</w:t>
      </w:r>
      <w:r>
        <w:rPr>
          <w:szCs w:val="24"/>
          <w:lang w:val="en-GB"/>
        </w:rPr>
        <w:t xml:space="preserve"> </w:t>
      </w:r>
      <w:r w:rsidRPr="007F7C0D">
        <w:rPr>
          <w:szCs w:val="24"/>
          <w:lang w:val="en-GB"/>
        </w:rPr>
        <w:t>of Quantitative Imaging in</w:t>
      </w:r>
      <w:r>
        <w:rPr>
          <w:szCs w:val="24"/>
          <w:lang w:val="en-GB"/>
        </w:rPr>
        <w:t xml:space="preserve"> </w:t>
      </w:r>
      <w:r w:rsidRPr="007F7C0D">
        <w:rPr>
          <w:szCs w:val="24"/>
          <w:lang w:val="en-GB"/>
        </w:rPr>
        <w:t>Radiological Device Premarket</w:t>
      </w:r>
    </w:p>
    <w:p w14:paraId="7FA2B4A1" w14:textId="7AE3B702" w:rsidR="007F7C0D" w:rsidRPr="007F7C0D" w:rsidRDefault="007F7C0D" w:rsidP="007F7C0D">
      <w:pPr>
        <w:rPr>
          <w:szCs w:val="24"/>
          <w:lang w:val="en-GB"/>
        </w:rPr>
      </w:pPr>
      <w:r w:rsidRPr="007F7C0D">
        <w:rPr>
          <w:szCs w:val="24"/>
          <w:lang w:val="en-GB"/>
        </w:rPr>
        <w:t>Submissions</w:t>
      </w:r>
      <w:r>
        <w:rPr>
          <w:szCs w:val="24"/>
          <w:lang w:val="en-GB"/>
        </w:rPr>
        <w:t xml:space="preserve">- </w:t>
      </w:r>
      <w:r w:rsidRPr="007F7C0D">
        <w:rPr>
          <w:szCs w:val="24"/>
          <w:lang w:val="en-GB"/>
        </w:rPr>
        <w:t>Guidance for Industry and Food and</w:t>
      </w:r>
      <w:r>
        <w:rPr>
          <w:szCs w:val="24"/>
          <w:lang w:val="en-GB"/>
        </w:rPr>
        <w:t xml:space="preserve"> </w:t>
      </w:r>
      <w:r w:rsidRPr="007F7C0D">
        <w:rPr>
          <w:szCs w:val="24"/>
          <w:lang w:val="en-GB"/>
        </w:rPr>
        <w:t>Drug Administration Sta</w:t>
      </w:r>
      <w:r>
        <w:rPr>
          <w:szCs w:val="24"/>
          <w:lang w:val="en-GB"/>
        </w:rPr>
        <w:t>f</w:t>
      </w:r>
      <w:r w:rsidRPr="007F7C0D">
        <w:rPr>
          <w:szCs w:val="24"/>
          <w:lang w:val="en-GB"/>
        </w:rPr>
        <w:t xml:space="preserve">f </w:t>
      </w:r>
    </w:p>
    <w:p w14:paraId="2FB3DAAE" w14:textId="103A355E" w:rsidR="002860B2" w:rsidRDefault="007F7C0D" w:rsidP="007F7C0D">
      <w:pPr>
        <w:rPr>
          <w:szCs w:val="24"/>
          <w:lang w:val="en-GB"/>
        </w:rPr>
      </w:pPr>
      <w:hyperlink r:id="rId18" w:history="1">
        <w:r w:rsidRPr="00D5731B">
          <w:rPr>
            <w:rStyle w:val="Hyperlink"/>
            <w:szCs w:val="24"/>
            <w:lang w:val="en-GB"/>
          </w:rPr>
          <w:t>https://www.fda.gov/media/123271/download?utm_source=CleverReach&amp;utm_medium=email&amp;utm_campaign=05-05-22+Kampagnen-Name&amp;utm_content=Mailing_13683449</w:t>
        </w:r>
      </w:hyperlink>
      <w:r>
        <w:rPr>
          <w:szCs w:val="24"/>
          <w:lang w:val="en-GB"/>
        </w:rPr>
        <w:t xml:space="preserve">  </w:t>
      </w:r>
      <w:r>
        <w:rPr>
          <w:lang w:val="en-GB"/>
        </w:rPr>
        <w:t>accessed 9.7.2022</w:t>
      </w:r>
    </w:p>
    <w:p w14:paraId="1D4134FE" w14:textId="66C9BCD0" w:rsidR="00745BF5" w:rsidRDefault="00424CF2" w:rsidP="00424CF2">
      <w:pPr>
        <w:rPr>
          <w:szCs w:val="24"/>
          <w:lang w:val="en-GB"/>
        </w:rPr>
      </w:pPr>
      <w:r>
        <w:rPr>
          <w:szCs w:val="24"/>
          <w:lang w:val="en-GB"/>
        </w:rPr>
        <w:t>The guidance provides definitions</w:t>
      </w:r>
      <w:r w:rsidR="00ED0367">
        <w:rPr>
          <w:szCs w:val="24"/>
          <w:lang w:val="en-GB"/>
        </w:rPr>
        <w:t xml:space="preserve"> and</w:t>
      </w:r>
      <w:r>
        <w:rPr>
          <w:szCs w:val="24"/>
          <w:lang w:val="en-GB"/>
        </w:rPr>
        <w:t xml:space="preserve"> discusses sources of error</w:t>
      </w:r>
      <w:r w:rsidR="00ED0367">
        <w:rPr>
          <w:szCs w:val="24"/>
          <w:lang w:val="en-GB"/>
        </w:rPr>
        <w:t>, e. g. related to patient characteristics, image acquisition and processing. Information that must be provided for premarket submission is specified.</w:t>
      </w:r>
      <w:r w:rsidR="00903F42">
        <w:rPr>
          <w:szCs w:val="24"/>
          <w:lang w:val="en-GB"/>
        </w:rPr>
        <w:t xml:space="preserve"> A </w:t>
      </w:r>
      <w:r w:rsidR="002A0679" w:rsidRPr="002A0679">
        <w:rPr>
          <w:szCs w:val="24"/>
          <w:lang w:val="en-GB"/>
        </w:rPr>
        <w:t>technical description of the quantitative imaging</w:t>
      </w:r>
      <w:r w:rsidR="00903F42">
        <w:rPr>
          <w:szCs w:val="24"/>
          <w:lang w:val="en-GB"/>
        </w:rPr>
        <w:t xml:space="preserve"> </w:t>
      </w:r>
      <w:r w:rsidR="002A0679" w:rsidRPr="002A0679">
        <w:rPr>
          <w:szCs w:val="24"/>
          <w:lang w:val="en-GB"/>
        </w:rPr>
        <w:t>function(s) included in</w:t>
      </w:r>
      <w:r w:rsidR="00903F42">
        <w:rPr>
          <w:szCs w:val="24"/>
          <w:lang w:val="en-GB"/>
        </w:rPr>
        <w:t xml:space="preserve"> the</w:t>
      </w:r>
      <w:r w:rsidR="002A0679" w:rsidRPr="002A0679">
        <w:rPr>
          <w:szCs w:val="24"/>
          <w:lang w:val="en-GB"/>
        </w:rPr>
        <w:t xml:space="preserve"> device</w:t>
      </w:r>
      <w:r w:rsidR="00903F42">
        <w:rPr>
          <w:szCs w:val="24"/>
          <w:lang w:val="en-GB"/>
        </w:rPr>
        <w:t xml:space="preserve"> must provide</w:t>
      </w:r>
      <w:r w:rsidR="002A0679" w:rsidRPr="002A0679">
        <w:rPr>
          <w:szCs w:val="24"/>
          <w:lang w:val="en-GB"/>
        </w:rPr>
        <w:t xml:space="preserve"> sufficient </w:t>
      </w:r>
      <w:r w:rsidR="00903F42">
        <w:rPr>
          <w:szCs w:val="24"/>
          <w:lang w:val="en-GB"/>
        </w:rPr>
        <w:t xml:space="preserve">detail </w:t>
      </w:r>
      <w:r w:rsidR="002A0679" w:rsidRPr="002A0679">
        <w:rPr>
          <w:szCs w:val="24"/>
          <w:lang w:val="en-GB"/>
        </w:rPr>
        <w:t>for the Agency to understand the</w:t>
      </w:r>
      <w:r w:rsidR="00903F42">
        <w:rPr>
          <w:szCs w:val="24"/>
          <w:lang w:val="en-GB"/>
        </w:rPr>
        <w:t xml:space="preserve"> </w:t>
      </w:r>
      <w:r w:rsidR="002A0679" w:rsidRPr="002A0679">
        <w:rPr>
          <w:szCs w:val="24"/>
          <w:lang w:val="en-GB"/>
        </w:rPr>
        <w:t>functionality.</w:t>
      </w:r>
      <w:r w:rsidR="00903F42">
        <w:rPr>
          <w:szCs w:val="24"/>
          <w:lang w:val="en-GB"/>
        </w:rPr>
        <w:t xml:space="preserve"> The report should include the l</w:t>
      </w:r>
      <w:r w:rsidRPr="00424CF2">
        <w:rPr>
          <w:szCs w:val="24"/>
          <w:lang w:val="en-GB"/>
        </w:rPr>
        <w:t>evel of automation (e.g., manual, automatic, or semi-automatic)</w:t>
      </w:r>
      <w:r w:rsidR="00903F42">
        <w:rPr>
          <w:szCs w:val="24"/>
          <w:lang w:val="en-GB"/>
        </w:rPr>
        <w:t xml:space="preserve">, </w:t>
      </w:r>
      <w:r w:rsidRPr="00424CF2">
        <w:rPr>
          <w:szCs w:val="24"/>
          <w:lang w:val="en-GB"/>
        </w:rPr>
        <w:t>and</w:t>
      </w:r>
      <w:r w:rsidR="00903F42">
        <w:rPr>
          <w:szCs w:val="24"/>
          <w:lang w:val="en-GB"/>
        </w:rPr>
        <w:t>, i</w:t>
      </w:r>
      <w:r w:rsidRPr="00424CF2">
        <w:rPr>
          <w:szCs w:val="24"/>
          <w:lang w:val="en-GB"/>
        </w:rPr>
        <w:t xml:space="preserve">f applicable, a brief summary of </w:t>
      </w:r>
      <w:r w:rsidR="00903F42">
        <w:rPr>
          <w:szCs w:val="24"/>
          <w:lang w:val="en-GB"/>
        </w:rPr>
        <w:t>the</w:t>
      </w:r>
      <w:r w:rsidRPr="00424CF2">
        <w:rPr>
          <w:szCs w:val="24"/>
          <w:lang w:val="en-GB"/>
        </w:rPr>
        <w:t xml:space="preserve"> algorithm training paradigm, including how</w:t>
      </w:r>
      <w:r w:rsidR="00903F42">
        <w:rPr>
          <w:szCs w:val="24"/>
          <w:lang w:val="en-GB"/>
        </w:rPr>
        <w:t xml:space="preserve"> </w:t>
      </w:r>
      <w:r w:rsidRPr="00424CF2">
        <w:rPr>
          <w:szCs w:val="24"/>
          <w:lang w:val="en-GB"/>
        </w:rPr>
        <w:t>algorithm parameters and thresholds were established</w:t>
      </w:r>
      <w:r w:rsidR="00903F42">
        <w:rPr>
          <w:szCs w:val="24"/>
          <w:lang w:val="en-GB"/>
        </w:rPr>
        <w:t>. Moreover,</w:t>
      </w:r>
      <w:r w:rsidRPr="00424CF2">
        <w:rPr>
          <w:szCs w:val="24"/>
          <w:lang w:val="en-GB"/>
        </w:rPr>
        <w:t xml:space="preserve"> </w:t>
      </w:r>
      <w:r w:rsidR="00903F42">
        <w:rPr>
          <w:szCs w:val="24"/>
          <w:lang w:val="en-GB"/>
        </w:rPr>
        <w:t>i</w:t>
      </w:r>
      <w:r w:rsidRPr="00424CF2">
        <w:rPr>
          <w:szCs w:val="24"/>
          <w:lang w:val="en-GB"/>
        </w:rPr>
        <w:t>nformation about input data (e.g., images)</w:t>
      </w:r>
      <w:r w:rsidR="00903F42">
        <w:rPr>
          <w:szCs w:val="24"/>
          <w:lang w:val="en-GB"/>
        </w:rPr>
        <w:t xml:space="preserve"> should include</w:t>
      </w:r>
      <w:r w:rsidR="0070123B">
        <w:rPr>
          <w:szCs w:val="24"/>
          <w:lang w:val="en-GB"/>
        </w:rPr>
        <w:t>:</w:t>
      </w:r>
    </w:p>
    <w:p w14:paraId="6C6A4AB2" w14:textId="77777777" w:rsidR="00745BF5" w:rsidRPr="001E1204" w:rsidRDefault="00745BF5" w:rsidP="00424CF2">
      <w:pPr>
        <w:rPr>
          <w:i/>
          <w:iCs/>
          <w:szCs w:val="24"/>
          <w:lang w:val="en-GB"/>
        </w:rPr>
      </w:pPr>
      <w:r>
        <w:rPr>
          <w:szCs w:val="24"/>
          <w:lang w:val="en-GB"/>
        </w:rPr>
        <w:t>“</w:t>
      </w:r>
      <w:r w:rsidR="00424CF2" w:rsidRPr="001E1204">
        <w:rPr>
          <w:i/>
          <w:iCs/>
          <w:szCs w:val="24"/>
          <w:lang w:val="en-GB"/>
        </w:rPr>
        <w:t>Restrictions on input data, such as imaging modalities, as applicable, (e.g., computed</w:t>
      </w:r>
      <w:r w:rsidRPr="001E1204">
        <w:rPr>
          <w:i/>
          <w:iCs/>
          <w:szCs w:val="24"/>
          <w:lang w:val="en-GB"/>
        </w:rPr>
        <w:t xml:space="preserve"> </w:t>
      </w:r>
      <w:r w:rsidR="00424CF2" w:rsidRPr="001E1204">
        <w:rPr>
          <w:i/>
          <w:iCs/>
          <w:szCs w:val="24"/>
          <w:lang w:val="en-GB"/>
        </w:rPr>
        <w:t>tomography, magnetic resonance), make, model, and specific trade name for each</w:t>
      </w:r>
      <w:r w:rsidRPr="001E1204">
        <w:rPr>
          <w:i/>
          <w:iCs/>
          <w:szCs w:val="24"/>
          <w:lang w:val="en-GB"/>
        </w:rPr>
        <w:t xml:space="preserve"> </w:t>
      </w:r>
      <w:r w:rsidR="00424CF2" w:rsidRPr="001E1204">
        <w:rPr>
          <w:i/>
          <w:iCs/>
          <w:szCs w:val="24"/>
          <w:lang w:val="en-GB"/>
        </w:rPr>
        <w:t>modality/system, specific ancillary hardware/software necessary to produce the input</w:t>
      </w:r>
      <w:r w:rsidRPr="001E1204">
        <w:rPr>
          <w:i/>
          <w:iCs/>
          <w:szCs w:val="24"/>
          <w:lang w:val="en-GB"/>
        </w:rPr>
        <w:t xml:space="preserve"> </w:t>
      </w:r>
      <w:r w:rsidR="00424CF2" w:rsidRPr="001E1204">
        <w:rPr>
          <w:i/>
          <w:iCs/>
          <w:szCs w:val="24"/>
          <w:lang w:val="en-GB"/>
        </w:rPr>
        <w:t>data (e.g., magnetic resonance elastography (MRE) acoustic driver), specific image</w:t>
      </w:r>
      <w:r w:rsidRPr="001E1204">
        <w:rPr>
          <w:i/>
          <w:iCs/>
          <w:szCs w:val="24"/>
          <w:lang w:val="en-GB"/>
        </w:rPr>
        <w:t xml:space="preserve"> </w:t>
      </w:r>
      <w:r w:rsidR="00424CF2" w:rsidRPr="001E1204">
        <w:rPr>
          <w:i/>
          <w:iCs/>
          <w:szCs w:val="24"/>
          <w:lang w:val="en-GB"/>
        </w:rPr>
        <w:t xml:space="preserve">acquisition parameter ranges (e.g., </w:t>
      </w:r>
      <w:proofErr w:type="spellStart"/>
      <w:r w:rsidR="00424CF2" w:rsidRPr="001E1204">
        <w:rPr>
          <w:i/>
          <w:iCs/>
          <w:szCs w:val="24"/>
          <w:lang w:val="en-GB"/>
        </w:rPr>
        <w:t>kVp</w:t>
      </w:r>
      <w:proofErr w:type="spellEnd"/>
      <w:r w:rsidR="00424CF2" w:rsidRPr="001E1204">
        <w:rPr>
          <w:i/>
          <w:iCs/>
          <w:szCs w:val="24"/>
          <w:lang w:val="en-GB"/>
        </w:rPr>
        <w:t xml:space="preserve"> range, slice thickness, voxel size) or specific</w:t>
      </w:r>
      <w:r w:rsidRPr="001E1204">
        <w:rPr>
          <w:i/>
          <w:iCs/>
          <w:szCs w:val="24"/>
          <w:lang w:val="en-GB"/>
        </w:rPr>
        <w:t xml:space="preserve"> </w:t>
      </w:r>
      <w:r w:rsidR="00424CF2" w:rsidRPr="001E1204">
        <w:rPr>
          <w:i/>
          <w:iCs/>
          <w:szCs w:val="24"/>
          <w:lang w:val="en-GB"/>
        </w:rPr>
        <w:t>imaging protocol(s) (e.g., pre-exam diet, breath hold, magnetic resonance angiography</w:t>
      </w:r>
      <w:r w:rsidRPr="001E1204">
        <w:rPr>
          <w:i/>
          <w:iCs/>
          <w:szCs w:val="24"/>
          <w:lang w:val="en-GB"/>
        </w:rPr>
        <w:t xml:space="preserve"> </w:t>
      </w:r>
      <w:r w:rsidR="00424CF2" w:rsidRPr="001E1204">
        <w:rPr>
          <w:i/>
          <w:iCs/>
          <w:szCs w:val="24"/>
          <w:lang w:val="en-GB"/>
        </w:rPr>
        <w:t>(MRA) sequence); or</w:t>
      </w:r>
      <w:r w:rsidRPr="001E1204">
        <w:rPr>
          <w:i/>
          <w:iCs/>
          <w:szCs w:val="24"/>
          <w:lang w:val="en-GB"/>
        </w:rPr>
        <w:t xml:space="preserve"> </w:t>
      </w:r>
      <w:r w:rsidR="00424CF2" w:rsidRPr="001E1204">
        <w:rPr>
          <w:i/>
          <w:iCs/>
          <w:szCs w:val="24"/>
          <w:lang w:val="en-GB"/>
        </w:rPr>
        <w:t xml:space="preserve"> </w:t>
      </w:r>
    </w:p>
    <w:p w14:paraId="296C7573" w14:textId="77777777" w:rsidR="00745BF5" w:rsidRPr="001E1204" w:rsidRDefault="00424CF2" w:rsidP="00424CF2">
      <w:pPr>
        <w:rPr>
          <w:i/>
          <w:iCs/>
          <w:szCs w:val="24"/>
          <w:lang w:val="en-GB"/>
        </w:rPr>
      </w:pPr>
      <w:r w:rsidRPr="001E1204">
        <w:rPr>
          <w:i/>
          <w:iCs/>
          <w:szCs w:val="24"/>
          <w:lang w:val="en-GB"/>
        </w:rPr>
        <w:t>Specific limitations, including diseases/conditions/abnormalities or imaging</w:t>
      </w:r>
      <w:r w:rsidR="00745BF5" w:rsidRPr="001E1204">
        <w:rPr>
          <w:i/>
          <w:iCs/>
          <w:szCs w:val="24"/>
          <w:lang w:val="en-GB"/>
        </w:rPr>
        <w:t xml:space="preserve"> </w:t>
      </w:r>
      <w:r w:rsidRPr="001E1204">
        <w:rPr>
          <w:i/>
          <w:iCs/>
          <w:szCs w:val="24"/>
          <w:lang w:val="en-GB"/>
        </w:rPr>
        <w:t>conditions, for which your quantitative imaging function has been found ineffective</w:t>
      </w:r>
      <w:r w:rsidR="00745BF5" w:rsidRPr="001E1204">
        <w:rPr>
          <w:i/>
          <w:iCs/>
          <w:szCs w:val="24"/>
          <w:lang w:val="en-GB"/>
        </w:rPr>
        <w:t xml:space="preserve"> </w:t>
      </w:r>
      <w:r w:rsidRPr="001E1204">
        <w:rPr>
          <w:i/>
          <w:iCs/>
          <w:szCs w:val="24"/>
          <w:lang w:val="en-GB"/>
        </w:rPr>
        <w:t>and should not be used, as applicable</w:t>
      </w:r>
      <w:r w:rsidR="00745BF5" w:rsidRPr="001E1204">
        <w:rPr>
          <w:i/>
          <w:iCs/>
          <w:szCs w:val="24"/>
          <w:lang w:val="en-GB"/>
        </w:rPr>
        <w:t xml:space="preserve">, </w:t>
      </w:r>
      <w:r w:rsidRPr="001E1204">
        <w:rPr>
          <w:i/>
          <w:iCs/>
          <w:szCs w:val="24"/>
          <w:lang w:val="en-GB"/>
        </w:rPr>
        <w:t>Image acceptance activities (e.g., how your device ensures that input data (e.g.,</w:t>
      </w:r>
      <w:r w:rsidR="00745BF5" w:rsidRPr="001E1204">
        <w:rPr>
          <w:i/>
          <w:iCs/>
          <w:szCs w:val="24"/>
          <w:lang w:val="en-GB"/>
        </w:rPr>
        <w:t xml:space="preserve"> </w:t>
      </w:r>
      <w:r w:rsidRPr="001E1204">
        <w:rPr>
          <w:i/>
          <w:iCs/>
          <w:szCs w:val="24"/>
          <w:lang w:val="en-GB"/>
        </w:rPr>
        <w:t>images)/</w:t>
      </w:r>
      <w:proofErr w:type="spellStart"/>
      <w:r w:rsidRPr="001E1204">
        <w:rPr>
          <w:i/>
          <w:iCs/>
          <w:szCs w:val="24"/>
          <w:lang w:val="en-GB"/>
        </w:rPr>
        <w:t>preprocessing</w:t>
      </w:r>
      <w:proofErr w:type="spellEnd"/>
      <w:r w:rsidRPr="001E1204">
        <w:rPr>
          <w:i/>
          <w:iCs/>
          <w:szCs w:val="24"/>
          <w:lang w:val="en-GB"/>
        </w:rPr>
        <w:t xml:space="preserve"> are acceptable for processing with your algorithm) and whether these</w:t>
      </w:r>
      <w:r w:rsidR="00745BF5" w:rsidRPr="001E1204">
        <w:rPr>
          <w:i/>
          <w:iCs/>
          <w:szCs w:val="24"/>
          <w:lang w:val="en-GB"/>
        </w:rPr>
        <w:t xml:space="preserve"> </w:t>
      </w:r>
      <w:r w:rsidRPr="001E1204">
        <w:rPr>
          <w:i/>
          <w:iCs/>
          <w:szCs w:val="24"/>
          <w:lang w:val="en-GB"/>
        </w:rPr>
        <w:t>are performed manually by a trained user or automatically by your algorithm</w:t>
      </w:r>
      <w:r w:rsidR="00745BF5" w:rsidRPr="001E1204">
        <w:rPr>
          <w:i/>
          <w:iCs/>
          <w:szCs w:val="24"/>
          <w:lang w:val="en-GB"/>
        </w:rPr>
        <w:t xml:space="preserve">, </w:t>
      </w:r>
    </w:p>
    <w:p w14:paraId="4DEFF1A2" w14:textId="77777777" w:rsidR="00745BF5" w:rsidRPr="001E1204" w:rsidRDefault="00424CF2" w:rsidP="00424CF2">
      <w:pPr>
        <w:rPr>
          <w:i/>
          <w:iCs/>
          <w:szCs w:val="24"/>
          <w:lang w:val="en-GB"/>
        </w:rPr>
      </w:pPr>
      <w:r w:rsidRPr="001E1204">
        <w:rPr>
          <w:i/>
          <w:iCs/>
          <w:szCs w:val="24"/>
          <w:lang w:val="en-GB"/>
        </w:rPr>
        <w:t>Information presented to the user about the derived values (including units); and</w:t>
      </w:r>
      <w:r w:rsidR="00745BF5" w:rsidRPr="001E1204">
        <w:rPr>
          <w:i/>
          <w:iCs/>
          <w:szCs w:val="24"/>
          <w:lang w:val="en-GB"/>
        </w:rPr>
        <w:t xml:space="preserve"> </w:t>
      </w:r>
    </w:p>
    <w:p w14:paraId="2B934C80" w14:textId="4F68B49E" w:rsidR="00424CF2" w:rsidRDefault="00424CF2" w:rsidP="00424CF2">
      <w:pPr>
        <w:rPr>
          <w:szCs w:val="24"/>
          <w:lang w:val="en-GB"/>
        </w:rPr>
      </w:pPr>
      <w:r w:rsidRPr="001E1204">
        <w:rPr>
          <w:i/>
          <w:iCs/>
          <w:szCs w:val="24"/>
          <w:lang w:val="en-GB"/>
        </w:rPr>
        <w:t>The level of user interaction needed for your device to be used as intended, and if applicable,</w:t>
      </w:r>
      <w:r w:rsidR="00745BF5" w:rsidRPr="001E1204">
        <w:rPr>
          <w:i/>
          <w:iCs/>
          <w:szCs w:val="24"/>
          <w:lang w:val="en-GB"/>
        </w:rPr>
        <w:t xml:space="preserve"> </w:t>
      </w:r>
      <w:r w:rsidRPr="001E1204">
        <w:rPr>
          <w:i/>
          <w:iCs/>
          <w:szCs w:val="24"/>
          <w:lang w:val="en-GB"/>
        </w:rPr>
        <w:t>instructions for users (</w:t>
      </w:r>
      <w:proofErr w:type="spellStart"/>
      <w:r w:rsidRPr="001E1204">
        <w:rPr>
          <w:i/>
          <w:iCs/>
          <w:szCs w:val="24"/>
          <w:lang w:val="en-GB"/>
        </w:rPr>
        <w:t>preprocessing</w:t>
      </w:r>
      <w:proofErr w:type="spellEnd"/>
      <w:r w:rsidRPr="001E1204">
        <w:rPr>
          <w:i/>
          <w:iCs/>
          <w:szCs w:val="24"/>
          <w:lang w:val="en-GB"/>
        </w:rPr>
        <w:t xml:space="preserve"> image steps, selecting seed points, applying algorithm,</w:t>
      </w:r>
      <w:r w:rsidR="00745BF5" w:rsidRPr="001E1204">
        <w:rPr>
          <w:i/>
          <w:iCs/>
          <w:szCs w:val="24"/>
          <w:lang w:val="en-GB"/>
        </w:rPr>
        <w:t xml:space="preserve"> </w:t>
      </w:r>
      <w:r w:rsidRPr="001E1204">
        <w:rPr>
          <w:i/>
          <w:iCs/>
          <w:szCs w:val="24"/>
          <w:lang w:val="en-GB"/>
        </w:rPr>
        <w:t>and verifying resulting measurement for a lesion sizing tool)</w:t>
      </w:r>
      <w:r w:rsidR="0070123B">
        <w:rPr>
          <w:szCs w:val="24"/>
          <w:lang w:val="en-GB"/>
        </w:rPr>
        <w:t>”</w:t>
      </w:r>
    </w:p>
    <w:p w14:paraId="7765ECBE" w14:textId="31CA140A" w:rsidR="00424CF2" w:rsidRDefault="0070123B" w:rsidP="00424CF2">
      <w:pPr>
        <w:rPr>
          <w:szCs w:val="24"/>
          <w:lang w:val="en-GB"/>
        </w:rPr>
      </w:pPr>
      <w:r>
        <w:rPr>
          <w:szCs w:val="24"/>
          <w:lang w:val="en-GB"/>
        </w:rPr>
        <w:t>Ten steps are recommended for technical performance assessment. These include the d</w:t>
      </w:r>
      <w:r w:rsidR="00424CF2" w:rsidRPr="00424CF2">
        <w:rPr>
          <w:szCs w:val="24"/>
          <w:lang w:val="en-GB"/>
        </w:rPr>
        <w:t>etermin</w:t>
      </w:r>
      <w:r>
        <w:rPr>
          <w:szCs w:val="24"/>
          <w:lang w:val="en-GB"/>
        </w:rPr>
        <w:t>ation</w:t>
      </w:r>
      <w:r w:rsidR="00424CF2" w:rsidRPr="00424CF2">
        <w:rPr>
          <w:szCs w:val="24"/>
          <w:lang w:val="en-GB"/>
        </w:rPr>
        <w:t xml:space="preserve"> </w:t>
      </w:r>
      <w:r>
        <w:rPr>
          <w:szCs w:val="24"/>
          <w:lang w:val="en-GB"/>
        </w:rPr>
        <w:t xml:space="preserve">of </w:t>
      </w:r>
      <w:r w:rsidR="00424CF2" w:rsidRPr="00424CF2">
        <w:rPr>
          <w:szCs w:val="24"/>
          <w:lang w:val="en-GB"/>
        </w:rPr>
        <w:t xml:space="preserve">an appropriate reference standard and </w:t>
      </w:r>
      <w:r>
        <w:rPr>
          <w:szCs w:val="24"/>
          <w:lang w:val="en-GB"/>
        </w:rPr>
        <w:t>applicable</w:t>
      </w:r>
      <w:r w:rsidR="00424CF2" w:rsidRPr="00424CF2">
        <w:rPr>
          <w:szCs w:val="24"/>
          <w:lang w:val="en-GB"/>
        </w:rPr>
        <w:t xml:space="preserve"> performance metrics</w:t>
      </w:r>
      <w:r>
        <w:rPr>
          <w:szCs w:val="24"/>
          <w:lang w:val="en-GB"/>
        </w:rPr>
        <w:t xml:space="preserve">. </w:t>
      </w:r>
      <w:r w:rsidR="00424CF2" w:rsidRPr="00424CF2">
        <w:rPr>
          <w:szCs w:val="24"/>
          <w:lang w:val="en-GB"/>
        </w:rPr>
        <w:t>Bias, precision, limits of detection, limits of quantitation, linearity, sensitivity,</w:t>
      </w:r>
      <w:r>
        <w:rPr>
          <w:szCs w:val="24"/>
          <w:lang w:val="en-GB"/>
        </w:rPr>
        <w:t xml:space="preserve"> </w:t>
      </w:r>
      <w:r w:rsidR="00424CF2" w:rsidRPr="00424CF2">
        <w:rPr>
          <w:szCs w:val="24"/>
          <w:lang w:val="en-GB"/>
        </w:rPr>
        <w:t>specificity, and uncertainty should generally be considered.</w:t>
      </w:r>
      <w:r>
        <w:rPr>
          <w:szCs w:val="24"/>
          <w:lang w:val="en-GB"/>
        </w:rPr>
        <w:t xml:space="preserve"> A</w:t>
      </w:r>
      <w:r w:rsidR="00424CF2" w:rsidRPr="00424CF2">
        <w:rPr>
          <w:szCs w:val="24"/>
          <w:lang w:val="en-GB"/>
        </w:rPr>
        <w:t xml:space="preserve">cceptance criteria (performance targets or goals) </w:t>
      </w:r>
      <w:r>
        <w:rPr>
          <w:szCs w:val="24"/>
          <w:lang w:val="en-GB"/>
        </w:rPr>
        <w:t xml:space="preserve">should be chosen carefully </w:t>
      </w:r>
      <w:r w:rsidR="00424CF2" w:rsidRPr="00424CF2">
        <w:rPr>
          <w:szCs w:val="24"/>
          <w:lang w:val="en-GB"/>
        </w:rPr>
        <w:t>based on the intended use of the</w:t>
      </w:r>
      <w:r>
        <w:rPr>
          <w:szCs w:val="24"/>
          <w:lang w:val="en-GB"/>
        </w:rPr>
        <w:t xml:space="preserve"> </w:t>
      </w:r>
      <w:r w:rsidR="00424CF2" w:rsidRPr="00424CF2">
        <w:rPr>
          <w:szCs w:val="24"/>
          <w:lang w:val="en-GB"/>
        </w:rPr>
        <w:t>quantitative imaging function and other restrictions/limitations (such as minimum image</w:t>
      </w:r>
      <w:r>
        <w:rPr>
          <w:szCs w:val="24"/>
          <w:lang w:val="en-GB"/>
        </w:rPr>
        <w:t xml:space="preserve"> </w:t>
      </w:r>
      <w:r w:rsidR="00424CF2" w:rsidRPr="00424CF2">
        <w:rPr>
          <w:szCs w:val="24"/>
          <w:lang w:val="en-GB"/>
        </w:rPr>
        <w:t>quality requirements).</w:t>
      </w:r>
    </w:p>
    <w:p w14:paraId="306F81E6" w14:textId="4A630FF3" w:rsidR="00CA6707" w:rsidRDefault="00CA6707" w:rsidP="00424CF2">
      <w:pPr>
        <w:rPr>
          <w:szCs w:val="24"/>
          <w:lang w:val="en-GB"/>
        </w:rPr>
      </w:pPr>
      <w:r>
        <w:rPr>
          <w:szCs w:val="24"/>
          <w:lang w:val="en-GB"/>
        </w:rPr>
        <w:t xml:space="preserve">The last </w:t>
      </w:r>
      <w:r w:rsidR="00F10A70">
        <w:rPr>
          <w:szCs w:val="24"/>
          <w:lang w:val="en-GB"/>
        </w:rPr>
        <w:t>section of recommendations concerns labelling.</w:t>
      </w:r>
    </w:p>
    <w:p w14:paraId="74F58B6B" w14:textId="74671629" w:rsidR="00CA6707" w:rsidRPr="00424CF2" w:rsidRDefault="00CA6707" w:rsidP="00424CF2">
      <w:pPr>
        <w:rPr>
          <w:szCs w:val="24"/>
          <w:lang w:val="en-GB"/>
        </w:rPr>
      </w:pPr>
      <w:r>
        <w:rPr>
          <w:szCs w:val="24"/>
          <w:lang w:val="en-GB"/>
        </w:rPr>
        <w:t xml:space="preserve">The application of the guidance is illustrated in </w:t>
      </w:r>
      <w:r w:rsidRPr="00424CF2">
        <w:rPr>
          <w:szCs w:val="24"/>
          <w:lang w:val="en-GB"/>
        </w:rPr>
        <w:t>manual, semi-automatic</w:t>
      </w:r>
      <w:r>
        <w:rPr>
          <w:szCs w:val="24"/>
          <w:lang w:val="en-GB"/>
        </w:rPr>
        <w:t xml:space="preserve"> and fully automatic examples.  </w:t>
      </w:r>
    </w:p>
    <w:p w14:paraId="551D377A" w14:textId="77777777" w:rsidR="0048595B" w:rsidRDefault="0048595B" w:rsidP="002860B2">
      <w:pPr>
        <w:rPr>
          <w:szCs w:val="24"/>
          <w:lang w:val="en-GB"/>
        </w:rPr>
      </w:pPr>
    </w:p>
    <w:p w14:paraId="595C7424" w14:textId="49EB46C6" w:rsidR="00155A26" w:rsidRPr="00301D7E" w:rsidRDefault="00103BF2" w:rsidP="002860B2">
      <w:pPr>
        <w:rPr>
          <w:b/>
          <w:bCs/>
          <w:szCs w:val="24"/>
          <w:lang w:val="en-GB"/>
        </w:rPr>
      </w:pPr>
      <w:r>
        <w:rPr>
          <w:b/>
          <w:bCs/>
          <w:szCs w:val="24"/>
          <w:lang w:val="en-GB"/>
        </w:rPr>
        <w:lastRenderedPageBreak/>
        <w:t xml:space="preserve">Remark on </w:t>
      </w:r>
      <w:r w:rsidR="00155A26" w:rsidRPr="00301D7E">
        <w:rPr>
          <w:b/>
          <w:bCs/>
          <w:szCs w:val="24"/>
          <w:lang w:val="en-GB"/>
        </w:rPr>
        <w:t xml:space="preserve">MLMD in the context of clinical decision making </w:t>
      </w:r>
    </w:p>
    <w:p w14:paraId="4AE07413" w14:textId="1567E0F4" w:rsidR="00155A26" w:rsidRDefault="00155A26" w:rsidP="00155A26">
      <w:pPr>
        <w:rPr>
          <w:szCs w:val="24"/>
          <w:lang w:val="en-GB"/>
        </w:rPr>
      </w:pPr>
      <w:r>
        <w:rPr>
          <w:szCs w:val="24"/>
          <w:lang w:val="en-GB"/>
        </w:rPr>
        <w:t>The following paper is a well written recent review identifying strengths, weaknesses, opportunities and threats of ML in a model of clinical decision making starting with data acquisition through the steps of feature extraction, interpretation, and decision-support</w:t>
      </w:r>
      <w:r w:rsidR="00103BF2">
        <w:rPr>
          <w:szCs w:val="24"/>
          <w:lang w:val="en-GB"/>
        </w:rPr>
        <w:t>:</w:t>
      </w:r>
    </w:p>
    <w:p w14:paraId="1FD1E56E" w14:textId="77777777" w:rsidR="00155A26" w:rsidRDefault="00155A26" w:rsidP="00155A26">
      <w:pPr>
        <w:rPr>
          <w:szCs w:val="24"/>
          <w:lang w:val="en-GB"/>
        </w:rPr>
      </w:pPr>
      <w:r w:rsidRPr="008A2504">
        <w:rPr>
          <w:szCs w:val="24"/>
          <w:lang w:val="en-GB"/>
        </w:rPr>
        <w:t xml:space="preserve">Sanchez-Martinez S, Camara O, </w:t>
      </w:r>
      <w:proofErr w:type="spellStart"/>
      <w:r w:rsidRPr="008A2504">
        <w:rPr>
          <w:szCs w:val="24"/>
          <w:lang w:val="en-GB"/>
        </w:rPr>
        <w:t>Piella</w:t>
      </w:r>
      <w:proofErr w:type="spellEnd"/>
      <w:r w:rsidRPr="008A2504">
        <w:rPr>
          <w:szCs w:val="24"/>
          <w:lang w:val="en-GB"/>
        </w:rPr>
        <w:t xml:space="preserve"> G, </w:t>
      </w:r>
      <w:proofErr w:type="spellStart"/>
      <w:r w:rsidRPr="008A2504">
        <w:rPr>
          <w:szCs w:val="24"/>
          <w:lang w:val="en-GB"/>
        </w:rPr>
        <w:t>Cikes</w:t>
      </w:r>
      <w:proofErr w:type="spellEnd"/>
      <w:r w:rsidRPr="008A2504">
        <w:rPr>
          <w:szCs w:val="24"/>
          <w:lang w:val="en-GB"/>
        </w:rPr>
        <w:t xml:space="preserve"> M, Gon</w:t>
      </w:r>
      <w:r>
        <w:rPr>
          <w:szCs w:val="24"/>
          <w:lang w:val="en-GB"/>
        </w:rPr>
        <w:t>zá</w:t>
      </w:r>
      <w:r w:rsidRPr="008A2504">
        <w:rPr>
          <w:szCs w:val="24"/>
          <w:lang w:val="en-GB"/>
        </w:rPr>
        <w:t>lez-</w:t>
      </w:r>
      <w:proofErr w:type="spellStart"/>
      <w:r w:rsidRPr="008A2504">
        <w:rPr>
          <w:szCs w:val="24"/>
          <w:lang w:val="en-GB"/>
        </w:rPr>
        <w:t>Ballester</w:t>
      </w:r>
      <w:proofErr w:type="spellEnd"/>
      <w:r w:rsidRPr="008A2504">
        <w:rPr>
          <w:szCs w:val="24"/>
          <w:lang w:val="en-GB"/>
        </w:rPr>
        <w:t xml:space="preserve"> M</w:t>
      </w:r>
      <w:r>
        <w:rPr>
          <w:szCs w:val="24"/>
          <w:lang w:val="en-GB"/>
        </w:rPr>
        <w:t>Á</w:t>
      </w:r>
      <w:r w:rsidRPr="008A2504">
        <w:rPr>
          <w:szCs w:val="24"/>
          <w:lang w:val="en-GB"/>
        </w:rPr>
        <w:t xml:space="preserve">, </w:t>
      </w:r>
      <w:proofErr w:type="spellStart"/>
      <w:r w:rsidRPr="008A2504">
        <w:rPr>
          <w:szCs w:val="24"/>
          <w:lang w:val="en-GB"/>
        </w:rPr>
        <w:t>Miron</w:t>
      </w:r>
      <w:proofErr w:type="spellEnd"/>
      <w:r w:rsidRPr="008A2504">
        <w:rPr>
          <w:szCs w:val="24"/>
          <w:lang w:val="en-GB"/>
        </w:rPr>
        <w:t xml:space="preserve"> M, et al. Machine Learning for Clinical Decision-Making: Challenges and Opportunities in Cardiovascular Imaging. Frontiers in cardiovascular medicine (2022) 8:765693-. </w:t>
      </w:r>
      <w:proofErr w:type="spellStart"/>
      <w:r w:rsidRPr="008A2504">
        <w:rPr>
          <w:szCs w:val="24"/>
          <w:lang w:val="en-GB"/>
        </w:rPr>
        <w:t>doi</w:t>
      </w:r>
      <w:proofErr w:type="spellEnd"/>
      <w:r w:rsidRPr="008A2504">
        <w:rPr>
          <w:szCs w:val="24"/>
          <w:lang w:val="en-GB"/>
        </w:rPr>
        <w:t>: 10.3389/fcvm.2021.765693. PubMed PMID: 35059445.</w:t>
      </w:r>
    </w:p>
    <w:p w14:paraId="525B6F59" w14:textId="0878DE73" w:rsidR="00155A26" w:rsidRDefault="00155A26" w:rsidP="00155A26">
      <w:pPr>
        <w:rPr>
          <w:szCs w:val="24"/>
          <w:lang w:val="en-GB"/>
        </w:rPr>
      </w:pPr>
      <w:r>
        <w:rPr>
          <w:szCs w:val="24"/>
          <w:lang w:val="en-GB"/>
        </w:rPr>
        <w:t xml:space="preserve">I agree with Martinez et al. that the steps of data acquisition and feature extraction are most burdensome and tedious for humans, pose no immediate risk to patients, and should be automated. Interpretation may be enhanced by ML. </w:t>
      </w:r>
      <w:r w:rsidR="00103BF2">
        <w:rPr>
          <w:szCs w:val="24"/>
          <w:lang w:val="en-GB"/>
        </w:rPr>
        <w:t>Yet</w:t>
      </w:r>
      <w:r>
        <w:rPr>
          <w:szCs w:val="24"/>
          <w:lang w:val="en-GB"/>
        </w:rPr>
        <w:t xml:space="preserve">, though risk definitely becomes more immediate approaching medical decision, hidden errors or biases may corrupt evidence at earlier steps in a malicious way as demonstrated by </w:t>
      </w:r>
      <w:proofErr w:type="spellStart"/>
      <w:r>
        <w:rPr>
          <w:szCs w:val="24"/>
          <w:lang w:val="en-GB"/>
        </w:rPr>
        <w:t>Gichoya</w:t>
      </w:r>
      <w:proofErr w:type="spellEnd"/>
      <w:r>
        <w:rPr>
          <w:szCs w:val="24"/>
          <w:lang w:val="en-GB"/>
        </w:rPr>
        <w:t xml:space="preserve"> et al.:</w:t>
      </w:r>
    </w:p>
    <w:p w14:paraId="18CB80A0" w14:textId="77777777" w:rsidR="00155A26" w:rsidRPr="004C50D8" w:rsidRDefault="00155A26" w:rsidP="00155A26">
      <w:pPr>
        <w:rPr>
          <w:i/>
          <w:iCs/>
          <w:szCs w:val="24"/>
          <w:lang w:val="en-GB"/>
        </w:rPr>
      </w:pPr>
      <w:r w:rsidRPr="004C50D8">
        <w:rPr>
          <w:i/>
          <w:iCs/>
          <w:szCs w:val="24"/>
          <w:lang w:val="en-GB"/>
        </w:rPr>
        <w:t>“The results from our study emphasise that the ability of AI deep learning models to predict self-reported race is itself not the issue of importance. However, our finding that AI can accurately predict self-reported race, even from corrupted, cropped, and noised medical images, often when clinical experts cannot, creates an enormous risk for all model deployments in medical imaging.”</w:t>
      </w:r>
    </w:p>
    <w:p w14:paraId="5212450D" w14:textId="77777777" w:rsidR="00155A26" w:rsidRDefault="00155A26" w:rsidP="00155A26">
      <w:pPr>
        <w:rPr>
          <w:szCs w:val="24"/>
          <w:lang w:val="en-GB"/>
        </w:rPr>
      </w:pPr>
      <w:proofErr w:type="spellStart"/>
      <w:r w:rsidRPr="00D32D88">
        <w:rPr>
          <w:szCs w:val="24"/>
          <w:lang w:val="en-GB"/>
        </w:rPr>
        <w:t>Gichoya</w:t>
      </w:r>
      <w:proofErr w:type="spellEnd"/>
      <w:r w:rsidRPr="00D32D88">
        <w:rPr>
          <w:szCs w:val="24"/>
          <w:lang w:val="en-GB"/>
        </w:rPr>
        <w:t xml:space="preserve"> JW, Banerjee I, </w:t>
      </w:r>
      <w:proofErr w:type="spellStart"/>
      <w:r w:rsidRPr="00D32D88">
        <w:rPr>
          <w:szCs w:val="24"/>
          <w:lang w:val="en-GB"/>
        </w:rPr>
        <w:t>Bhimireddy</w:t>
      </w:r>
      <w:proofErr w:type="spellEnd"/>
      <w:r w:rsidRPr="00D32D88">
        <w:rPr>
          <w:szCs w:val="24"/>
          <w:lang w:val="en-GB"/>
        </w:rPr>
        <w:t xml:space="preserve"> AR, Burns JL, </w:t>
      </w:r>
      <w:proofErr w:type="spellStart"/>
      <w:r w:rsidRPr="00D32D88">
        <w:rPr>
          <w:szCs w:val="24"/>
          <w:lang w:val="en-GB"/>
        </w:rPr>
        <w:t>Celi</w:t>
      </w:r>
      <w:proofErr w:type="spellEnd"/>
      <w:r w:rsidRPr="00D32D88">
        <w:rPr>
          <w:szCs w:val="24"/>
          <w:lang w:val="en-GB"/>
        </w:rPr>
        <w:t xml:space="preserve"> LA, Chen L-C, et al. AI recognition of patient race in medical imaging: a modelling study. The Lancet Digital Health. </w:t>
      </w:r>
      <w:proofErr w:type="spellStart"/>
      <w:r w:rsidRPr="00D32D88">
        <w:rPr>
          <w:szCs w:val="24"/>
          <w:lang w:val="en-GB"/>
        </w:rPr>
        <w:t>doi</w:t>
      </w:r>
      <w:proofErr w:type="spellEnd"/>
      <w:r w:rsidRPr="00D32D88">
        <w:rPr>
          <w:szCs w:val="24"/>
          <w:lang w:val="en-GB"/>
        </w:rPr>
        <w:t>: 10.1016/S2589-7500(22)00063-2.</w:t>
      </w:r>
    </w:p>
    <w:p w14:paraId="7C6BD1EB" w14:textId="093F5898" w:rsidR="00155A26" w:rsidRPr="00155A26" w:rsidRDefault="00155A26" w:rsidP="00155A26">
      <w:pPr>
        <w:rPr>
          <w:szCs w:val="24"/>
          <w:lang w:val="en-GB"/>
        </w:rPr>
      </w:pPr>
      <w:r>
        <w:rPr>
          <w:szCs w:val="24"/>
          <w:lang w:val="en-GB"/>
        </w:rPr>
        <w:t xml:space="preserve">Thus, automation bias must be avoided by thorough analysis and evaluation of evidence prior to the decision. The vulnerabilities of only partially understood processes that are fed by data and generate evidence thereof need to be considered. Mitigation should include external validation if feasible. </w:t>
      </w:r>
    </w:p>
    <w:p w14:paraId="5A078CB4" w14:textId="2EFBD117" w:rsidR="00155A26" w:rsidRDefault="00155A26" w:rsidP="00155A26">
      <w:pPr>
        <w:autoSpaceDE w:val="0"/>
        <w:autoSpaceDN w:val="0"/>
        <w:adjustRightInd w:val="0"/>
        <w:spacing w:after="0"/>
        <w:rPr>
          <w:rFonts w:ascii="Segoe UI" w:hAnsi="Segoe UI" w:cs="Segoe UI"/>
          <w:color w:val="000000"/>
          <w:szCs w:val="24"/>
          <w:lang w:val="en-GB"/>
        </w:rPr>
      </w:pPr>
    </w:p>
    <w:p w14:paraId="0D913347" w14:textId="1668EF0E" w:rsidR="00512551" w:rsidRDefault="00512551" w:rsidP="00155A26">
      <w:pPr>
        <w:autoSpaceDE w:val="0"/>
        <w:autoSpaceDN w:val="0"/>
        <w:adjustRightInd w:val="0"/>
        <w:spacing w:after="0"/>
        <w:rPr>
          <w:rFonts w:ascii="Segoe UI" w:hAnsi="Segoe UI" w:cs="Segoe UI"/>
          <w:color w:val="000000"/>
          <w:szCs w:val="24"/>
          <w:lang w:val="en-GB"/>
        </w:rPr>
      </w:pPr>
    </w:p>
    <w:p w14:paraId="52A7B1C5" w14:textId="065BA990" w:rsidR="00512551" w:rsidRDefault="00512551" w:rsidP="00155A26">
      <w:pPr>
        <w:autoSpaceDE w:val="0"/>
        <w:autoSpaceDN w:val="0"/>
        <w:adjustRightInd w:val="0"/>
        <w:spacing w:after="0"/>
        <w:rPr>
          <w:rFonts w:ascii="Segoe UI" w:hAnsi="Segoe UI" w:cs="Segoe UI"/>
          <w:color w:val="000000"/>
          <w:szCs w:val="24"/>
          <w:lang w:val="en-GB"/>
        </w:rPr>
      </w:pPr>
    </w:p>
    <w:p w14:paraId="0584A85F" w14:textId="4D3BFAAF" w:rsidR="00512551" w:rsidRDefault="00512551" w:rsidP="00155A26">
      <w:pPr>
        <w:autoSpaceDE w:val="0"/>
        <w:autoSpaceDN w:val="0"/>
        <w:adjustRightInd w:val="0"/>
        <w:spacing w:after="0"/>
        <w:rPr>
          <w:rFonts w:ascii="Segoe UI" w:hAnsi="Segoe UI" w:cs="Segoe UI"/>
          <w:color w:val="000000"/>
          <w:szCs w:val="24"/>
          <w:lang w:val="en-GB"/>
        </w:rPr>
      </w:pPr>
    </w:p>
    <w:p w14:paraId="110CF1EE" w14:textId="38A9EF95" w:rsidR="00512551" w:rsidRDefault="00512551" w:rsidP="00155A26">
      <w:pPr>
        <w:autoSpaceDE w:val="0"/>
        <w:autoSpaceDN w:val="0"/>
        <w:adjustRightInd w:val="0"/>
        <w:spacing w:after="0"/>
        <w:rPr>
          <w:rFonts w:ascii="Segoe UI" w:hAnsi="Segoe UI" w:cs="Segoe UI"/>
          <w:color w:val="000000"/>
          <w:szCs w:val="24"/>
          <w:lang w:val="en-GB"/>
        </w:rPr>
      </w:pPr>
    </w:p>
    <w:p w14:paraId="6A5902D7" w14:textId="73CED888" w:rsidR="00512551" w:rsidRDefault="00512551" w:rsidP="00155A26">
      <w:pPr>
        <w:autoSpaceDE w:val="0"/>
        <w:autoSpaceDN w:val="0"/>
        <w:adjustRightInd w:val="0"/>
        <w:spacing w:after="0"/>
        <w:rPr>
          <w:rFonts w:ascii="Segoe UI" w:hAnsi="Segoe UI" w:cs="Segoe UI"/>
          <w:color w:val="000000"/>
          <w:szCs w:val="24"/>
          <w:lang w:val="en-GB"/>
        </w:rPr>
      </w:pPr>
    </w:p>
    <w:p w14:paraId="6155BEDC" w14:textId="3187D5AA" w:rsidR="00512551" w:rsidRDefault="00512551" w:rsidP="00155A26">
      <w:pPr>
        <w:autoSpaceDE w:val="0"/>
        <w:autoSpaceDN w:val="0"/>
        <w:adjustRightInd w:val="0"/>
        <w:spacing w:after="0"/>
        <w:rPr>
          <w:rFonts w:ascii="Segoe UI" w:hAnsi="Segoe UI" w:cs="Segoe UI"/>
          <w:color w:val="000000"/>
          <w:szCs w:val="24"/>
          <w:lang w:val="en-GB"/>
        </w:rPr>
      </w:pPr>
    </w:p>
    <w:p w14:paraId="431CA922" w14:textId="3D91570B" w:rsidR="00512551" w:rsidRDefault="00512551" w:rsidP="00155A26">
      <w:pPr>
        <w:autoSpaceDE w:val="0"/>
        <w:autoSpaceDN w:val="0"/>
        <w:adjustRightInd w:val="0"/>
        <w:spacing w:after="0"/>
        <w:rPr>
          <w:rFonts w:ascii="Segoe UI" w:hAnsi="Segoe UI" w:cs="Segoe UI"/>
          <w:color w:val="000000"/>
          <w:szCs w:val="24"/>
          <w:lang w:val="en-GB"/>
        </w:rPr>
      </w:pPr>
    </w:p>
    <w:p w14:paraId="38EC9727" w14:textId="676F85F6" w:rsidR="00512551" w:rsidRDefault="00512551" w:rsidP="00155A26">
      <w:pPr>
        <w:autoSpaceDE w:val="0"/>
        <w:autoSpaceDN w:val="0"/>
        <w:adjustRightInd w:val="0"/>
        <w:spacing w:after="0"/>
        <w:rPr>
          <w:rFonts w:ascii="Segoe UI" w:hAnsi="Segoe UI" w:cs="Segoe UI"/>
          <w:color w:val="000000"/>
          <w:szCs w:val="24"/>
          <w:lang w:val="en-GB"/>
        </w:rPr>
      </w:pPr>
    </w:p>
    <w:p w14:paraId="3C73238E" w14:textId="1FFA92B5" w:rsidR="00512551" w:rsidRDefault="00512551" w:rsidP="00155A26">
      <w:pPr>
        <w:autoSpaceDE w:val="0"/>
        <w:autoSpaceDN w:val="0"/>
        <w:adjustRightInd w:val="0"/>
        <w:spacing w:after="0"/>
        <w:rPr>
          <w:rFonts w:ascii="Segoe UI" w:hAnsi="Segoe UI" w:cs="Segoe UI"/>
          <w:color w:val="000000"/>
          <w:szCs w:val="24"/>
          <w:lang w:val="en-GB"/>
        </w:rPr>
      </w:pPr>
    </w:p>
    <w:p w14:paraId="6ADAF4AE" w14:textId="6CE9A9A0" w:rsidR="00103BF2" w:rsidRDefault="00103BF2" w:rsidP="00155A26">
      <w:pPr>
        <w:autoSpaceDE w:val="0"/>
        <w:autoSpaceDN w:val="0"/>
        <w:adjustRightInd w:val="0"/>
        <w:spacing w:after="0"/>
        <w:rPr>
          <w:rFonts w:ascii="Segoe UI" w:hAnsi="Segoe UI" w:cs="Segoe UI"/>
          <w:color w:val="000000"/>
          <w:szCs w:val="24"/>
          <w:lang w:val="en-GB"/>
        </w:rPr>
      </w:pPr>
    </w:p>
    <w:p w14:paraId="5B1D470D" w14:textId="77777777" w:rsidR="00103BF2" w:rsidRPr="00F46714" w:rsidRDefault="00103BF2" w:rsidP="00155A26">
      <w:pPr>
        <w:autoSpaceDE w:val="0"/>
        <w:autoSpaceDN w:val="0"/>
        <w:adjustRightInd w:val="0"/>
        <w:spacing w:after="0"/>
        <w:rPr>
          <w:rFonts w:ascii="Segoe UI" w:hAnsi="Segoe UI" w:cs="Segoe UI"/>
          <w:color w:val="000000"/>
          <w:szCs w:val="24"/>
          <w:lang w:val="en-GB"/>
        </w:rPr>
      </w:pPr>
    </w:p>
    <w:p w14:paraId="6EADBDD7" w14:textId="77777777" w:rsidR="00155A26" w:rsidRPr="00890FEC" w:rsidRDefault="00155A26" w:rsidP="00155A26">
      <w:pPr>
        <w:pStyle w:val="Listenabsatz"/>
        <w:numPr>
          <w:ilvl w:val="0"/>
          <w:numId w:val="20"/>
        </w:numPr>
        <w:autoSpaceDE w:val="0"/>
        <w:autoSpaceDN w:val="0"/>
        <w:adjustRightInd w:val="0"/>
        <w:spacing w:before="0" w:after="0"/>
        <w:jc w:val="both"/>
        <w:rPr>
          <w:rFonts w:ascii="Segoe UI" w:hAnsi="Segoe UI" w:cs="Segoe UI"/>
          <w:b/>
          <w:bCs/>
          <w:color w:val="000000"/>
          <w:lang w:val="en-GB"/>
        </w:rPr>
      </w:pPr>
      <w:r w:rsidRPr="00890FEC">
        <w:rPr>
          <w:rFonts w:ascii="Segoe UI" w:hAnsi="Segoe UI" w:cs="Segoe UI"/>
          <w:b/>
          <w:bCs/>
          <w:color w:val="000000"/>
          <w:sz w:val="25"/>
          <w:szCs w:val="25"/>
          <w:lang w:val="en-GB"/>
        </w:rPr>
        <w:t>Recommend</w:t>
      </w:r>
      <w:r>
        <w:rPr>
          <w:rFonts w:ascii="Segoe UI" w:hAnsi="Segoe UI" w:cs="Segoe UI"/>
          <w:b/>
          <w:bCs/>
          <w:color w:val="000000"/>
          <w:sz w:val="25"/>
          <w:szCs w:val="25"/>
          <w:lang w:val="en-GB"/>
        </w:rPr>
        <w:t>ation of</w:t>
      </w:r>
      <w:r w:rsidRPr="00890FEC">
        <w:rPr>
          <w:rFonts w:ascii="Segoe UI" w:hAnsi="Segoe UI" w:cs="Segoe UI"/>
          <w:b/>
          <w:bCs/>
          <w:color w:val="000000"/>
          <w:sz w:val="25"/>
          <w:szCs w:val="25"/>
          <w:lang w:val="en-GB"/>
        </w:rPr>
        <w:t xml:space="preserve"> some recent books </w:t>
      </w:r>
    </w:p>
    <w:p w14:paraId="5A3959F3" w14:textId="77777777" w:rsidR="00155A26" w:rsidRPr="00155A26" w:rsidRDefault="00155A26" w:rsidP="00155A26">
      <w:pPr>
        <w:pStyle w:val="Listenabsatz"/>
        <w:autoSpaceDE w:val="0"/>
        <w:autoSpaceDN w:val="0"/>
        <w:adjustRightInd w:val="0"/>
        <w:spacing w:after="0"/>
        <w:jc w:val="both"/>
        <w:rPr>
          <w:rFonts w:ascii="Segoe UI" w:hAnsi="Segoe UI" w:cs="Segoe UI"/>
          <w:b/>
          <w:bCs/>
          <w:color w:val="000000"/>
          <w:lang w:val="en-GB"/>
        </w:rPr>
      </w:pPr>
    </w:p>
    <w:p w14:paraId="653CB729" w14:textId="77777777" w:rsidR="00155A26" w:rsidRPr="008A2504" w:rsidRDefault="00155A26" w:rsidP="00155A26">
      <w:pPr>
        <w:autoSpaceDE w:val="0"/>
        <w:autoSpaceDN w:val="0"/>
        <w:adjustRightInd w:val="0"/>
        <w:spacing w:after="0"/>
        <w:rPr>
          <w:rFonts w:cstheme="minorHAnsi"/>
          <w:color w:val="000000"/>
          <w:szCs w:val="24"/>
          <w:lang w:val="en-GB"/>
        </w:rPr>
      </w:pPr>
      <w:r w:rsidRPr="008A2504">
        <w:rPr>
          <w:rFonts w:cstheme="minorHAnsi"/>
          <w:color w:val="000000"/>
          <w:szCs w:val="24"/>
          <w:lang w:val="en-GB"/>
        </w:rPr>
        <w:t>Artificial Intelligence in Cardiothoracic Imaging</w:t>
      </w:r>
    </w:p>
    <w:p w14:paraId="654B91B5" w14:textId="77777777" w:rsidR="00155A26" w:rsidRPr="008A2504" w:rsidRDefault="00155A26" w:rsidP="00155A26">
      <w:pPr>
        <w:autoSpaceDE w:val="0"/>
        <w:autoSpaceDN w:val="0"/>
        <w:adjustRightInd w:val="0"/>
        <w:spacing w:after="0"/>
        <w:rPr>
          <w:rFonts w:cstheme="minorHAnsi"/>
          <w:color w:val="000000"/>
          <w:szCs w:val="24"/>
          <w:lang w:val="en-GB"/>
        </w:rPr>
      </w:pPr>
      <w:r w:rsidRPr="008A2504">
        <w:rPr>
          <w:rFonts w:cstheme="minorHAnsi"/>
          <w:color w:val="000000"/>
          <w:szCs w:val="24"/>
          <w:lang w:val="en-GB"/>
        </w:rPr>
        <w:t>Series Contemporary Medical Imaging.</w:t>
      </w:r>
    </w:p>
    <w:p w14:paraId="1F21C996" w14:textId="77777777" w:rsidR="00155A26" w:rsidRPr="008A2504" w:rsidRDefault="00155A26" w:rsidP="00155A26">
      <w:pPr>
        <w:autoSpaceDE w:val="0"/>
        <w:autoSpaceDN w:val="0"/>
        <w:adjustRightInd w:val="0"/>
        <w:spacing w:after="0"/>
        <w:rPr>
          <w:rFonts w:cstheme="minorHAnsi"/>
          <w:color w:val="000000"/>
          <w:szCs w:val="24"/>
        </w:rPr>
      </w:pPr>
      <w:r w:rsidRPr="008A2504">
        <w:rPr>
          <w:rFonts w:cstheme="minorHAnsi"/>
          <w:szCs w:val="24"/>
        </w:rPr>
        <w:t>Humana Cham</w:t>
      </w:r>
      <w:r w:rsidRPr="008A2504">
        <w:rPr>
          <w:rFonts w:cstheme="minorHAnsi"/>
          <w:color w:val="000000"/>
          <w:szCs w:val="24"/>
        </w:rPr>
        <w:t xml:space="preserve"> (2022)</w:t>
      </w:r>
    </w:p>
    <w:p w14:paraId="6E3F4A7E" w14:textId="77777777" w:rsidR="00155A26" w:rsidRPr="008A2504" w:rsidRDefault="00155A26" w:rsidP="00155A26">
      <w:pPr>
        <w:autoSpaceDE w:val="0"/>
        <w:autoSpaceDN w:val="0"/>
        <w:adjustRightInd w:val="0"/>
        <w:spacing w:after="0"/>
        <w:rPr>
          <w:rFonts w:cstheme="minorHAnsi"/>
          <w:color w:val="000000"/>
          <w:szCs w:val="24"/>
          <w:lang w:val="en-GB"/>
        </w:rPr>
      </w:pPr>
      <w:r w:rsidRPr="008A2504">
        <w:rPr>
          <w:rFonts w:cstheme="minorHAnsi"/>
          <w:color w:val="000000"/>
          <w:szCs w:val="24"/>
          <w:lang w:val="en-GB"/>
        </w:rPr>
        <w:t>DOI: 10.1007/978-3-030-92087-6</w:t>
      </w:r>
    </w:p>
    <w:p w14:paraId="0D19BD29" w14:textId="2E799AB1" w:rsidR="00155A26" w:rsidRDefault="005E787E" w:rsidP="00155A26">
      <w:pPr>
        <w:autoSpaceDE w:val="0"/>
        <w:autoSpaceDN w:val="0"/>
        <w:adjustRightInd w:val="0"/>
        <w:spacing w:after="0"/>
        <w:rPr>
          <w:rFonts w:ascii="Segoe UI" w:hAnsi="Segoe UI" w:cs="Segoe UI"/>
          <w:color w:val="000000"/>
          <w:szCs w:val="24"/>
          <w:lang w:val="en-GB"/>
        </w:rPr>
      </w:pPr>
      <w:hyperlink r:id="rId19" w:anchor="bibliographic-information" w:history="1">
        <w:r w:rsidR="00155A26" w:rsidRPr="008A2504">
          <w:rPr>
            <w:rStyle w:val="Hyperlink"/>
            <w:rFonts w:cstheme="minorHAnsi"/>
            <w:lang w:val="en-GB"/>
          </w:rPr>
          <w:t>https://link.springer.com/book/10.1007/978-3-030-92087-6#bibliographic-information</w:t>
        </w:r>
      </w:hyperlink>
      <w:r w:rsidR="00155A26" w:rsidRPr="008A2504">
        <w:rPr>
          <w:rFonts w:ascii="Segoe UI" w:hAnsi="Segoe UI" w:cs="Segoe UI"/>
          <w:color w:val="000000"/>
          <w:szCs w:val="24"/>
          <w:lang w:val="en-GB"/>
        </w:rPr>
        <w:t xml:space="preserve">  </w:t>
      </w:r>
      <w:r w:rsidR="00C77437">
        <w:rPr>
          <w:rFonts w:ascii="Segoe UI" w:hAnsi="Segoe UI" w:cs="Segoe UI"/>
          <w:color w:val="000000"/>
          <w:szCs w:val="24"/>
          <w:lang w:val="en-GB"/>
        </w:rPr>
        <w:t>accessed 29.6.2022</w:t>
      </w:r>
    </w:p>
    <w:p w14:paraId="2F7A8B43" w14:textId="77777777" w:rsidR="00155A26" w:rsidRDefault="00155A26" w:rsidP="00155A26">
      <w:pPr>
        <w:autoSpaceDE w:val="0"/>
        <w:autoSpaceDN w:val="0"/>
        <w:adjustRightInd w:val="0"/>
        <w:spacing w:after="0"/>
        <w:rPr>
          <w:rFonts w:ascii="Segoe UI" w:hAnsi="Segoe UI" w:cs="Segoe UI"/>
          <w:color w:val="000000"/>
          <w:szCs w:val="24"/>
          <w:lang w:val="en-GB"/>
        </w:rPr>
      </w:pPr>
    </w:p>
    <w:p w14:paraId="0B3D5A1E" w14:textId="77777777" w:rsidR="00155A26" w:rsidRDefault="00155A26" w:rsidP="00155A26">
      <w:pPr>
        <w:autoSpaceDE w:val="0"/>
        <w:autoSpaceDN w:val="0"/>
        <w:adjustRightInd w:val="0"/>
        <w:spacing w:after="0"/>
        <w:rPr>
          <w:szCs w:val="24"/>
          <w:lang w:val="en-GB"/>
        </w:rPr>
      </w:pPr>
      <w:r w:rsidRPr="008A2504">
        <w:rPr>
          <w:szCs w:val="24"/>
          <w:lang w:val="en-GB"/>
        </w:rPr>
        <w:t>The Future of Medical Device Regulation: Innovation and Protection. Cambridge: Cambridge University Press (2022).</w:t>
      </w:r>
    </w:p>
    <w:p w14:paraId="4BB6DD08" w14:textId="77777777" w:rsidR="00155A26" w:rsidRPr="00B053C5" w:rsidRDefault="00155A26" w:rsidP="00155A26">
      <w:pPr>
        <w:autoSpaceDE w:val="0"/>
        <w:autoSpaceDN w:val="0"/>
        <w:adjustRightInd w:val="0"/>
        <w:spacing w:after="0"/>
        <w:rPr>
          <w:rFonts w:ascii="Segoe UI" w:hAnsi="Segoe UI" w:cs="Segoe UI"/>
          <w:lang w:val="en-GB"/>
        </w:rPr>
      </w:pPr>
      <w:r w:rsidRPr="00B053C5">
        <w:rPr>
          <w:rFonts w:ascii="Segoe UI" w:hAnsi="Segoe UI" w:cs="Segoe UI"/>
          <w:lang w:val="en-GB"/>
        </w:rPr>
        <w:t>DOI: 10.1017/9781108975452</w:t>
      </w:r>
    </w:p>
    <w:p w14:paraId="414A5539" w14:textId="54F54C77" w:rsidR="00155A26" w:rsidRPr="00C77437" w:rsidRDefault="005E787E" w:rsidP="00155A26">
      <w:pPr>
        <w:autoSpaceDE w:val="0"/>
        <w:autoSpaceDN w:val="0"/>
        <w:adjustRightInd w:val="0"/>
        <w:spacing w:after="0"/>
        <w:rPr>
          <w:rFonts w:ascii="Segoe UI" w:hAnsi="Segoe UI" w:cs="Segoe UI"/>
          <w:color w:val="000000"/>
          <w:szCs w:val="24"/>
          <w:lang w:val="en-GB"/>
        </w:rPr>
      </w:pPr>
      <w:hyperlink r:id="rId20" w:history="1">
        <w:r w:rsidR="00155A26" w:rsidRPr="00465920">
          <w:rPr>
            <w:rStyle w:val="Hyperlink"/>
            <w:rFonts w:ascii="Segoe UI" w:hAnsi="Segoe UI" w:cs="Segoe UI"/>
            <w:lang w:val="en-GB"/>
          </w:rPr>
          <w:t>https://www.cambridge.org/core/books/future-of-medical-device-regulation/7ABD9575718C5F31B69E4CE00DD7F7E7</w:t>
        </w:r>
      </w:hyperlink>
      <w:r w:rsidR="00155A26">
        <w:rPr>
          <w:rFonts w:ascii="Segoe UI" w:hAnsi="Segoe UI" w:cs="Segoe UI"/>
          <w:lang w:val="en-GB"/>
        </w:rPr>
        <w:t xml:space="preserve"> </w:t>
      </w:r>
      <w:r w:rsidR="00C77437">
        <w:rPr>
          <w:rFonts w:ascii="Segoe UI" w:hAnsi="Segoe UI" w:cs="Segoe UI"/>
          <w:lang w:val="en-GB"/>
        </w:rPr>
        <w:t xml:space="preserve"> </w:t>
      </w:r>
      <w:r w:rsidR="00C77437">
        <w:rPr>
          <w:rFonts w:ascii="Segoe UI" w:hAnsi="Segoe UI" w:cs="Segoe UI"/>
          <w:color w:val="000000"/>
          <w:szCs w:val="24"/>
          <w:lang w:val="en-GB"/>
        </w:rPr>
        <w:t>accessed 29.6.2022</w:t>
      </w:r>
    </w:p>
    <w:p w14:paraId="4FF4C9CD" w14:textId="2B9D9A2C" w:rsidR="00155A26" w:rsidRDefault="00155A26" w:rsidP="00155A26">
      <w:pPr>
        <w:rPr>
          <w:szCs w:val="24"/>
          <w:lang w:val="en-GB"/>
        </w:rPr>
      </w:pPr>
    </w:p>
    <w:p w14:paraId="05FD768A" w14:textId="77777777" w:rsidR="00C77437" w:rsidRDefault="00C77437" w:rsidP="00C77437">
      <w:pPr>
        <w:autoSpaceDE w:val="0"/>
        <w:autoSpaceDN w:val="0"/>
        <w:adjustRightInd w:val="0"/>
        <w:spacing w:after="0"/>
        <w:rPr>
          <w:rFonts w:ascii="Segoe UI" w:hAnsi="Segoe UI" w:cs="Segoe UI"/>
          <w:color w:val="000000"/>
          <w:szCs w:val="24"/>
          <w:lang w:val="en-GB"/>
        </w:rPr>
      </w:pPr>
      <w:r w:rsidRPr="00C77437">
        <w:rPr>
          <w:szCs w:val="24"/>
          <w:lang w:val="en-GB"/>
        </w:rPr>
        <w:t xml:space="preserve">European Commission, Directorate-General for Health and Food Safety, </w:t>
      </w:r>
      <w:proofErr w:type="spellStart"/>
      <w:r w:rsidRPr="00C77437">
        <w:rPr>
          <w:szCs w:val="24"/>
          <w:lang w:val="en-GB"/>
        </w:rPr>
        <w:t>Lupiáñez</w:t>
      </w:r>
      <w:proofErr w:type="spellEnd"/>
      <w:r w:rsidRPr="00C77437">
        <w:rPr>
          <w:szCs w:val="24"/>
          <w:lang w:val="en-GB"/>
        </w:rPr>
        <w:t xml:space="preserve">-Villanueva, F., Gunderson, L., </w:t>
      </w:r>
      <w:proofErr w:type="spellStart"/>
      <w:r w:rsidRPr="00C77437">
        <w:rPr>
          <w:szCs w:val="24"/>
          <w:lang w:val="en-GB"/>
        </w:rPr>
        <w:t>Vitiello</w:t>
      </w:r>
      <w:proofErr w:type="spellEnd"/>
      <w:r w:rsidRPr="00C77437">
        <w:rPr>
          <w:szCs w:val="24"/>
          <w:lang w:val="en-GB"/>
        </w:rPr>
        <w:t xml:space="preserve">, S., et al., Study on health data, digital health and artificial intelligence in healthcare, Publications Office of the European Union, 2022, </w:t>
      </w:r>
      <w:hyperlink r:id="rId21" w:history="1">
        <w:r w:rsidRPr="00D5731B">
          <w:rPr>
            <w:rStyle w:val="Hyperlink"/>
            <w:szCs w:val="24"/>
            <w:lang w:val="en-GB"/>
          </w:rPr>
          <w:t>https://data.europa.eu/doi/10.2875/702007</w:t>
        </w:r>
      </w:hyperlink>
      <w:r>
        <w:rPr>
          <w:szCs w:val="24"/>
          <w:lang w:val="en-GB"/>
        </w:rPr>
        <w:t xml:space="preserve">   </w:t>
      </w:r>
      <w:r>
        <w:rPr>
          <w:rFonts w:ascii="Segoe UI" w:hAnsi="Segoe UI" w:cs="Segoe UI"/>
          <w:color w:val="000000"/>
          <w:szCs w:val="24"/>
          <w:lang w:val="en-GB"/>
        </w:rPr>
        <w:t>accessed 29.6.2022</w:t>
      </w:r>
    </w:p>
    <w:p w14:paraId="58305463" w14:textId="67B9514A" w:rsidR="00C77437" w:rsidRPr="00155A26" w:rsidRDefault="00C77437" w:rsidP="00155A26">
      <w:pPr>
        <w:rPr>
          <w:szCs w:val="24"/>
          <w:lang w:val="en-GB"/>
        </w:rPr>
      </w:pPr>
    </w:p>
    <w:sectPr w:rsidR="00C77437" w:rsidRPr="00155A26" w:rsidSect="0093429D">
      <w:headerReference w:type="even" r:id="rId22"/>
      <w:footerReference w:type="even" r:id="rId23"/>
      <w:footerReference w:type="default" r:id="rId24"/>
      <w:headerReference w:type="first" r:id="rId2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 w:id="1">
    <w:p w14:paraId="322BC67C" w14:textId="77777777" w:rsidR="00155A26" w:rsidRPr="007D45DC" w:rsidRDefault="00155A26" w:rsidP="00155A26">
      <w:pPr>
        <w:pStyle w:val="Funotentext"/>
        <w:rPr>
          <w:lang w:val="en-GB"/>
        </w:rPr>
      </w:pPr>
      <w:r>
        <w:rPr>
          <w:rStyle w:val="Funotenzeichen"/>
        </w:rPr>
        <w:footnoteRef/>
      </w:r>
      <w:r w:rsidRPr="007D45DC">
        <w:rPr>
          <w:lang w:val="en-GB"/>
        </w:rPr>
        <w:t xml:space="preserve"> </w:t>
      </w:r>
      <w:hyperlink r:id="rId1" w:history="1">
        <w:r w:rsidRPr="00465920">
          <w:rPr>
            <w:rStyle w:val="Hyperlink"/>
            <w:rFonts w:ascii="Segoe UI" w:hAnsi="Segoe UI" w:cs="Segoe UI"/>
            <w:sz w:val="24"/>
            <w:szCs w:val="24"/>
            <w:lang w:val="en-GB"/>
          </w:rPr>
          <w:t>https://www.fda.gov/regulatory-information/search-fda-guidance-documents/deciding-when-submit-510k-software-change-existing-device</w:t>
        </w:r>
      </w:hyperlink>
      <w:r>
        <w:rPr>
          <w:rFonts w:ascii="Segoe UI" w:hAnsi="Segoe UI" w:cs="Segoe UI"/>
          <w:color w:val="000000"/>
          <w:sz w:val="24"/>
          <w:szCs w:val="24"/>
          <w:lang w:val="en-GB"/>
        </w:rPr>
        <w:t xml:space="preserve">  </w:t>
      </w:r>
      <w:r w:rsidRPr="000C69C7">
        <w:rPr>
          <w:rFonts w:ascii="Segoe UI" w:hAnsi="Segoe UI" w:cs="Segoe UI"/>
          <w:color w:val="000000"/>
          <w:sz w:val="24"/>
          <w:szCs w:val="24"/>
          <w:lang w:val="en-GB"/>
        </w:rPr>
        <w:t xml:space="preserve"> </w:t>
      </w:r>
      <w:r>
        <w:rPr>
          <w:rFonts w:ascii="Segoe UI" w:hAnsi="Segoe UI" w:cs="Segoe UI"/>
          <w:color w:val="000000"/>
          <w:sz w:val="24"/>
          <w:szCs w:val="24"/>
          <w:lang w:val="en-GB"/>
        </w:rPr>
        <w:t>accessed 22.6.22.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E5A"/>
    <w:multiLevelType w:val="hybridMultilevel"/>
    <w:tmpl w:val="265E3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683A4E"/>
    <w:multiLevelType w:val="hybridMultilevel"/>
    <w:tmpl w:val="22322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7B1A65B4"/>
    <w:multiLevelType w:val="hybridMultilevel"/>
    <w:tmpl w:val="90325FFC"/>
    <w:lvl w:ilvl="0" w:tplc="323202B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83951784">
    <w:abstractNumId w:val="1"/>
  </w:num>
  <w:num w:numId="2" w16cid:durableId="1450319809">
    <w:abstractNumId w:val="6"/>
  </w:num>
  <w:num w:numId="3" w16cid:durableId="978725653">
    <w:abstractNumId w:val="2"/>
  </w:num>
  <w:num w:numId="4" w16cid:durableId="426854813">
    <w:abstractNumId w:val="7"/>
  </w:num>
  <w:num w:numId="5" w16cid:durableId="471093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5241860">
    <w:abstractNumId w:val="4"/>
  </w:num>
  <w:num w:numId="7" w16cid:durableId="1763212478">
    <w:abstractNumId w:val="8"/>
  </w:num>
  <w:num w:numId="8" w16cid:durableId="1499616428">
    <w:abstractNumId w:val="8"/>
  </w:num>
  <w:num w:numId="9" w16cid:durableId="2012558379">
    <w:abstractNumId w:val="8"/>
  </w:num>
  <w:num w:numId="10" w16cid:durableId="99380542">
    <w:abstractNumId w:val="8"/>
  </w:num>
  <w:num w:numId="11" w16cid:durableId="1697388854">
    <w:abstractNumId w:val="8"/>
  </w:num>
  <w:num w:numId="12" w16cid:durableId="702823516">
    <w:abstractNumId w:val="8"/>
  </w:num>
  <w:num w:numId="13" w16cid:durableId="641614813">
    <w:abstractNumId w:val="4"/>
  </w:num>
  <w:num w:numId="14" w16cid:durableId="1565867785">
    <w:abstractNumId w:val="3"/>
  </w:num>
  <w:num w:numId="15" w16cid:durableId="1711028404">
    <w:abstractNumId w:val="3"/>
  </w:num>
  <w:num w:numId="16" w16cid:durableId="1752502207">
    <w:abstractNumId w:val="3"/>
  </w:num>
  <w:num w:numId="17" w16cid:durableId="1114833125">
    <w:abstractNumId w:val="3"/>
  </w:num>
  <w:num w:numId="18" w16cid:durableId="1776057478">
    <w:abstractNumId w:val="3"/>
  </w:num>
  <w:num w:numId="19" w16cid:durableId="599072896">
    <w:abstractNumId w:val="3"/>
  </w:num>
  <w:num w:numId="20" w16cid:durableId="1008023048">
    <w:abstractNumId w:val="9"/>
  </w:num>
  <w:num w:numId="21" w16cid:durableId="257256066">
    <w:abstractNumId w:val="5"/>
  </w:num>
  <w:num w:numId="22" w16cid:durableId="203399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3BF2"/>
    <w:rsid w:val="00105FD9"/>
    <w:rsid w:val="00117666"/>
    <w:rsid w:val="001549D3"/>
    <w:rsid w:val="00155A26"/>
    <w:rsid w:val="00160065"/>
    <w:rsid w:val="00177D84"/>
    <w:rsid w:val="001E1204"/>
    <w:rsid w:val="00231807"/>
    <w:rsid w:val="00267D18"/>
    <w:rsid w:val="00274347"/>
    <w:rsid w:val="002860B2"/>
    <w:rsid w:val="002868E2"/>
    <w:rsid w:val="002869C3"/>
    <w:rsid w:val="002936E4"/>
    <w:rsid w:val="002A0679"/>
    <w:rsid w:val="002B4A57"/>
    <w:rsid w:val="002C74CA"/>
    <w:rsid w:val="00301D7E"/>
    <w:rsid w:val="003123F4"/>
    <w:rsid w:val="003544FB"/>
    <w:rsid w:val="003D2F2D"/>
    <w:rsid w:val="003D4E73"/>
    <w:rsid w:val="00401590"/>
    <w:rsid w:val="00424CF2"/>
    <w:rsid w:val="00447801"/>
    <w:rsid w:val="00452E9C"/>
    <w:rsid w:val="004735C8"/>
    <w:rsid w:val="0048595B"/>
    <w:rsid w:val="004947A6"/>
    <w:rsid w:val="004961FF"/>
    <w:rsid w:val="00511B55"/>
    <w:rsid w:val="00512551"/>
    <w:rsid w:val="00517A89"/>
    <w:rsid w:val="005250F2"/>
    <w:rsid w:val="00593EEA"/>
    <w:rsid w:val="005A5EEE"/>
    <w:rsid w:val="006375C7"/>
    <w:rsid w:val="00654E8F"/>
    <w:rsid w:val="00660D05"/>
    <w:rsid w:val="006820B1"/>
    <w:rsid w:val="00686FCC"/>
    <w:rsid w:val="00694505"/>
    <w:rsid w:val="006B7D14"/>
    <w:rsid w:val="006E6BB7"/>
    <w:rsid w:val="0070123B"/>
    <w:rsid w:val="00701727"/>
    <w:rsid w:val="0070566C"/>
    <w:rsid w:val="00714C50"/>
    <w:rsid w:val="00725A7D"/>
    <w:rsid w:val="00745BF5"/>
    <w:rsid w:val="007501BE"/>
    <w:rsid w:val="00790BB3"/>
    <w:rsid w:val="007C206C"/>
    <w:rsid w:val="007F7C0D"/>
    <w:rsid w:val="00817DD6"/>
    <w:rsid w:val="0083759F"/>
    <w:rsid w:val="00885156"/>
    <w:rsid w:val="00903F42"/>
    <w:rsid w:val="009151AA"/>
    <w:rsid w:val="0093429D"/>
    <w:rsid w:val="009417B8"/>
    <w:rsid w:val="00943573"/>
    <w:rsid w:val="00964134"/>
    <w:rsid w:val="009700E2"/>
    <w:rsid w:val="00970F7D"/>
    <w:rsid w:val="00994A3D"/>
    <w:rsid w:val="009C2B12"/>
    <w:rsid w:val="009E7AC1"/>
    <w:rsid w:val="00A030F6"/>
    <w:rsid w:val="00A174D9"/>
    <w:rsid w:val="00A80A24"/>
    <w:rsid w:val="00AA4D24"/>
    <w:rsid w:val="00AB6715"/>
    <w:rsid w:val="00B1671E"/>
    <w:rsid w:val="00B25EB8"/>
    <w:rsid w:val="00B37F4D"/>
    <w:rsid w:val="00C52A7B"/>
    <w:rsid w:val="00C56BAF"/>
    <w:rsid w:val="00C679AA"/>
    <w:rsid w:val="00C75972"/>
    <w:rsid w:val="00C77437"/>
    <w:rsid w:val="00C96F96"/>
    <w:rsid w:val="00CA6707"/>
    <w:rsid w:val="00CD066B"/>
    <w:rsid w:val="00CD5F49"/>
    <w:rsid w:val="00CE4FEE"/>
    <w:rsid w:val="00D060CF"/>
    <w:rsid w:val="00D9069A"/>
    <w:rsid w:val="00DB59C3"/>
    <w:rsid w:val="00DC259A"/>
    <w:rsid w:val="00DC58BC"/>
    <w:rsid w:val="00DE23E8"/>
    <w:rsid w:val="00E52377"/>
    <w:rsid w:val="00E537AD"/>
    <w:rsid w:val="00E64E17"/>
    <w:rsid w:val="00E862A8"/>
    <w:rsid w:val="00E866C9"/>
    <w:rsid w:val="00EA3D3C"/>
    <w:rsid w:val="00EC090A"/>
    <w:rsid w:val="00ED0367"/>
    <w:rsid w:val="00ED20B5"/>
    <w:rsid w:val="00F10A70"/>
    <w:rsid w:val="00F46900"/>
    <w:rsid w:val="00F61D89"/>
    <w:rsid w:val="00F8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character" w:styleId="NichtaufgelsteErwhnung">
    <w:name w:val="Unresolved Mention"/>
    <w:basedOn w:val="Absatz-Standardschriftart"/>
    <w:uiPriority w:val="99"/>
    <w:semiHidden/>
    <w:unhideWhenUsed/>
    <w:rsid w:val="00941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rf.org/sites/default/files/2022-05/IMDRF%20AIMD%20WG%20Final%20Document%20N67.pdf" TargetMode="External"/><Relationship Id="rId13" Type="http://schemas.openxmlformats.org/officeDocument/2006/relationships/hyperlink" Target="https://www.isaca.org/" TargetMode="External"/><Relationship Id="rId18" Type="http://schemas.openxmlformats.org/officeDocument/2006/relationships/hyperlink" Target="https://www.fda.gov/media/123271/download?utm_source=CleverReach&amp;utm_medium=email&amp;utm_campaign=05-05-22+Kampagnen-Name&amp;utm_content=Mailing_1368344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ata.europa.eu/doi/10.2875/702007" TargetMode="External"/><Relationship Id="rId7" Type="http://schemas.openxmlformats.org/officeDocument/2006/relationships/endnotes" Target="endnotes.xml"/><Relationship Id="rId12" Type="http://schemas.openxmlformats.org/officeDocument/2006/relationships/hyperlink" Target="https://www.fda.gov/regulatory-information/search-fda-guidance-documents/fostering-medical-device-improvement-fda-activities-and-engagement-voluntary-improvement-program" TargetMode="External"/><Relationship Id="rId17" Type="http://schemas.openxmlformats.org/officeDocument/2006/relationships/hyperlink" Target="http://future-ai.e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uroparl.europa.eu/RegData/etudes/STUD/2022/729512/EPRS_STU(2022)729512_EN.pdf" TargetMode="External"/><Relationship Id="rId20" Type="http://schemas.openxmlformats.org/officeDocument/2006/relationships/hyperlink" Target="https://www.cambridge.org/core/books/future-of-medical-device-regulation/7ABD9575718C5F31B69E4CE00DD7F7E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a/122535/downloa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uroparl.europa.eu/thinktank/en/document/EPRS_STU(2022)729512" TargetMode="External"/><Relationship Id="rId23" Type="http://schemas.openxmlformats.org/officeDocument/2006/relationships/footer" Target="footer1.xml"/><Relationship Id="rId10" Type="http://schemas.openxmlformats.org/officeDocument/2006/relationships/hyperlink" Target="https://eur-lex.europa.eu/resource.html?uri=cellar:e0649735-a372-11eb-9585-01aa75ed71a1.0001.02/DOC_1&amp;format=PDF" TargetMode="External"/><Relationship Id="rId19" Type="http://schemas.openxmlformats.org/officeDocument/2006/relationships/hyperlink" Target="https://link.springer.com/book/10.1007/978-3-030-92087-6" TargetMode="External"/><Relationship Id="rId4" Type="http://schemas.openxmlformats.org/officeDocument/2006/relationships/settings" Target="settings.xml"/><Relationship Id="rId9" Type="http://schemas.openxmlformats.org/officeDocument/2006/relationships/hyperlink" Target="https://www.iso.org/standard/77607.html" TargetMode="External"/><Relationship Id="rId14" Type="http://schemas.openxmlformats.org/officeDocument/2006/relationships/hyperlink" Target="https://eur-lex.europa.eu/resource.html?uri=cellar:e0649735-a372-11eb-9585-01aa75ed71a1.0001.02/DOC_1&amp;format=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da.gov/regulatory-information/search-fda-guidance-documents/deciding-when-submit-510k-software-change-existing-dev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9</Pages>
  <Words>2554</Words>
  <Characters>16093</Characters>
  <Application>Microsoft Office Word</Application>
  <DocSecurity>0</DocSecurity>
  <Lines>134</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Ernst Wellnhofer</cp:lastModifiedBy>
  <cp:revision>7</cp:revision>
  <cp:lastPrinted>2013-10-03T12:51:00Z</cp:lastPrinted>
  <dcterms:created xsi:type="dcterms:W3CDTF">2022-07-09T21:54:00Z</dcterms:created>
  <dcterms:modified xsi:type="dcterms:W3CDTF">2022-07-09T22:01:00Z</dcterms:modified>
</cp:coreProperties>
</file>