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F1261" w14:textId="77777777" w:rsidR="00973FBA" w:rsidRPr="0099572E" w:rsidRDefault="00973FBA" w:rsidP="00973FBA">
      <w:pPr>
        <w:pStyle w:val="Paragraph"/>
        <w:spacing w:line="480" w:lineRule="auto"/>
        <w:ind w:firstLine="0"/>
        <w:jc w:val="both"/>
        <w:rPr>
          <w:rFonts w:ascii="Arial" w:hAnsi="Arial" w:cs="Arial"/>
          <w:b/>
          <w:bCs/>
        </w:rPr>
      </w:pPr>
      <w:r w:rsidRPr="0099572E">
        <w:rPr>
          <w:rFonts w:ascii="Arial" w:hAnsi="Arial" w:cs="Arial"/>
          <w:b/>
          <w:bCs/>
        </w:rPr>
        <w:t xml:space="preserve">Supplemental Material </w:t>
      </w:r>
    </w:p>
    <w:p w14:paraId="0CD0F493" w14:textId="77777777" w:rsidR="00973FBA" w:rsidRPr="0099572E" w:rsidRDefault="00973FBA" w:rsidP="00973FBA">
      <w:pPr>
        <w:pStyle w:val="Paragraph"/>
        <w:spacing w:line="480" w:lineRule="auto"/>
        <w:ind w:firstLine="0"/>
        <w:jc w:val="both"/>
        <w:rPr>
          <w:rFonts w:ascii="Arial" w:hAnsi="Arial" w:cs="Arial"/>
        </w:rPr>
      </w:pPr>
    </w:p>
    <w:p w14:paraId="47435D01" w14:textId="77777777" w:rsidR="00973FBA" w:rsidRPr="0099572E" w:rsidRDefault="00973FBA" w:rsidP="00973FBA">
      <w:pPr>
        <w:jc w:val="both"/>
        <w:rPr>
          <w:rFonts w:ascii="Arial" w:hAnsi="Arial" w:cs="Arial"/>
        </w:rPr>
      </w:pPr>
      <w:r w:rsidRPr="0099572E">
        <w:rPr>
          <w:rFonts w:ascii="Arial" w:hAnsi="Arial" w:cs="Arial"/>
          <w:noProof/>
        </w:rPr>
        <w:drawing>
          <wp:inline distT="0" distB="0" distL="0" distR="0" wp14:anchorId="06A238CD" wp14:editId="1869BA10">
            <wp:extent cx="5731510" cy="2792095"/>
            <wp:effectExtent l="0" t="0" r="0" b="8255"/>
            <wp:docPr id="37" name="Picture 36" descr="A picture containing text&#10;&#10;Description automatically generated">
              <a:extLst xmlns:a="http://schemas.openxmlformats.org/drawingml/2006/main">
                <a:ext uri="{FF2B5EF4-FFF2-40B4-BE49-F238E27FC236}">
                  <a16:creationId xmlns:a16="http://schemas.microsoft.com/office/drawing/2014/main" id="{84489F56-7DAF-4694-AFEA-92D79AD18EC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6" descr="A picture containing text&#10;&#10;Description automatically generated">
                      <a:extLst>
                        <a:ext uri="{FF2B5EF4-FFF2-40B4-BE49-F238E27FC236}">
                          <a16:creationId xmlns:a16="http://schemas.microsoft.com/office/drawing/2014/main" id="{84489F56-7DAF-4694-AFEA-92D79AD18EC5}"/>
                        </a:ext>
                      </a:extLst>
                    </pic:cNvPr>
                    <pic:cNvPicPr>
                      <a:picLocks noChangeAspect="1"/>
                    </pic:cNvPicPr>
                  </pic:nvPicPr>
                  <pic:blipFill>
                    <a:blip r:embed="rId4"/>
                    <a:stretch>
                      <a:fillRect/>
                    </a:stretch>
                  </pic:blipFill>
                  <pic:spPr>
                    <a:xfrm>
                      <a:off x="0" y="0"/>
                      <a:ext cx="5731510" cy="2792095"/>
                    </a:xfrm>
                    <a:prstGeom prst="rect">
                      <a:avLst/>
                    </a:prstGeom>
                  </pic:spPr>
                </pic:pic>
              </a:graphicData>
            </a:graphic>
          </wp:inline>
        </w:drawing>
      </w:r>
    </w:p>
    <w:p w14:paraId="7E53D2A4" w14:textId="77777777" w:rsidR="00973FBA" w:rsidRPr="0099572E" w:rsidRDefault="00973FBA" w:rsidP="00973FBA">
      <w:pPr>
        <w:jc w:val="both"/>
        <w:rPr>
          <w:rFonts w:ascii="Arial" w:hAnsi="Arial" w:cs="Arial"/>
        </w:rPr>
      </w:pPr>
    </w:p>
    <w:p w14:paraId="70C4D144" w14:textId="77777777" w:rsidR="00973FBA" w:rsidRPr="0099572E" w:rsidRDefault="00973FBA" w:rsidP="00973FBA">
      <w:pPr>
        <w:pStyle w:val="Paragraph"/>
        <w:spacing w:line="276" w:lineRule="auto"/>
        <w:ind w:firstLine="0"/>
        <w:jc w:val="both"/>
        <w:rPr>
          <w:rFonts w:ascii="Arial" w:hAnsi="Arial" w:cs="Arial"/>
          <w:sz w:val="22"/>
          <w:szCs w:val="22"/>
          <w:lang w:val="en-GB"/>
        </w:rPr>
      </w:pPr>
      <w:r w:rsidRPr="0099572E">
        <w:rPr>
          <w:rFonts w:ascii="Arial" w:hAnsi="Arial" w:cs="Arial"/>
          <w:b/>
          <w:bCs/>
          <w:sz w:val="22"/>
          <w:szCs w:val="22"/>
          <w:lang w:val="en-GB"/>
        </w:rPr>
        <w:t xml:space="preserve">Supplemental Figure 1. Representative airway leucocyte gating strategy for PBS and </w:t>
      </w:r>
      <w:r w:rsidRPr="0099572E">
        <w:rPr>
          <w:rFonts w:ascii="Arial" w:hAnsi="Arial" w:cs="Arial"/>
          <w:b/>
          <w:bCs/>
          <w:i/>
          <w:iCs/>
          <w:sz w:val="22"/>
          <w:szCs w:val="22"/>
          <w:lang w:val="en-GB"/>
        </w:rPr>
        <w:t>Alternaria</w:t>
      </w:r>
      <w:r w:rsidRPr="0099572E">
        <w:rPr>
          <w:rFonts w:ascii="Arial" w:hAnsi="Arial" w:cs="Arial"/>
          <w:b/>
          <w:bCs/>
          <w:sz w:val="22"/>
          <w:szCs w:val="22"/>
          <w:lang w:val="en-GB"/>
        </w:rPr>
        <w:t xml:space="preserve">-exposed C57BL/6J, </w:t>
      </w:r>
      <w:proofErr w:type="spellStart"/>
      <w:r w:rsidRPr="0099572E">
        <w:rPr>
          <w:rFonts w:ascii="Arial" w:hAnsi="Arial" w:cs="Arial"/>
          <w:b/>
          <w:bCs/>
          <w:i/>
          <w:iCs/>
          <w:sz w:val="22"/>
          <w:szCs w:val="22"/>
          <w:lang w:val="en-GB"/>
        </w:rPr>
        <w:t>Chat</w:t>
      </w:r>
      <w:r w:rsidRPr="0099572E">
        <w:rPr>
          <w:rFonts w:ascii="Arial" w:hAnsi="Arial" w:cs="Arial"/>
          <w:b/>
          <w:bCs/>
          <w:sz w:val="22"/>
          <w:szCs w:val="22"/>
          <w:vertAlign w:val="superscript"/>
          <w:lang w:val="en-GB"/>
        </w:rPr>
        <w:t>LoxP</w:t>
      </w:r>
      <w:proofErr w:type="spellEnd"/>
      <w:r w:rsidRPr="0099572E">
        <w:rPr>
          <w:rFonts w:ascii="Arial" w:hAnsi="Arial" w:cs="Arial"/>
          <w:b/>
          <w:bCs/>
          <w:sz w:val="22"/>
          <w:szCs w:val="22"/>
          <w:vertAlign w:val="superscript"/>
          <w:lang w:val="en-GB"/>
        </w:rPr>
        <w:t xml:space="preserve"> </w:t>
      </w:r>
      <w:r w:rsidRPr="0099572E">
        <w:rPr>
          <w:rFonts w:ascii="Arial" w:hAnsi="Arial" w:cs="Arial"/>
          <w:b/>
          <w:bCs/>
          <w:sz w:val="22"/>
          <w:szCs w:val="22"/>
          <w:lang w:val="en-GB"/>
        </w:rPr>
        <w:t xml:space="preserve">and </w:t>
      </w:r>
      <w:proofErr w:type="spellStart"/>
      <w:r w:rsidRPr="0099572E">
        <w:rPr>
          <w:rFonts w:ascii="Arial" w:hAnsi="Arial" w:cs="Arial"/>
          <w:b/>
          <w:bCs/>
          <w:i/>
          <w:iCs/>
          <w:sz w:val="22"/>
          <w:szCs w:val="22"/>
          <w:lang w:val="en-GB"/>
        </w:rPr>
        <w:t>Rora</w:t>
      </w:r>
      <w:r w:rsidRPr="0099572E">
        <w:rPr>
          <w:rFonts w:ascii="Arial" w:hAnsi="Arial" w:cs="Arial"/>
          <w:b/>
          <w:bCs/>
          <w:sz w:val="22"/>
          <w:szCs w:val="22"/>
          <w:vertAlign w:val="superscript"/>
          <w:lang w:val="en-GB"/>
        </w:rPr>
        <w:t>Cre+</w:t>
      </w:r>
      <w:r w:rsidRPr="0099572E">
        <w:rPr>
          <w:rFonts w:ascii="Arial" w:hAnsi="Arial" w:cs="Arial"/>
          <w:b/>
          <w:bCs/>
          <w:i/>
          <w:iCs/>
          <w:sz w:val="22"/>
          <w:szCs w:val="22"/>
          <w:lang w:val="en-GB"/>
        </w:rPr>
        <w:t>Chat</w:t>
      </w:r>
      <w:r w:rsidRPr="0099572E">
        <w:rPr>
          <w:rFonts w:ascii="Arial" w:hAnsi="Arial" w:cs="Arial"/>
          <w:b/>
          <w:bCs/>
          <w:sz w:val="22"/>
          <w:szCs w:val="22"/>
          <w:vertAlign w:val="superscript"/>
          <w:lang w:val="en-GB"/>
        </w:rPr>
        <w:t>LoxP</w:t>
      </w:r>
      <w:proofErr w:type="spellEnd"/>
      <w:r w:rsidRPr="0099572E">
        <w:rPr>
          <w:rFonts w:ascii="Arial" w:hAnsi="Arial" w:cs="Arial"/>
          <w:b/>
          <w:bCs/>
          <w:sz w:val="22"/>
          <w:szCs w:val="22"/>
          <w:vertAlign w:val="superscript"/>
          <w:lang w:val="en-GB"/>
        </w:rPr>
        <w:t xml:space="preserve"> </w:t>
      </w:r>
      <w:r w:rsidRPr="0099572E">
        <w:rPr>
          <w:rFonts w:ascii="Arial" w:hAnsi="Arial" w:cs="Arial"/>
          <w:b/>
          <w:bCs/>
          <w:sz w:val="22"/>
          <w:szCs w:val="22"/>
          <w:lang w:val="en-GB"/>
        </w:rPr>
        <w:t xml:space="preserve">mice (related to Figure 1). </w:t>
      </w:r>
      <w:r w:rsidRPr="0099572E">
        <w:rPr>
          <w:rFonts w:ascii="Arial" w:hAnsi="Arial" w:cs="Arial"/>
          <w:sz w:val="22"/>
          <w:szCs w:val="22"/>
          <w:lang w:val="en-GB"/>
        </w:rPr>
        <w:t>Populations are pre-gated as live single cells, CD45</w:t>
      </w:r>
      <w:r w:rsidRPr="0099572E">
        <w:rPr>
          <w:rFonts w:ascii="Arial" w:hAnsi="Arial" w:cs="Arial"/>
          <w:sz w:val="22"/>
          <w:szCs w:val="22"/>
          <w:vertAlign w:val="superscript"/>
          <w:lang w:val="en-GB"/>
        </w:rPr>
        <w:t>+</w:t>
      </w:r>
      <w:r w:rsidRPr="0099572E">
        <w:rPr>
          <w:rFonts w:ascii="Arial" w:hAnsi="Arial" w:cs="Arial"/>
          <w:sz w:val="22"/>
          <w:szCs w:val="22"/>
          <w:lang w:val="en-GB"/>
        </w:rPr>
        <w:t>. Cell scatter profiling/back-gating of indicated populations was carried out to validate population identity based on expected forward (FSC) and Side (SSC) scatter parameters. Based on negative CD11b expression and small FSC/SSC profile, CD11b</w:t>
      </w:r>
      <w:r w:rsidRPr="0099572E">
        <w:rPr>
          <w:rFonts w:ascii="Arial" w:hAnsi="Arial" w:cs="Arial"/>
          <w:sz w:val="22"/>
          <w:szCs w:val="22"/>
          <w:vertAlign w:val="superscript"/>
          <w:lang w:val="en-GB"/>
        </w:rPr>
        <w:t>-</w:t>
      </w:r>
      <w:r w:rsidRPr="0099572E">
        <w:rPr>
          <w:rFonts w:ascii="Arial" w:hAnsi="Arial" w:cs="Arial"/>
          <w:sz w:val="22"/>
          <w:szCs w:val="22"/>
          <w:lang w:val="en-GB"/>
        </w:rPr>
        <w:t xml:space="preserve"> leucocytes (marked with </w:t>
      </w:r>
      <w:r w:rsidRPr="0099572E">
        <w:rPr>
          <w:rFonts w:ascii="Arial" w:hAnsi="Arial" w:cs="Arial"/>
          <w:b/>
          <w:bCs/>
          <w:sz w:val="22"/>
          <w:szCs w:val="22"/>
          <w:lang w:val="en-GB"/>
        </w:rPr>
        <w:t>*</w:t>
      </w:r>
      <w:r w:rsidRPr="0099572E">
        <w:rPr>
          <w:rFonts w:ascii="Arial" w:hAnsi="Arial" w:cs="Arial"/>
          <w:sz w:val="22"/>
          <w:szCs w:val="22"/>
          <w:lang w:val="en-GB"/>
        </w:rPr>
        <w:t xml:space="preserve">) in the airways were defined as lymphocytes. AM = alveolar macrophages.   </w:t>
      </w:r>
    </w:p>
    <w:p w14:paraId="499D08ED" w14:textId="77777777" w:rsidR="00973FBA" w:rsidRPr="0099572E" w:rsidRDefault="00973FBA" w:rsidP="00973FBA">
      <w:pPr>
        <w:jc w:val="both"/>
        <w:rPr>
          <w:rFonts w:ascii="Arial" w:hAnsi="Arial" w:cs="Arial"/>
        </w:rPr>
      </w:pPr>
    </w:p>
    <w:p w14:paraId="286C433E" w14:textId="77777777" w:rsidR="00973FBA" w:rsidRPr="0099572E" w:rsidRDefault="00973FBA" w:rsidP="00973FBA">
      <w:pPr>
        <w:jc w:val="both"/>
        <w:rPr>
          <w:rFonts w:ascii="Arial" w:hAnsi="Arial" w:cs="Arial"/>
        </w:rPr>
      </w:pPr>
    </w:p>
    <w:p w14:paraId="5C5C5E83" w14:textId="77777777" w:rsidR="00973FBA" w:rsidRPr="0099572E" w:rsidRDefault="00973FBA" w:rsidP="00973FBA">
      <w:pPr>
        <w:jc w:val="both"/>
        <w:rPr>
          <w:rFonts w:ascii="Arial" w:hAnsi="Arial" w:cs="Arial"/>
        </w:rPr>
      </w:pPr>
    </w:p>
    <w:p w14:paraId="5EA2C23F" w14:textId="77777777" w:rsidR="00973FBA" w:rsidRPr="0099572E" w:rsidRDefault="00973FBA" w:rsidP="00973FBA">
      <w:pPr>
        <w:jc w:val="both"/>
        <w:rPr>
          <w:rFonts w:ascii="Arial" w:hAnsi="Arial" w:cs="Arial"/>
        </w:rPr>
      </w:pPr>
    </w:p>
    <w:p w14:paraId="2502D1FD" w14:textId="77777777" w:rsidR="00973FBA" w:rsidRPr="0099572E" w:rsidRDefault="00973FBA" w:rsidP="00973FBA">
      <w:pPr>
        <w:jc w:val="both"/>
        <w:rPr>
          <w:rFonts w:ascii="Arial" w:hAnsi="Arial" w:cs="Arial"/>
        </w:rPr>
      </w:pPr>
    </w:p>
    <w:p w14:paraId="783EAE59" w14:textId="77777777" w:rsidR="00973FBA" w:rsidRPr="0099572E" w:rsidRDefault="00973FBA" w:rsidP="00973FBA">
      <w:pPr>
        <w:jc w:val="both"/>
        <w:rPr>
          <w:rFonts w:ascii="Arial" w:hAnsi="Arial" w:cs="Arial"/>
        </w:rPr>
      </w:pPr>
    </w:p>
    <w:p w14:paraId="17B38B90" w14:textId="77777777" w:rsidR="00973FBA" w:rsidRPr="0099572E" w:rsidRDefault="00973FBA" w:rsidP="00973FBA">
      <w:pPr>
        <w:jc w:val="both"/>
        <w:rPr>
          <w:rFonts w:ascii="Arial" w:hAnsi="Arial" w:cs="Arial"/>
        </w:rPr>
      </w:pPr>
    </w:p>
    <w:p w14:paraId="5DFDD745" w14:textId="77777777" w:rsidR="00973FBA" w:rsidRPr="0099572E" w:rsidRDefault="00973FBA" w:rsidP="00973FBA">
      <w:pPr>
        <w:jc w:val="both"/>
        <w:rPr>
          <w:rFonts w:ascii="Arial" w:hAnsi="Arial" w:cs="Arial"/>
        </w:rPr>
      </w:pPr>
    </w:p>
    <w:p w14:paraId="6E38689A" w14:textId="77777777" w:rsidR="00973FBA" w:rsidRPr="0099572E" w:rsidRDefault="00973FBA" w:rsidP="00973FBA">
      <w:pPr>
        <w:jc w:val="both"/>
        <w:rPr>
          <w:rFonts w:ascii="Arial" w:hAnsi="Arial" w:cs="Arial"/>
        </w:rPr>
      </w:pPr>
    </w:p>
    <w:p w14:paraId="0511C36D" w14:textId="77777777" w:rsidR="00973FBA" w:rsidRPr="0099572E" w:rsidRDefault="00973FBA" w:rsidP="00973FBA">
      <w:pPr>
        <w:jc w:val="both"/>
        <w:rPr>
          <w:rFonts w:ascii="Arial" w:hAnsi="Arial" w:cs="Arial"/>
        </w:rPr>
      </w:pPr>
    </w:p>
    <w:p w14:paraId="1582DA3B" w14:textId="77777777" w:rsidR="00973FBA" w:rsidRPr="0099572E" w:rsidRDefault="00973FBA" w:rsidP="00973FBA">
      <w:pPr>
        <w:jc w:val="both"/>
        <w:rPr>
          <w:rFonts w:ascii="Arial" w:hAnsi="Arial" w:cs="Arial"/>
        </w:rPr>
      </w:pPr>
    </w:p>
    <w:p w14:paraId="57FAD4A9" w14:textId="77777777" w:rsidR="00973FBA" w:rsidRPr="0099572E" w:rsidRDefault="00973FBA" w:rsidP="00973FBA">
      <w:pPr>
        <w:jc w:val="both"/>
        <w:rPr>
          <w:rFonts w:ascii="Arial" w:hAnsi="Arial" w:cs="Arial"/>
        </w:rPr>
      </w:pPr>
    </w:p>
    <w:p w14:paraId="4CBD3F52" w14:textId="77777777" w:rsidR="00973FBA" w:rsidRPr="0099572E" w:rsidRDefault="00973FBA" w:rsidP="00973FBA">
      <w:pPr>
        <w:jc w:val="both"/>
        <w:rPr>
          <w:rFonts w:ascii="Arial" w:hAnsi="Arial" w:cs="Arial"/>
        </w:rPr>
      </w:pPr>
    </w:p>
    <w:p w14:paraId="13330429" w14:textId="77777777" w:rsidR="00973FBA" w:rsidRPr="0099572E" w:rsidRDefault="00973FBA" w:rsidP="00973FBA">
      <w:pPr>
        <w:jc w:val="both"/>
        <w:rPr>
          <w:rFonts w:ascii="Arial" w:hAnsi="Arial" w:cs="Arial"/>
        </w:rPr>
      </w:pPr>
    </w:p>
    <w:p w14:paraId="2733446E" w14:textId="77777777" w:rsidR="00973FBA" w:rsidRPr="0099572E" w:rsidRDefault="00973FBA" w:rsidP="00973FBA">
      <w:pPr>
        <w:jc w:val="both"/>
        <w:rPr>
          <w:rFonts w:ascii="Arial" w:hAnsi="Arial" w:cs="Arial"/>
        </w:rPr>
      </w:pPr>
    </w:p>
    <w:p w14:paraId="74D4F7E4" w14:textId="77777777" w:rsidR="00973FBA" w:rsidRPr="0099572E" w:rsidRDefault="00973FBA" w:rsidP="00973FBA">
      <w:pPr>
        <w:jc w:val="both"/>
        <w:rPr>
          <w:rFonts w:ascii="Arial" w:hAnsi="Arial" w:cs="Arial"/>
        </w:rPr>
      </w:pPr>
    </w:p>
    <w:p w14:paraId="2936CE0E" w14:textId="77777777" w:rsidR="00973FBA" w:rsidRPr="0099572E" w:rsidRDefault="00973FBA" w:rsidP="00973FBA">
      <w:pPr>
        <w:jc w:val="both"/>
        <w:rPr>
          <w:rFonts w:ascii="Arial" w:hAnsi="Arial" w:cs="Arial"/>
        </w:rPr>
      </w:pPr>
    </w:p>
    <w:p w14:paraId="368BBC0A" w14:textId="77777777" w:rsidR="00973FBA" w:rsidRPr="0099572E" w:rsidRDefault="00973FBA" w:rsidP="00973FBA">
      <w:pPr>
        <w:jc w:val="both"/>
        <w:rPr>
          <w:rFonts w:ascii="Arial" w:hAnsi="Arial" w:cs="Arial"/>
        </w:rPr>
      </w:pPr>
    </w:p>
    <w:p w14:paraId="29B99404" w14:textId="77777777" w:rsidR="00973FBA" w:rsidRPr="0099572E" w:rsidRDefault="00973FBA" w:rsidP="00973FBA">
      <w:pPr>
        <w:jc w:val="both"/>
        <w:rPr>
          <w:rFonts w:ascii="Arial" w:hAnsi="Arial" w:cs="Arial"/>
        </w:rPr>
      </w:pPr>
    </w:p>
    <w:p w14:paraId="4F7022C3" w14:textId="77777777" w:rsidR="00973FBA" w:rsidRPr="0099572E" w:rsidRDefault="00973FBA" w:rsidP="00973FBA">
      <w:pPr>
        <w:jc w:val="both"/>
        <w:rPr>
          <w:rFonts w:ascii="Arial" w:hAnsi="Arial" w:cs="Arial"/>
        </w:rPr>
      </w:pPr>
    </w:p>
    <w:p w14:paraId="1BF26D5B" w14:textId="77777777" w:rsidR="00973FBA" w:rsidRPr="0099572E" w:rsidRDefault="00973FBA" w:rsidP="00973FBA">
      <w:pPr>
        <w:jc w:val="both"/>
        <w:rPr>
          <w:rFonts w:ascii="Arial" w:hAnsi="Arial" w:cs="Arial"/>
        </w:rPr>
      </w:pPr>
    </w:p>
    <w:p w14:paraId="3E59FFB8" w14:textId="77777777" w:rsidR="00973FBA" w:rsidRPr="0099572E" w:rsidRDefault="00973FBA" w:rsidP="00973FBA">
      <w:pPr>
        <w:jc w:val="both"/>
        <w:rPr>
          <w:rFonts w:ascii="Arial" w:hAnsi="Arial" w:cs="Arial"/>
        </w:rPr>
      </w:pPr>
    </w:p>
    <w:p w14:paraId="1DB41082" w14:textId="77777777" w:rsidR="00973FBA" w:rsidRPr="0099572E" w:rsidRDefault="00973FBA" w:rsidP="00973FBA">
      <w:pPr>
        <w:jc w:val="both"/>
        <w:rPr>
          <w:rFonts w:ascii="Arial" w:hAnsi="Arial" w:cs="Arial"/>
        </w:rPr>
      </w:pPr>
    </w:p>
    <w:p w14:paraId="1FEA1CD3" w14:textId="77777777" w:rsidR="00973FBA" w:rsidRPr="0099572E" w:rsidRDefault="00973FBA" w:rsidP="00973FBA">
      <w:pPr>
        <w:jc w:val="both"/>
        <w:rPr>
          <w:rFonts w:ascii="Arial" w:hAnsi="Arial" w:cs="Arial"/>
        </w:rPr>
      </w:pPr>
    </w:p>
    <w:p w14:paraId="73609D12" w14:textId="77777777" w:rsidR="00973FBA" w:rsidRPr="0099572E" w:rsidRDefault="00973FBA" w:rsidP="00973FBA">
      <w:pPr>
        <w:jc w:val="both"/>
        <w:rPr>
          <w:rFonts w:ascii="Arial" w:hAnsi="Arial" w:cs="Arial"/>
        </w:rPr>
      </w:pPr>
    </w:p>
    <w:p w14:paraId="5C76B43F" w14:textId="5E5EC0F8" w:rsidR="00973FBA" w:rsidRPr="0099572E" w:rsidRDefault="00973FBA" w:rsidP="00973FBA">
      <w:pPr>
        <w:jc w:val="both"/>
        <w:rPr>
          <w:rFonts w:ascii="Arial" w:hAnsi="Arial" w:cs="Arial"/>
        </w:rPr>
      </w:pPr>
      <w:r>
        <w:rPr>
          <w:rFonts w:ascii="Arial" w:hAnsi="Arial" w:cs="Arial"/>
          <w:noProof/>
        </w:rPr>
        <w:lastRenderedPageBreak/>
        <w:drawing>
          <wp:anchor distT="0" distB="0" distL="114300" distR="114300" simplePos="0" relativeHeight="251663360" behindDoc="1" locked="0" layoutInCell="1" allowOverlap="1" wp14:anchorId="2B13A406" wp14:editId="70665CCE">
            <wp:simplePos x="0" y="0"/>
            <wp:positionH relativeFrom="margin">
              <wp:align>center</wp:align>
            </wp:positionH>
            <wp:positionV relativeFrom="paragraph">
              <wp:posOffset>-257175</wp:posOffset>
            </wp:positionV>
            <wp:extent cx="6381227" cy="3236398"/>
            <wp:effectExtent l="0" t="0" r="0" b="0"/>
            <wp:wrapNone/>
            <wp:docPr id="2" name="Picture 2" descr="A picture containing graphical user inter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graphical user interface&#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81227" cy="3236398"/>
                    </a:xfrm>
                    <a:prstGeom prst="rect">
                      <a:avLst/>
                    </a:prstGeom>
                    <a:noFill/>
                  </pic:spPr>
                </pic:pic>
              </a:graphicData>
            </a:graphic>
            <wp14:sizeRelH relativeFrom="page">
              <wp14:pctWidth>0</wp14:pctWidth>
            </wp14:sizeRelH>
            <wp14:sizeRelV relativeFrom="page">
              <wp14:pctHeight>0</wp14:pctHeight>
            </wp14:sizeRelV>
          </wp:anchor>
        </w:drawing>
      </w:r>
    </w:p>
    <w:p w14:paraId="50EDC6B4" w14:textId="0848728A" w:rsidR="00973FBA" w:rsidRPr="0099572E" w:rsidRDefault="00973FBA" w:rsidP="00973FBA">
      <w:pPr>
        <w:jc w:val="both"/>
        <w:rPr>
          <w:rFonts w:ascii="Arial" w:hAnsi="Arial" w:cs="Arial"/>
        </w:rPr>
      </w:pPr>
    </w:p>
    <w:p w14:paraId="4CECBDDB" w14:textId="77777777" w:rsidR="00973FBA" w:rsidRPr="0099572E" w:rsidRDefault="00973FBA" w:rsidP="00973FBA">
      <w:pPr>
        <w:jc w:val="both"/>
        <w:rPr>
          <w:rFonts w:ascii="Arial" w:hAnsi="Arial" w:cs="Arial"/>
        </w:rPr>
      </w:pPr>
    </w:p>
    <w:p w14:paraId="313C6BED" w14:textId="77777777" w:rsidR="00973FBA" w:rsidRPr="0099572E" w:rsidRDefault="00973FBA" w:rsidP="00973FBA">
      <w:pPr>
        <w:jc w:val="both"/>
        <w:rPr>
          <w:rFonts w:ascii="Arial" w:hAnsi="Arial" w:cs="Arial"/>
        </w:rPr>
      </w:pPr>
    </w:p>
    <w:p w14:paraId="7605361D" w14:textId="77777777" w:rsidR="00973FBA" w:rsidRPr="0099572E" w:rsidRDefault="00973FBA" w:rsidP="00973FBA">
      <w:pPr>
        <w:jc w:val="both"/>
        <w:rPr>
          <w:rFonts w:ascii="Arial" w:hAnsi="Arial" w:cs="Arial"/>
        </w:rPr>
      </w:pPr>
    </w:p>
    <w:p w14:paraId="40FA00A1" w14:textId="77777777" w:rsidR="00973FBA" w:rsidRPr="0099572E" w:rsidRDefault="00973FBA" w:rsidP="00973FBA">
      <w:pPr>
        <w:jc w:val="both"/>
        <w:rPr>
          <w:rFonts w:ascii="Arial" w:hAnsi="Arial" w:cs="Arial"/>
        </w:rPr>
      </w:pPr>
    </w:p>
    <w:p w14:paraId="51F6F156" w14:textId="77777777" w:rsidR="00973FBA" w:rsidRPr="0099572E" w:rsidRDefault="00973FBA" w:rsidP="00973FBA">
      <w:pPr>
        <w:jc w:val="both"/>
        <w:rPr>
          <w:rFonts w:ascii="Arial" w:hAnsi="Arial" w:cs="Arial"/>
        </w:rPr>
      </w:pPr>
    </w:p>
    <w:p w14:paraId="099549B6" w14:textId="77777777" w:rsidR="00973FBA" w:rsidRPr="0099572E" w:rsidRDefault="00973FBA" w:rsidP="00973FBA">
      <w:pPr>
        <w:jc w:val="both"/>
        <w:rPr>
          <w:rFonts w:ascii="Arial" w:hAnsi="Arial" w:cs="Arial"/>
        </w:rPr>
      </w:pPr>
    </w:p>
    <w:p w14:paraId="3F3979F3" w14:textId="77777777" w:rsidR="00973FBA" w:rsidRPr="0099572E" w:rsidRDefault="00973FBA" w:rsidP="00973FBA">
      <w:pPr>
        <w:jc w:val="both"/>
        <w:rPr>
          <w:rFonts w:ascii="Arial" w:hAnsi="Arial" w:cs="Arial"/>
        </w:rPr>
      </w:pPr>
    </w:p>
    <w:p w14:paraId="1B0826E9" w14:textId="77777777" w:rsidR="00973FBA" w:rsidRPr="0099572E" w:rsidRDefault="00973FBA" w:rsidP="00973FBA">
      <w:pPr>
        <w:jc w:val="both"/>
        <w:rPr>
          <w:rFonts w:ascii="Arial" w:hAnsi="Arial" w:cs="Arial"/>
        </w:rPr>
      </w:pPr>
    </w:p>
    <w:p w14:paraId="22C98500" w14:textId="77777777" w:rsidR="00973FBA" w:rsidRPr="0099572E" w:rsidRDefault="00973FBA" w:rsidP="00973FBA">
      <w:pPr>
        <w:jc w:val="both"/>
        <w:rPr>
          <w:rFonts w:ascii="Arial" w:hAnsi="Arial" w:cs="Arial"/>
        </w:rPr>
      </w:pPr>
    </w:p>
    <w:p w14:paraId="28000800" w14:textId="77777777" w:rsidR="00973FBA" w:rsidRPr="0099572E" w:rsidRDefault="00973FBA" w:rsidP="00973FBA">
      <w:pPr>
        <w:jc w:val="both"/>
        <w:rPr>
          <w:rFonts w:ascii="Arial" w:hAnsi="Arial" w:cs="Arial"/>
        </w:rPr>
      </w:pPr>
    </w:p>
    <w:p w14:paraId="243FA7EA" w14:textId="77777777" w:rsidR="00973FBA" w:rsidRPr="0099572E" w:rsidRDefault="00973FBA" w:rsidP="00973FBA">
      <w:pPr>
        <w:jc w:val="both"/>
        <w:rPr>
          <w:rFonts w:ascii="Arial" w:hAnsi="Arial" w:cs="Arial"/>
        </w:rPr>
      </w:pPr>
    </w:p>
    <w:p w14:paraId="39199386" w14:textId="77777777" w:rsidR="00973FBA" w:rsidRPr="0099572E" w:rsidRDefault="00973FBA" w:rsidP="00973FBA">
      <w:pPr>
        <w:jc w:val="both"/>
        <w:rPr>
          <w:rFonts w:ascii="Arial" w:hAnsi="Arial" w:cs="Arial"/>
        </w:rPr>
      </w:pPr>
    </w:p>
    <w:p w14:paraId="253D5B84" w14:textId="77777777" w:rsidR="00973FBA" w:rsidRPr="0099572E" w:rsidRDefault="00973FBA" w:rsidP="00973FBA">
      <w:pPr>
        <w:jc w:val="both"/>
        <w:rPr>
          <w:rFonts w:ascii="Arial" w:hAnsi="Arial" w:cs="Arial"/>
        </w:rPr>
      </w:pPr>
    </w:p>
    <w:p w14:paraId="3DEC96A5" w14:textId="77777777" w:rsidR="00973FBA" w:rsidRPr="0099572E" w:rsidRDefault="00973FBA" w:rsidP="00973FBA">
      <w:pPr>
        <w:jc w:val="both"/>
        <w:rPr>
          <w:rFonts w:ascii="Arial" w:hAnsi="Arial" w:cs="Arial"/>
        </w:rPr>
      </w:pPr>
    </w:p>
    <w:p w14:paraId="385BFA8E" w14:textId="77777777" w:rsidR="00973FBA" w:rsidRPr="0099572E" w:rsidRDefault="00973FBA" w:rsidP="00973FBA">
      <w:pPr>
        <w:jc w:val="both"/>
        <w:rPr>
          <w:rFonts w:ascii="Arial" w:hAnsi="Arial" w:cs="Arial"/>
        </w:rPr>
      </w:pPr>
    </w:p>
    <w:p w14:paraId="3BA7DF6B" w14:textId="77777777" w:rsidR="00973FBA" w:rsidRPr="0099572E" w:rsidRDefault="00973FBA" w:rsidP="00973FBA">
      <w:pPr>
        <w:jc w:val="both"/>
        <w:rPr>
          <w:rFonts w:ascii="Arial" w:hAnsi="Arial" w:cs="Arial"/>
        </w:rPr>
      </w:pPr>
    </w:p>
    <w:p w14:paraId="3232F0CD" w14:textId="77777777" w:rsidR="00973FBA" w:rsidRPr="0099572E" w:rsidRDefault="00973FBA" w:rsidP="00973FBA">
      <w:pPr>
        <w:jc w:val="both"/>
        <w:rPr>
          <w:rFonts w:ascii="Arial" w:hAnsi="Arial" w:cs="Arial"/>
        </w:rPr>
      </w:pPr>
    </w:p>
    <w:p w14:paraId="674CB5A6" w14:textId="77777777" w:rsidR="00973FBA" w:rsidRPr="0099572E" w:rsidRDefault="00973FBA" w:rsidP="00973FBA">
      <w:pPr>
        <w:jc w:val="both"/>
        <w:rPr>
          <w:rFonts w:ascii="Arial" w:hAnsi="Arial" w:cs="Arial"/>
        </w:rPr>
      </w:pPr>
    </w:p>
    <w:p w14:paraId="0D0A94E6" w14:textId="77777777" w:rsidR="00973FBA" w:rsidRDefault="00973FBA" w:rsidP="00973FBA">
      <w:pPr>
        <w:tabs>
          <w:tab w:val="left" w:pos="284"/>
        </w:tabs>
        <w:spacing w:line="276" w:lineRule="auto"/>
        <w:jc w:val="both"/>
        <w:rPr>
          <w:rFonts w:ascii="Arial" w:hAnsi="Arial" w:cs="Arial"/>
          <w:b/>
          <w:bCs/>
        </w:rPr>
      </w:pPr>
    </w:p>
    <w:p w14:paraId="69FEF4A6" w14:textId="77777777" w:rsidR="00973FBA" w:rsidRPr="0099572E" w:rsidRDefault="00973FBA" w:rsidP="00973FBA">
      <w:pPr>
        <w:tabs>
          <w:tab w:val="left" w:pos="284"/>
        </w:tabs>
        <w:spacing w:line="276" w:lineRule="auto"/>
        <w:jc w:val="both"/>
        <w:rPr>
          <w:rFonts w:ascii="Arial" w:hAnsi="Arial" w:cs="Arial"/>
          <w:b/>
          <w:bCs/>
        </w:rPr>
      </w:pPr>
    </w:p>
    <w:p w14:paraId="74FC6DE0" w14:textId="77777777" w:rsidR="00973FBA" w:rsidRPr="0099572E" w:rsidRDefault="00973FBA" w:rsidP="00973FBA">
      <w:pPr>
        <w:tabs>
          <w:tab w:val="left" w:pos="284"/>
        </w:tabs>
        <w:spacing w:line="276" w:lineRule="auto"/>
        <w:jc w:val="both"/>
        <w:rPr>
          <w:rFonts w:ascii="Arial" w:hAnsi="Arial" w:cs="Arial"/>
        </w:rPr>
      </w:pPr>
      <w:r w:rsidRPr="0099572E">
        <w:rPr>
          <w:rFonts w:ascii="Arial" w:hAnsi="Arial" w:cs="Arial"/>
          <w:b/>
          <w:bCs/>
        </w:rPr>
        <w:t>Supplemental Figure 2. ILC2s gating strategy and pulmonary CD4</w:t>
      </w:r>
      <w:r w:rsidRPr="0099572E">
        <w:rPr>
          <w:rFonts w:ascii="Arial" w:hAnsi="Arial" w:cs="Arial"/>
          <w:b/>
          <w:bCs/>
          <w:vertAlign w:val="superscript"/>
        </w:rPr>
        <w:t>+</w:t>
      </w:r>
      <w:r w:rsidRPr="0099572E">
        <w:rPr>
          <w:rFonts w:ascii="Arial" w:hAnsi="Arial" w:cs="Arial"/>
          <w:b/>
          <w:bCs/>
        </w:rPr>
        <w:t xml:space="preserve"> T cell responses of </w:t>
      </w:r>
      <w:proofErr w:type="spellStart"/>
      <w:r w:rsidRPr="0099572E">
        <w:rPr>
          <w:rFonts w:ascii="Arial" w:hAnsi="Arial" w:cs="Arial"/>
          <w:b/>
          <w:bCs/>
          <w:i/>
          <w:iCs/>
        </w:rPr>
        <w:t>Chat</w:t>
      </w:r>
      <w:r w:rsidRPr="0099572E">
        <w:rPr>
          <w:rFonts w:ascii="Arial" w:hAnsi="Arial" w:cs="Arial"/>
          <w:b/>
          <w:bCs/>
          <w:vertAlign w:val="superscript"/>
        </w:rPr>
        <w:t>LoxP</w:t>
      </w:r>
      <w:proofErr w:type="spellEnd"/>
      <w:r w:rsidRPr="0099572E">
        <w:rPr>
          <w:rFonts w:ascii="Arial" w:hAnsi="Arial" w:cs="Arial"/>
          <w:b/>
          <w:bCs/>
          <w:vertAlign w:val="superscript"/>
        </w:rPr>
        <w:t xml:space="preserve"> </w:t>
      </w:r>
      <w:r w:rsidRPr="0099572E">
        <w:rPr>
          <w:rFonts w:ascii="Arial" w:hAnsi="Arial" w:cs="Arial"/>
          <w:b/>
          <w:bCs/>
        </w:rPr>
        <w:t xml:space="preserve">and </w:t>
      </w:r>
      <w:proofErr w:type="spellStart"/>
      <w:r w:rsidRPr="0099572E">
        <w:rPr>
          <w:rFonts w:ascii="Arial" w:hAnsi="Arial" w:cs="Arial"/>
          <w:b/>
          <w:bCs/>
          <w:i/>
          <w:iCs/>
        </w:rPr>
        <w:t>Rora</w:t>
      </w:r>
      <w:r w:rsidRPr="0099572E">
        <w:rPr>
          <w:rFonts w:ascii="Arial" w:hAnsi="Arial" w:cs="Arial"/>
          <w:b/>
          <w:bCs/>
          <w:vertAlign w:val="superscript"/>
        </w:rPr>
        <w:t>Cre+</w:t>
      </w:r>
      <w:r w:rsidRPr="0099572E">
        <w:rPr>
          <w:rFonts w:ascii="Arial" w:hAnsi="Arial" w:cs="Arial"/>
          <w:b/>
          <w:bCs/>
          <w:i/>
          <w:iCs/>
        </w:rPr>
        <w:t>Chat</w:t>
      </w:r>
      <w:r w:rsidRPr="0099572E">
        <w:rPr>
          <w:rFonts w:ascii="Arial" w:hAnsi="Arial" w:cs="Arial"/>
          <w:b/>
          <w:bCs/>
          <w:vertAlign w:val="superscript"/>
        </w:rPr>
        <w:t>LoxP</w:t>
      </w:r>
      <w:proofErr w:type="spellEnd"/>
      <w:r w:rsidRPr="0099572E">
        <w:rPr>
          <w:rFonts w:ascii="Arial" w:hAnsi="Arial" w:cs="Arial"/>
          <w:b/>
          <w:bCs/>
        </w:rPr>
        <w:t xml:space="preserve"> mice following exposure to </w:t>
      </w:r>
      <w:r w:rsidRPr="0099572E">
        <w:rPr>
          <w:rFonts w:ascii="Arial" w:hAnsi="Arial" w:cs="Arial"/>
          <w:b/>
          <w:bCs/>
          <w:i/>
          <w:iCs/>
        </w:rPr>
        <w:t xml:space="preserve">Alternaria </w:t>
      </w:r>
      <w:r w:rsidRPr="0099572E">
        <w:rPr>
          <w:rFonts w:ascii="Arial" w:hAnsi="Arial" w:cs="Arial"/>
          <w:b/>
          <w:bCs/>
        </w:rPr>
        <w:t xml:space="preserve">(related to Figure 2). A. </w:t>
      </w:r>
      <w:r w:rsidRPr="0099572E">
        <w:rPr>
          <w:rFonts w:ascii="Arial" w:hAnsi="Arial" w:cs="Arial"/>
        </w:rPr>
        <w:t>Representative gating strategy for lung ILC2s. ST2</w:t>
      </w:r>
      <w:r w:rsidRPr="0099572E">
        <w:rPr>
          <w:rFonts w:ascii="Arial" w:hAnsi="Arial" w:cs="Arial"/>
          <w:vertAlign w:val="superscript"/>
        </w:rPr>
        <w:t>+</w:t>
      </w:r>
      <w:r w:rsidRPr="0099572E">
        <w:rPr>
          <w:rFonts w:ascii="Arial" w:hAnsi="Arial" w:cs="Arial"/>
        </w:rPr>
        <w:t>ICOS</w:t>
      </w:r>
      <w:r w:rsidRPr="0099572E">
        <w:rPr>
          <w:rFonts w:ascii="Arial" w:hAnsi="Arial" w:cs="Arial"/>
          <w:vertAlign w:val="superscript"/>
        </w:rPr>
        <w:t>+</w:t>
      </w:r>
      <w:r w:rsidRPr="0099572E">
        <w:rPr>
          <w:rFonts w:ascii="Arial" w:hAnsi="Arial" w:cs="Arial"/>
        </w:rPr>
        <w:t xml:space="preserve"> gate for Gata3</w:t>
      </w:r>
      <w:r w:rsidRPr="0099572E">
        <w:rPr>
          <w:rFonts w:ascii="Arial" w:hAnsi="Arial" w:cs="Arial"/>
          <w:vertAlign w:val="superscript"/>
        </w:rPr>
        <w:t>hi</w:t>
      </w:r>
      <w:r w:rsidRPr="0099572E">
        <w:rPr>
          <w:rFonts w:ascii="Arial" w:hAnsi="Arial" w:cs="Arial"/>
        </w:rPr>
        <w:t xml:space="preserve"> ILC2s was set based on negative expression in the Gata3</w:t>
      </w:r>
      <w:r w:rsidRPr="0099572E">
        <w:rPr>
          <w:rFonts w:ascii="Arial" w:hAnsi="Arial" w:cs="Arial"/>
          <w:vertAlign w:val="superscript"/>
        </w:rPr>
        <w:t xml:space="preserve">lo, </w:t>
      </w:r>
      <w:r w:rsidRPr="0099572E">
        <w:rPr>
          <w:rFonts w:ascii="Arial" w:hAnsi="Arial" w:cs="Arial"/>
        </w:rPr>
        <w:t>non-ILC2s Lineage</w:t>
      </w:r>
      <w:r w:rsidRPr="0099572E">
        <w:rPr>
          <w:rFonts w:ascii="Arial" w:hAnsi="Arial" w:cs="Arial"/>
          <w:vertAlign w:val="superscript"/>
        </w:rPr>
        <w:t>-</w:t>
      </w:r>
      <w:r w:rsidRPr="0099572E">
        <w:rPr>
          <w:rFonts w:ascii="Arial" w:hAnsi="Arial" w:cs="Arial"/>
        </w:rPr>
        <w:t>CD127</w:t>
      </w:r>
      <w:r w:rsidRPr="0099572E">
        <w:rPr>
          <w:rFonts w:ascii="Arial" w:hAnsi="Arial" w:cs="Arial"/>
          <w:vertAlign w:val="superscript"/>
        </w:rPr>
        <w:t>+</w:t>
      </w:r>
      <w:r w:rsidRPr="0099572E">
        <w:rPr>
          <w:rFonts w:ascii="Arial" w:hAnsi="Arial" w:cs="Arial"/>
        </w:rPr>
        <w:t xml:space="preserve"> ILC population, as shown. </w:t>
      </w:r>
      <w:r w:rsidRPr="0099572E">
        <w:rPr>
          <w:rFonts w:ascii="Arial" w:hAnsi="Arial" w:cs="Arial"/>
          <w:b/>
          <w:bCs/>
        </w:rPr>
        <w:t xml:space="preserve">B. </w:t>
      </w:r>
      <w:r w:rsidRPr="0099572E">
        <w:rPr>
          <w:rFonts w:ascii="Arial" w:hAnsi="Arial" w:cs="Arial"/>
        </w:rPr>
        <w:t>Representative</w:t>
      </w:r>
      <w:r w:rsidRPr="0099572E">
        <w:rPr>
          <w:rFonts w:ascii="Arial" w:hAnsi="Arial" w:cs="Arial"/>
          <w:b/>
          <w:bCs/>
        </w:rPr>
        <w:t xml:space="preserve"> </w:t>
      </w:r>
      <w:r w:rsidRPr="0099572E">
        <w:rPr>
          <w:rFonts w:ascii="Arial" w:hAnsi="Arial" w:cs="Arial"/>
        </w:rPr>
        <w:t>gating strategy for IL-5 and IL-13 expression by total CD4+ T cells and Gata3</w:t>
      </w:r>
      <w:r w:rsidRPr="0099572E">
        <w:rPr>
          <w:rFonts w:ascii="Arial" w:hAnsi="Arial" w:cs="Arial"/>
          <w:vertAlign w:val="superscript"/>
        </w:rPr>
        <w:t>+</w:t>
      </w:r>
      <w:r w:rsidRPr="0099572E">
        <w:rPr>
          <w:rFonts w:ascii="Arial" w:hAnsi="Arial" w:cs="Arial"/>
        </w:rPr>
        <w:t>ST2</w:t>
      </w:r>
      <w:r w:rsidRPr="0099572E">
        <w:rPr>
          <w:rFonts w:ascii="Arial" w:hAnsi="Arial" w:cs="Arial"/>
          <w:vertAlign w:val="superscript"/>
        </w:rPr>
        <w:t>+</w:t>
      </w:r>
      <w:r w:rsidRPr="0099572E">
        <w:rPr>
          <w:rFonts w:ascii="Arial" w:hAnsi="Arial" w:cs="Arial"/>
        </w:rPr>
        <w:t xml:space="preserve"> Th2 cells in the lung. Cells were pre-gated as live, CD45+ single cells with low forward and side scatter. </w:t>
      </w:r>
      <w:r w:rsidRPr="0099572E">
        <w:rPr>
          <w:rFonts w:ascii="Arial" w:hAnsi="Arial" w:cs="Arial"/>
          <w:b/>
          <w:bCs/>
        </w:rPr>
        <w:t>C</w:t>
      </w:r>
      <w:r w:rsidRPr="0099572E">
        <w:rPr>
          <w:rFonts w:ascii="Arial" w:hAnsi="Arial" w:cs="Arial"/>
        </w:rPr>
        <w:t>. Proportion of IL-5</w:t>
      </w:r>
      <w:r w:rsidRPr="0099572E">
        <w:rPr>
          <w:rFonts w:ascii="Arial" w:hAnsi="Arial" w:cs="Arial"/>
          <w:vertAlign w:val="superscript"/>
        </w:rPr>
        <w:t>+</w:t>
      </w:r>
      <w:r w:rsidRPr="0099572E">
        <w:rPr>
          <w:rFonts w:ascii="Arial" w:hAnsi="Arial" w:cs="Arial"/>
          <w:b/>
          <w:bCs/>
        </w:rPr>
        <w:t xml:space="preserve"> </w:t>
      </w:r>
      <w:r w:rsidRPr="0099572E">
        <w:rPr>
          <w:rFonts w:ascii="Arial" w:hAnsi="Arial" w:cs="Arial"/>
        </w:rPr>
        <w:t>total CD4</w:t>
      </w:r>
      <w:r w:rsidRPr="0099572E">
        <w:rPr>
          <w:rFonts w:ascii="Arial" w:hAnsi="Arial" w:cs="Arial"/>
          <w:vertAlign w:val="superscript"/>
        </w:rPr>
        <w:t>+</w:t>
      </w:r>
      <w:r w:rsidRPr="0099572E">
        <w:rPr>
          <w:rFonts w:ascii="Arial" w:hAnsi="Arial" w:cs="Arial"/>
        </w:rPr>
        <w:t xml:space="preserve"> T cells.</w:t>
      </w:r>
      <w:r w:rsidRPr="0099572E">
        <w:rPr>
          <w:rFonts w:ascii="Arial" w:hAnsi="Arial" w:cs="Arial"/>
          <w:b/>
          <w:bCs/>
        </w:rPr>
        <w:t xml:space="preserve"> D. </w:t>
      </w:r>
      <w:r w:rsidRPr="0099572E">
        <w:rPr>
          <w:rFonts w:ascii="Arial" w:hAnsi="Arial" w:cs="Arial"/>
        </w:rPr>
        <w:t>Proportion of IL-13</w:t>
      </w:r>
      <w:r w:rsidRPr="0099572E">
        <w:rPr>
          <w:rFonts w:ascii="Arial" w:hAnsi="Arial" w:cs="Arial"/>
          <w:vertAlign w:val="superscript"/>
        </w:rPr>
        <w:t>+</w:t>
      </w:r>
      <w:r w:rsidRPr="0099572E">
        <w:rPr>
          <w:rFonts w:ascii="Arial" w:hAnsi="Arial" w:cs="Arial"/>
          <w:b/>
          <w:bCs/>
        </w:rPr>
        <w:t xml:space="preserve"> </w:t>
      </w:r>
      <w:r w:rsidRPr="0099572E">
        <w:rPr>
          <w:rFonts w:ascii="Arial" w:hAnsi="Arial" w:cs="Arial"/>
        </w:rPr>
        <w:t>total</w:t>
      </w:r>
      <w:r w:rsidRPr="0099572E">
        <w:rPr>
          <w:rFonts w:ascii="Arial" w:hAnsi="Arial" w:cs="Arial"/>
          <w:b/>
          <w:bCs/>
        </w:rPr>
        <w:t xml:space="preserve"> </w:t>
      </w:r>
      <w:r w:rsidRPr="0099572E">
        <w:rPr>
          <w:rFonts w:ascii="Arial" w:hAnsi="Arial" w:cs="Arial"/>
        </w:rPr>
        <w:t>CD4+ T cells.</w:t>
      </w:r>
      <w:r w:rsidRPr="0099572E">
        <w:rPr>
          <w:rFonts w:ascii="Arial" w:hAnsi="Arial" w:cs="Arial"/>
          <w:b/>
          <w:bCs/>
        </w:rPr>
        <w:t xml:space="preserve">  E. </w:t>
      </w:r>
      <w:r w:rsidRPr="0099572E">
        <w:rPr>
          <w:rFonts w:ascii="Arial" w:hAnsi="Arial" w:cs="Arial"/>
        </w:rPr>
        <w:t>Proportion of IL-5</w:t>
      </w:r>
      <w:r w:rsidRPr="0099572E">
        <w:rPr>
          <w:rFonts w:ascii="Arial" w:hAnsi="Arial" w:cs="Arial"/>
          <w:vertAlign w:val="superscript"/>
        </w:rPr>
        <w:t>+</w:t>
      </w:r>
      <w:r w:rsidRPr="0099572E">
        <w:rPr>
          <w:rFonts w:ascii="Arial" w:hAnsi="Arial" w:cs="Arial"/>
        </w:rPr>
        <w:t>IL-13</w:t>
      </w:r>
      <w:r w:rsidRPr="0099572E">
        <w:rPr>
          <w:rFonts w:ascii="Arial" w:hAnsi="Arial" w:cs="Arial"/>
          <w:vertAlign w:val="superscript"/>
        </w:rPr>
        <w:t>+</w:t>
      </w:r>
      <w:r w:rsidRPr="0099572E">
        <w:rPr>
          <w:rFonts w:ascii="Arial" w:hAnsi="Arial" w:cs="Arial"/>
          <w:b/>
          <w:bCs/>
        </w:rPr>
        <w:t xml:space="preserve"> </w:t>
      </w:r>
      <w:r w:rsidRPr="0099572E">
        <w:rPr>
          <w:rFonts w:ascii="Arial" w:hAnsi="Arial" w:cs="Arial"/>
        </w:rPr>
        <w:t>total CD4</w:t>
      </w:r>
      <w:r w:rsidRPr="0099572E">
        <w:rPr>
          <w:rFonts w:ascii="Arial" w:hAnsi="Arial" w:cs="Arial"/>
          <w:vertAlign w:val="superscript"/>
        </w:rPr>
        <w:t>+</w:t>
      </w:r>
      <w:r w:rsidRPr="0099572E">
        <w:rPr>
          <w:rFonts w:ascii="Arial" w:hAnsi="Arial" w:cs="Arial"/>
        </w:rPr>
        <w:t xml:space="preserve"> T cells</w:t>
      </w:r>
      <w:r w:rsidRPr="0099572E">
        <w:rPr>
          <w:rFonts w:ascii="Arial" w:hAnsi="Arial" w:cs="Arial"/>
          <w:b/>
          <w:bCs/>
        </w:rPr>
        <w:t xml:space="preserve">.  F. </w:t>
      </w:r>
      <w:r w:rsidRPr="0099572E">
        <w:rPr>
          <w:rFonts w:ascii="Arial" w:hAnsi="Arial" w:cs="Arial"/>
        </w:rPr>
        <w:t>Mean fluorescence intensity (MFI) of IL-5 staining for IL-5</w:t>
      </w:r>
      <w:r w:rsidRPr="0099572E">
        <w:rPr>
          <w:rFonts w:ascii="Arial" w:hAnsi="Arial" w:cs="Arial"/>
          <w:vertAlign w:val="superscript"/>
        </w:rPr>
        <w:t>+</w:t>
      </w:r>
      <w:r w:rsidRPr="0099572E">
        <w:rPr>
          <w:rFonts w:ascii="Arial" w:hAnsi="Arial" w:cs="Arial"/>
          <w:b/>
          <w:bCs/>
        </w:rPr>
        <w:t xml:space="preserve"> </w:t>
      </w:r>
      <w:r w:rsidRPr="0099572E">
        <w:rPr>
          <w:rFonts w:ascii="Arial" w:hAnsi="Arial" w:cs="Arial"/>
        </w:rPr>
        <w:t>total CD4</w:t>
      </w:r>
      <w:r w:rsidRPr="0099572E">
        <w:rPr>
          <w:rFonts w:ascii="Arial" w:hAnsi="Arial" w:cs="Arial"/>
          <w:vertAlign w:val="superscript"/>
        </w:rPr>
        <w:t>+</w:t>
      </w:r>
      <w:r w:rsidRPr="0099572E">
        <w:rPr>
          <w:rFonts w:ascii="Arial" w:hAnsi="Arial" w:cs="Arial"/>
        </w:rPr>
        <w:t xml:space="preserve"> T cells.</w:t>
      </w:r>
      <w:r w:rsidRPr="0099572E">
        <w:rPr>
          <w:rFonts w:ascii="Arial" w:hAnsi="Arial" w:cs="Arial"/>
          <w:b/>
          <w:bCs/>
        </w:rPr>
        <w:t xml:space="preserve"> G. </w:t>
      </w:r>
      <w:r w:rsidRPr="0099572E">
        <w:rPr>
          <w:rFonts w:ascii="Arial" w:hAnsi="Arial" w:cs="Arial"/>
        </w:rPr>
        <w:t>MFI of</w:t>
      </w:r>
      <w:r w:rsidRPr="0099572E">
        <w:rPr>
          <w:rFonts w:ascii="Arial" w:hAnsi="Arial" w:cs="Arial"/>
          <w:b/>
          <w:bCs/>
        </w:rPr>
        <w:t xml:space="preserve"> </w:t>
      </w:r>
      <w:r w:rsidRPr="0099572E">
        <w:rPr>
          <w:rFonts w:ascii="Arial" w:hAnsi="Arial" w:cs="Arial"/>
        </w:rPr>
        <w:t>IL-13 staining for IL-13</w:t>
      </w:r>
      <w:r w:rsidRPr="0099572E">
        <w:rPr>
          <w:rFonts w:ascii="Arial" w:hAnsi="Arial" w:cs="Arial"/>
          <w:vertAlign w:val="superscript"/>
        </w:rPr>
        <w:t>+</w:t>
      </w:r>
      <w:r w:rsidRPr="0099572E">
        <w:rPr>
          <w:rFonts w:ascii="Arial" w:hAnsi="Arial" w:cs="Arial"/>
        </w:rPr>
        <w:t xml:space="preserve"> total CD4</w:t>
      </w:r>
      <w:r w:rsidRPr="0099572E">
        <w:rPr>
          <w:rFonts w:ascii="Arial" w:hAnsi="Arial" w:cs="Arial"/>
          <w:vertAlign w:val="superscript"/>
        </w:rPr>
        <w:t>+</w:t>
      </w:r>
      <w:r w:rsidRPr="0099572E">
        <w:rPr>
          <w:rFonts w:ascii="Arial" w:hAnsi="Arial" w:cs="Arial"/>
        </w:rPr>
        <w:t xml:space="preserve"> T cells.</w:t>
      </w:r>
      <w:r w:rsidRPr="0099572E">
        <w:rPr>
          <w:rFonts w:ascii="Arial" w:hAnsi="Arial" w:cs="Arial"/>
          <w:b/>
          <w:bCs/>
        </w:rPr>
        <w:t xml:space="preserve"> H. I. </w:t>
      </w:r>
      <w:r w:rsidRPr="0099572E">
        <w:rPr>
          <w:rFonts w:ascii="Arial" w:hAnsi="Arial" w:cs="Arial"/>
        </w:rPr>
        <w:t>Proportion of IL-5</w:t>
      </w:r>
      <w:r w:rsidRPr="0099572E">
        <w:rPr>
          <w:rFonts w:ascii="Arial" w:hAnsi="Arial" w:cs="Arial"/>
          <w:vertAlign w:val="superscript"/>
        </w:rPr>
        <w:t>+</w:t>
      </w:r>
      <w:r w:rsidRPr="0099572E">
        <w:rPr>
          <w:rFonts w:ascii="Arial" w:hAnsi="Arial" w:cs="Arial"/>
          <w:b/>
          <w:bCs/>
        </w:rPr>
        <w:t xml:space="preserve"> </w:t>
      </w:r>
      <w:r w:rsidRPr="0099572E">
        <w:rPr>
          <w:rFonts w:ascii="Arial" w:hAnsi="Arial" w:cs="Arial"/>
        </w:rPr>
        <w:t>Th2 cells.</w:t>
      </w:r>
      <w:r w:rsidRPr="0099572E">
        <w:rPr>
          <w:rFonts w:ascii="Arial" w:hAnsi="Arial" w:cs="Arial"/>
          <w:b/>
          <w:bCs/>
        </w:rPr>
        <w:t xml:space="preserve">  J. </w:t>
      </w:r>
      <w:r w:rsidRPr="0099572E">
        <w:rPr>
          <w:rFonts w:ascii="Arial" w:hAnsi="Arial" w:cs="Arial"/>
        </w:rPr>
        <w:t>Proportion of IL-13</w:t>
      </w:r>
      <w:r w:rsidRPr="0099572E">
        <w:rPr>
          <w:rFonts w:ascii="Arial" w:hAnsi="Arial" w:cs="Arial"/>
          <w:vertAlign w:val="superscript"/>
        </w:rPr>
        <w:t>+</w:t>
      </w:r>
      <w:r w:rsidRPr="0099572E">
        <w:rPr>
          <w:rFonts w:ascii="Arial" w:hAnsi="Arial" w:cs="Arial"/>
          <w:b/>
          <w:bCs/>
        </w:rPr>
        <w:t xml:space="preserve"> </w:t>
      </w:r>
      <w:r w:rsidRPr="0099572E">
        <w:rPr>
          <w:rFonts w:ascii="Arial" w:hAnsi="Arial" w:cs="Arial"/>
        </w:rPr>
        <w:t>Th2 cells.</w:t>
      </w:r>
      <w:r w:rsidRPr="0099572E">
        <w:rPr>
          <w:rFonts w:ascii="Arial" w:hAnsi="Arial" w:cs="Arial"/>
          <w:b/>
          <w:bCs/>
        </w:rPr>
        <w:t xml:space="preserve"> K. </w:t>
      </w:r>
      <w:r w:rsidRPr="0099572E">
        <w:rPr>
          <w:rFonts w:ascii="Arial" w:hAnsi="Arial" w:cs="Arial"/>
        </w:rPr>
        <w:t>Proportion of IL-5</w:t>
      </w:r>
      <w:r w:rsidRPr="0099572E">
        <w:rPr>
          <w:rFonts w:ascii="Arial" w:hAnsi="Arial" w:cs="Arial"/>
          <w:vertAlign w:val="superscript"/>
        </w:rPr>
        <w:t>+</w:t>
      </w:r>
      <w:r w:rsidRPr="0099572E">
        <w:rPr>
          <w:rFonts w:ascii="Arial" w:hAnsi="Arial" w:cs="Arial"/>
        </w:rPr>
        <w:t>IL-13</w:t>
      </w:r>
      <w:r w:rsidRPr="0099572E">
        <w:rPr>
          <w:rFonts w:ascii="Arial" w:hAnsi="Arial" w:cs="Arial"/>
          <w:vertAlign w:val="superscript"/>
        </w:rPr>
        <w:t>+</w:t>
      </w:r>
      <w:r w:rsidRPr="0099572E">
        <w:rPr>
          <w:rFonts w:ascii="Arial" w:hAnsi="Arial" w:cs="Arial"/>
          <w:b/>
          <w:bCs/>
        </w:rPr>
        <w:t xml:space="preserve"> </w:t>
      </w:r>
      <w:r w:rsidRPr="0099572E">
        <w:rPr>
          <w:rFonts w:ascii="Arial" w:hAnsi="Arial" w:cs="Arial"/>
        </w:rPr>
        <w:t>Th2 cells</w:t>
      </w:r>
      <w:r w:rsidRPr="0099572E">
        <w:rPr>
          <w:rFonts w:ascii="Arial" w:hAnsi="Arial" w:cs="Arial"/>
          <w:b/>
          <w:bCs/>
        </w:rPr>
        <w:t xml:space="preserve"> L.</w:t>
      </w:r>
      <w:r w:rsidRPr="0099572E">
        <w:rPr>
          <w:rFonts w:ascii="Arial" w:hAnsi="Arial" w:cs="Arial"/>
        </w:rPr>
        <w:t xml:space="preserve"> MFI of</w:t>
      </w:r>
      <w:r w:rsidRPr="0099572E">
        <w:rPr>
          <w:rFonts w:ascii="Arial" w:hAnsi="Arial" w:cs="Arial"/>
          <w:b/>
          <w:bCs/>
        </w:rPr>
        <w:t xml:space="preserve"> </w:t>
      </w:r>
      <w:r w:rsidRPr="0099572E">
        <w:rPr>
          <w:rFonts w:ascii="Arial" w:hAnsi="Arial" w:cs="Arial"/>
        </w:rPr>
        <w:t>IL-5 staining for IL-5</w:t>
      </w:r>
      <w:r w:rsidRPr="0099572E">
        <w:rPr>
          <w:rFonts w:ascii="Arial" w:hAnsi="Arial" w:cs="Arial"/>
          <w:vertAlign w:val="superscript"/>
        </w:rPr>
        <w:t>+</w:t>
      </w:r>
      <w:r w:rsidRPr="0099572E">
        <w:rPr>
          <w:rFonts w:ascii="Arial" w:hAnsi="Arial" w:cs="Arial"/>
        </w:rPr>
        <w:t xml:space="preserve"> Th2 cells</w:t>
      </w:r>
      <w:r w:rsidRPr="0099572E">
        <w:rPr>
          <w:rFonts w:ascii="Arial" w:hAnsi="Arial" w:cs="Arial"/>
          <w:b/>
          <w:bCs/>
        </w:rPr>
        <w:t xml:space="preserve"> M. </w:t>
      </w:r>
      <w:r w:rsidRPr="0099572E">
        <w:rPr>
          <w:rFonts w:ascii="Arial" w:hAnsi="Arial" w:cs="Arial"/>
        </w:rPr>
        <w:t>MFI of</w:t>
      </w:r>
      <w:r w:rsidRPr="0099572E">
        <w:rPr>
          <w:rFonts w:ascii="Arial" w:hAnsi="Arial" w:cs="Arial"/>
          <w:b/>
          <w:bCs/>
        </w:rPr>
        <w:t xml:space="preserve"> </w:t>
      </w:r>
      <w:r w:rsidRPr="0099572E">
        <w:rPr>
          <w:rFonts w:ascii="Arial" w:hAnsi="Arial" w:cs="Arial"/>
        </w:rPr>
        <w:t>IL-13 staining for IL-13</w:t>
      </w:r>
      <w:r w:rsidRPr="0099572E">
        <w:rPr>
          <w:rFonts w:ascii="Arial" w:hAnsi="Arial" w:cs="Arial"/>
          <w:vertAlign w:val="superscript"/>
        </w:rPr>
        <w:t>+</w:t>
      </w:r>
      <w:r w:rsidRPr="0099572E">
        <w:rPr>
          <w:rFonts w:ascii="Arial" w:hAnsi="Arial" w:cs="Arial"/>
        </w:rPr>
        <w:t xml:space="preserve"> Th2 cells. MFI data </w:t>
      </w:r>
      <w:r w:rsidRPr="0099572E">
        <w:rPr>
          <w:rFonts w:ascii="Arial" w:hAnsi="Arial" w:cs="Arial"/>
          <w:b/>
          <w:bCs/>
        </w:rPr>
        <w:t xml:space="preserve">F-G </w:t>
      </w:r>
      <w:r w:rsidRPr="0099572E">
        <w:rPr>
          <w:rFonts w:ascii="Arial" w:hAnsi="Arial" w:cs="Arial"/>
        </w:rPr>
        <w:t xml:space="preserve">and </w:t>
      </w:r>
      <w:r w:rsidRPr="0099572E">
        <w:rPr>
          <w:rFonts w:ascii="Arial" w:hAnsi="Arial" w:cs="Arial"/>
          <w:b/>
          <w:bCs/>
        </w:rPr>
        <w:t>L-M</w:t>
      </w:r>
      <w:r w:rsidRPr="0099572E">
        <w:rPr>
          <w:rFonts w:ascii="Arial" w:hAnsi="Arial" w:cs="Arial"/>
        </w:rPr>
        <w:t xml:space="preserve"> are </w:t>
      </w:r>
      <w:proofErr w:type="spellStart"/>
      <w:r w:rsidRPr="0099572E">
        <w:rPr>
          <w:rFonts w:ascii="Arial" w:hAnsi="Arial" w:cs="Arial"/>
        </w:rPr>
        <w:t>normalised</w:t>
      </w:r>
      <w:proofErr w:type="spellEnd"/>
      <w:r w:rsidRPr="0099572E">
        <w:rPr>
          <w:rFonts w:ascii="Arial" w:hAnsi="Arial" w:cs="Arial"/>
        </w:rPr>
        <w:t xml:space="preserve"> to the mean of PBS control values. Numbers on the flow cytometry plots indicate proportion of the indicated parent population. Data points represent individual animals. Data show pooled data points from 2 independent experiments with n=3 C57BL/6J mice per group and n=4-5 </w:t>
      </w:r>
      <w:proofErr w:type="spellStart"/>
      <w:r w:rsidRPr="0099572E">
        <w:rPr>
          <w:rFonts w:ascii="Arial" w:hAnsi="Arial" w:cs="Arial"/>
          <w:i/>
          <w:iCs/>
        </w:rPr>
        <w:t>Rora</w:t>
      </w:r>
      <w:r w:rsidRPr="0099572E">
        <w:rPr>
          <w:rFonts w:ascii="Arial" w:hAnsi="Arial" w:cs="Arial"/>
          <w:vertAlign w:val="superscript"/>
        </w:rPr>
        <w:t>Cre+</w:t>
      </w:r>
      <w:proofErr w:type="gramStart"/>
      <w:r w:rsidRPr="0099572E">
        <w:rPr>
          <w:rFonts w:ascii="Arial" w:hAnsi="Arial" w:cs="Arial"/>
          <w:i/>
          <w:iCs/>
        </w:rPr>
        <w:t>Chat</w:t>
      </w:r>
      <w:r w:rsidRPr="0099572E">
        <w:rPr>
          <w:rFonts w:ascii="Arial" w:hAnsi="Arial" w:cs="Arial"/>
          <w:vertAlign w:val="superscript"/>
        </w:rPr>
        <w:t>LoxP</w:t>
      </w:r>
      <w:proofErr w:type="spellEnd"/>
      <w:r w:rsidRPr="0099572E">
        <w:rPr>
          <w:rFonts w:ascii="Arial" w:hAnsi="Arial" w:cs="Arial"/>
          <w:vertAlign w:val="superscript"/>
        </w:rPr>
        <w:t xml:space="preserve">  </w:t>
      </w:r>
      <w:r w:rsidRPr="0099572E">
        <w:rPr>
          <w:rFonts w:ascii="Arial" w:hAnsi="Arial" w:cs="Arial"/>
        </w:rPr>
        <w:t>and</w:t>
      </w:r>
      <w:proofErr w:type="gramEnd"/>
      <w:r w:rsidRPr="0099572E">
        <w:rPr>
          <w:rFonts w:ascii="Arial" w:hAnsi="Arial" w:cs="Arial"/>
        </w:rPr>
        <w:t xml:space="preserve"> </w:t>
      </w:r>
      <w:proofErr w:type="spellStart"/>
      <w:r w:rsidRPr="0099572E">
        <w:rPr>
          <w:rFonts w:ascii="Arial" w:hAnsi="Arial" w:cs="Arial"/>
          <w:i/>
          <w:iCs/>
        </w:rPr>
        <w:t>Chat</w:t>
      </w:r>
      <w:r w:rsidRPr="0099572E">
        <w:rPr>
          <w:rFonts w:ascii="Arial" w:hAnsi="Arial" w:cs="Arial"/>
          <w:vertAlign w:val="superscript"/>
        </w:rPr>
        <w:t>LoxP</w:t>
      </w:r>
      <w:proofErr w:type="spellEnd"/>
      <w:r w:rsidRPr="0099572E">
        <w:rPr>
          <w:rFonts w:ascii="Arial" w:hAnsi="Arial" w:cs="Arial"/>
        </w:rPr>
        <w:t xml:space="preserve"> mice per experiment. *p&lt;0.05, **p&lt;0.01, ***p&lt;0.001, ns = non-significant difference (</w:t>
      </w:r>
      <w:r w:rsidRPr="0099572E">
        <w:rPr>
          <w:rFonts w:ascii="Arial" w:hAnsi="Arial" w:cs="Arial"/>
          <w:i/>
        </w:rPr>
        <w:t>p</w:t>
      </w:r>
      <w:r w:rsidRPr="0099572E">
        <w:rPr>
          <w:rFonts w:ascii="Arial" w:hAnsi="Arial" w:cs="Arial"/>
        </w:rPr>
        <w:t xml:space="preserve">&gt;0.05). </w:t>
      </w:r>
    </w:p>
    <w:p w14:paraId="131027F5" w14:textId="77777777" w:rsidR="00973FBA" w:rsidRPr="0099572E" w:rsidRDefault="00973FBA" w:rsidP="00973FBA">
      <w:pPr>
        <w:jc w:val="both"/>
        <w:rPr>
          <w:rFonts w:ascii="Arial" w:hAnsi="Arial" w:cs="Arial"/>
        </w:rPr>
      </w:pPr>
    </w:p>
    <w:p w14:paraId="6DD9A5F6" w14:textId="77777777" w:rsidR="00973FBA" w:rsidRPr="0099572E" w:rsidRDefault="00973FBA" w:rsidP="00973FBA">
      <w:pPr>
        <w:jc w:val="both"/>
        <w:rPr>
          <w:rFonts w:ascii="Arial" w:hAnsi="Arial" w:cs="Arial"/>
        </w:rPr>
      </w:pPr>
    </w:p>
    <w:p w14:paraId="51C0C4E7" w14:textId="77777777" w:rsidR="00973FBA" w:rsidRPr="0099572E" w:rsidRDefault="00973FBA" w:rsidP="00973FBA">
      <w:pPr>
        <w:jc w:val="both"/>
        <w:rPr>
          <w:rFonts w:ascii="Arial" w:hAnsi="Arial" w:cs="Arial"/>
        </w:rPr>
      </w:pPr>
    </w:p>
    <w:p w14:paraId="6B4EB98B" w14:textId="77777777" w:rsidR="00973FBA" w:rsidRPr="0099572E" w:rsidRDefault="00973FBA" w:rsidP="00973FBA">
      <w:pPr>
        <w:jc w:val="both"/>
        <w:rPr>
          <w:rFonts w:ascii="Arial" w:hAnsi="Arial" w:cs="Arial"/>
        </w:rPr>
      </w:pPr>
    </w:p>
    <w:p w14:paraId="4630EB5A" w14:textId="77777777" w:rsidR="00973FBA" w:rsidRPr="0099572E" w:rsidRDefault="00973FBA" w:rsidP="00973FBA">
      <w:pPr>
        <w:jc w:val="both"/>
        <w:rPr>
          <w:rFonts w:ascii="Arial" w:hAnsi="Arial" w:cs="Arial"/>
        </w:rPr>
      </w:pPr>
    </w:p>
    <w:p w14:paraId="5DC1BE39" w14:textId="77777777" w:rsidR="00973FBA" w:rsidRPr="0099572E" w:rsidRDefault="00973FBA" w:rsidP="00973FBA">
      <w:pPr>
        <w:jc w:val="both"/>
        <w:rPr>
          <w:rFonts w:ascii="Arial" w:hAnsi="Arial" w:cs="Arial"/>
        </w:rPr>
      </w:pPr>
    </w:p>
    <w:p w14:paraId="6CAB8B70" w14:textId="77777777" w:rsidR="00973FBA" w:rsidRPr="0099572E" w:rsidRDefault="00973FBA" w:rsidP="00973FBA">
      <w:pPr>
        <w:jc w:val="both"/>
        <w:rPr>
          <w:rFonts w:ascii="Arial" w:hAnsi="Arial" w:cs="Arial"/>
        </w:rPr>
      </w:pPr>
    </w:p>
    <w:p w14:paraId="0C1135C3" w14:textId="77777777" w:rsidR="00973FBA" w:rsidRPr="0099572E" w:rsidRDefault="00973FBA" w:rsidP="00973FBA">
      <w:pPr>
        <w:jc w:val="both"/>
        <w:rPr>
          <w:rFonts w:ascii="Arial" w:hAnsi="Arial" w:cs="Arial"/>
        </w:rPr>
      </w:pPr>
    </w:p>
    <w:p w14:paraId="0B4826E0" w14:textId="77777777" w:rsidR="00973FBA" w:rsidRPr="0099572E" w:rsidRDefault="00973FBA" w:rsidP="00973FBA">
      <w:pPr>
        <w:jc w:val="both"/>
        <w:rPr>
          <w:rFonts w:ascii="Arial" w:hAnsi="Arial" w:cs="Arial"/>
        </w:rPr>
      </w:pPr>
    </w:p>
    <w:p w14:paraId="6A081938" w14:textId="77777777" w:rsidR="00973FBA" w:rsidRPr="0099572E" w:rsidRDefault="00973FBA" w:rsidP="00973FBA">
      <w:pPr>
        <w:jc w:val="both"/>
        <w:rPr>
          <w:rFonts w:ascii="Arial" w:hAnsi="Arial" w:cs="Arial"/>
        </w:rPr>
      </w:pPr>
    </w:p>
    <w:p w14:paraId="53BC5BE0" w14:textId="77777777" w:rsidR="00973FBA" w:rsidRPr="0099572E" w:rsidRDefault="00973FBA" w:rsidP="00973FBA">
      <w:pPr>
        <w:jc w:val="both"/>
        <w:rPr>
          <w:rFonts w:ascii="Arial" w:hAnsi="Arial" w:cs="Arial"/>
        </w:rPr>
      </w:pPr>
    </w:p>
    <w:p w14:paraId="7C1D74BE" w14:textId="77777777" w:rsidR="00973FBA" w:rsidRPr="0099572E" w:rsidRDefault="00973FBA" w:rsidP="00973FBA">
      <w:pPr>
        <w:jc w:val="both"/>
        <w:rPr>
          <w:rFonts w:ascii="Arial" w:hAnsi="Arial" w:cs="Arial"/>
        </w:rPr>
      </w:pPr>
    </w:p>
    <w:p w14:paraId="11148B19" w14:textId="77777777" w:rsidR="00973FBA" w:rsidRPr="0099572E" w:rsidRDefault="00973FBA" w:rsidP="00973FBA">
      <w:pPr>
        <w:jc w:val="both"/>
        <w:rPr>
          <w:rFonts w:ascii="Arial" w:hAnsi="Arial" w:cs="Arial"/>
        </w:rPr>
      </w:pPr>
    </w:p>
    <w:p w14:paraId="5C28EB1D" w14:textId="77777777" w:rsidR="00973FBA" w:rsidRPr="0099572E" w:rsidRDefault="00973FBA" w:rsidP="00973FBA">
      <w:pPr>
        <w:jc w:val="both"/>
        <w:rPr>
          <w:rFonts w:ascii="Arial" w:hAnsi="Arial" w:cs="Arial"/>
        </w:rPr>
      </w:pPr>
    </w:p>
    <w:p w14:paraId="28D097BF" w14:textId="77777777" w:rsidR="00973FBA" w:rsidRPr="0099572E" w:rsidRDefault="00973FBA" w:rsidP="00973FBA">
      <w:pPr>
        <w:jc w:val="both"/>
        <w:rPr>
          <w:rFonts w:ascii="Arial" w:hAnsi="Arial" w:cs="Arial"/>
        </w:rPr>
      </w:pPr>
    </w:p>
    <w:p w14:paraId="655A368D" w14:textId="77777777" w:rsidR="00973FBA" w:rsidRPr="0099572E" w:rsidRDefault="00973FBA" w:rsidP="00973FBA">
      <w:pPr>
        <w:jc w:val="both"/>
        <w:rPr>
          <w:rFonts w:ascii="Arial" w:hAnsi="Arial" w:cs="Arial"/>
        </w:rPr>
      </w:pPr>
    </w:p>
    <w:p w14:paraId="50EBB9F4" w14:textId="77777777" w:rsidR="00973FBA" w:rsidRPr="0099572E" w:rsidRDefault="00973FBA" w:rsidP="00973FBA">
      <w:pPr>
        <w:jc w:val="both"/>
        <w:rPr>
          <w:rFonts w:ascii="Arial" w:hAnsi="Arial" w:cs="Arial"/>
        </w:rPr>
      </w:pPr>
    </w:p>
    <w:p w14:paraId="7E49B3B5" w14:textId="77777777" w:rsidR="00973FBA" w:rsidRPr="0099572E" w:rsidRDefault="00973FBA" w:rsidP="00973FBA">
      <w:pPr>
        <w:jc w:val="both"/>
        <w:rPr>
          <w:rFonts w:ascii="Arial" w:hAnsi="Arial" w:cs="Arial"/>
        </w:rPr>
      </w:pPr>
    </w:p>
    <w:p w14:paraId="6C80206F" w14:textId="77777777" w:rsidR="00973FBA" w:rsidRPr="0099572E" w:rsidRDefault="00973FBA" w:rsidP="00973FBA">
      <w:pPr>
        <w:jc w:val="both"/>
        <w:rPr>
          <w:rFonts w:ascii="Arial" w:hAnsi="Arial" w:cs="Arial"/>
        </w:rPr>
      </w:pPr>
    </w:p>
    <w:p w14:paraId="0A6941EE" w14:textId="77777777" w:rsidR="00973FBA" w:rsidRPr="0099572E" w:rsidRDefault="00973FBA" w:rsidP="00973FBA">
      <w:pPr>
        <w:jc w:val="both"/>
        <w:rPr>
          <w:rFonts w:ascii="Arial" w:hAnsi="Arial" w:cs="Arial"/>
        </w:rPr>
      </w:pPr>
    </w:p>
    <w:p w14:paraId="031307D4" w14:textId="77777777" w:rsidR="00973FBA" w:rsidRPr="0099572E" w:rsidRDefault="00973FBA" w:rsidP="00973FBA">
      <w:pPr>
        <w:jc w:val="both"/>
        <w:rPr>
          <w:rFonts w:ascii="Arial" w:hAnsi="Arial" w:cs="Arial"/>
        </w:rPr>
      </w:pPr>
    </w:p>
    <w:p w14:paraId="0C20049E" w14:textId="5B034F6C" w:rsidR="00973FBA" w:rsidRPr="0099572E" w:rsidRDefault="00973FBA" w:rsidP="00973FBA">
      <w:pPr>
        <w:jc w:val="both"/>
        <w:rPr>
          <w:rFonts w:ascii="Arial" w:hAnsi="Arial" w:cs="Arial"/>
        </w:rPr>
      </w:pPr>
      <w:r w:rsidRPr="0099572E">
        <w:rPr>
          <w:rFonts w:ascii="Arial" w:hAnsi="Arial" w:cs="Arial"/>
          <w:noProof/>
        </w:rPr>
        <w:lastRenderedPageBreak/>
        <w:drawing>
          <wp:anchor distT="0" distB="0" distL="114300" distR="114300" simplePos="0" relativeHeight="251656192" behindDoc="1" locked="0" layoutInCell="1" allowOverlap="1" wp14:anchorId="23438C95" wp14:editId="379C0281">
            <wp:simplePos x="0" y="0"/>
            <wp:positionH relativeFrom="margin">
              <wp:posOffset>-539750</wp:posOffset>
            </wp:positionH>
            <wp:positionV relativeFrom="paragraph">
              <wp:posOffset>-12699</wp:posOffset>
            </wp:positionV>
            <wp:extent cx="6454795" cy="2508250"/>
            <wp:effectExtent l="0" t="0" r="0" b="0"/>
            <wp:wrapNone/>
            <wp:docPr id="5" name="Picture 5" descr="A picture containing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application&#10;&#10;Description automatically generate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457963" cy="2509481"/>
                    </a:xfrm>
                    <a:prstGeom prst="rect">
                      <a:avLst/>
                    </a:prstGeom>
                    <a:noFill/>
                  </pic:spPr>
                </pic:pic>
              </a:graphicData>
            </a:graphic>
            <wp14:sizeRelH relativeFrom="page">
              <wp14:pctWidth>0</wp14:pctWidth>
            </wp14:sizeRelH>
            <wp14:sizeRelV relativeFrom="page">
              <wp14:pctHeight>0</wp14:pctHeight>
            </wp14:sizeRelV>
          </wp:anchor>
        </w:drawing>
      </w:r>
    </w:p>
    <w:p w14:paraId="435DE882" w14:textId="25201646" w:rsidR="00973FBA" w:rsidRPr="0099572E" w:rsidRDefault="00973FBA" w:rsidP="00973FBA">
      <w:pPr>
        <w:jc w:val="both"/>
        <w:rPr>
          <w:rFonts w:ascii="Arial" w:hAnsi="Arial" w:cs="Arial"/>
        </w:rPr>
      </w:pPr>
    </w:p>
    <w:p w14:paraId="04AD9C29" w14:textId="77777777" w:rsidR="00973FBA" w:rsidRPr="0099572E" w:rsidRDefault="00973FBA" w:rsidP="00973FBA">
      <w:pPr>
        <w:jc w:val="both"/>
        <w:rPr>
          <w:rFonts w:ascii="Arial" w:hAnsi="Arial" w:cs="Arial"/>
        </w:rPr>
      </w:pPr>
    </w:p>
    <w:p w14:paraId="134C8C64" w14:textId="77777777" w:rsidR="00973FBA" w:rsidRPr="0099572E" w:rsidRDefault="00973FBA" w:rsidP="00973FBA">
      <w:pPr>
        <w:jc w:val="both"/>
        <w:rPr>
          <w:rFonts w:ascii="Arial" w:hAnsi="Arial" w:cs="Arial"/>
        </w:rPr>
      </w:pPr>
    </w:p>
    <w:p w14:paraId="7AB29458" w14:textId="77777777" w:rsidR="00973FBA" w:rsidRPr="0099572E" w:rsidRDefault="00973FBA" w:rsidP="00973FBA">
      <w:pPr>
        <w:jc w:val="both"/>
        <w:rPr>
          <w:rFonts w:ascii="Arial" w:hAnsi="Arial" w:cs="Arial"/>
        </w:rPr>
      </w:pPr>
    </w:p>
    <w:p w14:paraId="2FF1E0C4" w14:textId="77777777" w:rsidR="00973FBA" w:rsidRPr="0099572E" w:rsidRDefault="00973FBA" w:rsidP="00973FBA">
      <w:pPr>
        <w:jc w:val="both"/>
        <w:rPr>
          <w:rFonts w:ascii="Arial" w:hAnsi="Arial" w:cs="Arial"/>
        </w:rPr>
      </w:pPr>
    </w:p>
    <w:p w14:paraId="6D488F26" w14:textId="77777777" w:rsidR="00973FBA" w:rsidRPr="0099572E" w:rsidRDefault="00973FBA" w:rsidP="00973FBA">
      <w:pPr>
        <w:jc w:val="both"/>
        <w:rPr>
          <w:rFonts w:ascii="Arial" w:hAnsi="Arial" w:cs="Arial"/>
        </w:rPr>
      </w:pPr>
    </w:p>
    <w:p w14:paraId="13A89DBE" w14:textId="77777777" w:rsidR="00973FBA" w:rsidRPr="0099572E" w:rsidRDefault="00973FBA" w:rsidP="00973FBA">
      <w:pPr>
        <w:jc w:val="both"/>
        <w:rPr>
          <w:rFonts w:ascii="Arial" w:hAnsi="Arial" w:cs="Arial"/>
        </w:rPr>
      </w:pPr>
    </w:p>
    <w:p w14:paraId="46B83C18" w14:textId="77777777" w:rsidR="00973FBA" w:rsidRPr="0099572E" w:rsidRDefault="00973FBA" w:rsidP="00973FBA">
      <w:pPr>
        <w:jc w:val="both"/>
        <w:rPr>
          <w:rFonts w:ascii="Arial" w:hAnsi="Arial" w:cs="Arial"/>
        </w:rPr>
      </w:pPr>
    </w:p>
    <w:p w14:paraId="24E635CB" w14:textId="77777777" w:rsidR="00973FBA" w:rsidRPr="0099572E" w:rsidRDefault="00973FBA" w:rsidP="00973FBA">
      <w:pPr>
        <w:jc w:val="both"/>
        <w:rPr>
          <w:rFonts w:ascii="Arial" w:hAnsi="Arial" w:cs="Arial"/>
        </w:rPr>
      </w:pPr>
    </w:p>
    <w:p w14:paraId="2EAA74C1"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5C4DD8F1"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318884AC"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5D567C45"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59EA4F56"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0CF28224" w14:textId="77777777" w:rsidR="00973FBA" w:rsidRPr="0099572E" w:rsidRDefault="00973FBA" w:rsidP="00973FBA">
      <w:pPr>
        <w:pStyle w:val="Paragraph"/>
        <w:spacing w:line="276" w:lineRule="auto"/>
        <w:ind w:firstLine="0"/>
        <w:jc w:val="both"/>
        <w:rPr>
          <w:rFonts w:ascii="Arial" w:hAnsi="Arial" w:cs="Arial"/>
          <w:sz w:val="22"/>
          <w:szCs w:val="22"/>
          <w:lang w:val="en-GB"/>
        </w:rPr>
      </w:pPr>
      <w:r w:rsidRPr="0099572E">
        <w:rPr>
          <w:rFonts w:ascii="Arial" w:hAnsi="Arial" w:cs="Arial"/>
          <w:b/>
          <w:bCs/>
          <w:sz w:val="22"/>
          <w:szCs w:val="22"/>
          <w:lang w:val="en-GB"/>
        </w:rPr>
        <w:t xml:space="preserve">Supplemental Figure 3.  In-gel acetylcholinesterase activity and Ellman’s assay for active and inactive enzyme preparations (related to Figures 3, 4 &amp; 5). A. Top: </w:t>
      </w:r>
      <w:r w:rsidRPr="0099572E">
        <w:rPr>
          <w:rFonts w:ascii="Arial" w:hAnsi="Arial" w:cs="Arial"/>
          <w:sz w:val="22"/>
          <w:szCs w:val="22"/>
        </w:rPr>
        <w:t xml:space="preserve">Coomassie stained SDS-polyacrylamide gel of purified inactive (Ai) and active (Aa) </w:t>
      </w:r>
      <w:proofErr w:type="spellStart"/>
      <w:r w:rsidRPr="0099572E">
        <w:rPr>
          <w:rFonts w:ascii="Arial" w:hAnsi="Arial" w:cs="Arial"/>
          <w:sz w:val="22"/>
          <w:szCs w:val="22"/>
        </w:rPr>
        <w:t>AChE</w:t>
      </w:r>
      <w:proofErr w:type="spellEnd"/>
      <w:r w:rsidRPr="0099572E">
        <w:rPr>
          <w:rFonts w:ascii="Arial" w:hAnsi="Arial" w:cs="Arial"/>
          <w:sz w:val="22"/>
          <w:szCs w:val="22"/>
        </w:rPr>
        <w:t xml:space="preserve">. Molecular mass standards are shown. </w:t>
      </w:r>
      <w:r w:rsidRPr="0099572E">
        <w:rPr>
          <w:rFonts w:ascii="Arial" w:hAnsi="Arial" w:cs="Arial"/>
          <w:b/>
          <w:bCs/>
          <w:sz w:val="22"/>
          <w:szCs w:val="22"/>
        </w:rPr>
        <w:t>Bottom</w:t>
      </w:r>
      <w:r w:rsidRPr="0099572E">
        <w:rPr>
          <w:rFonts w:ascii="Arial" w:hAnsi="Arial" w:cs="Arial"/>
          <w:sz w:val="22"/>
          <w:szCs w:val="22"/>
        </w:rPr>
        <w:t xml:space="preserve">: Staining of purified inactive and active preparations for </w:t>
      </w:r>
      <w:proofErr w:type="spellStart"/>
      <w:r w:rsidRPr="0099572E">
        <w:rPr>
          <w:rFonts w:ascii="Arial" w:hAnsi="Arial" w:cs="Arial"/>
          <w:sz w:val="22"/>
          <w:szCs w:val="22"/>
        </w:rPr>
        <w:t>AChE</w:t>
      </w:r>
      <w:proofErr w:type="spellEnd"/>
      <w:r w:rsidRPr="0099572E">
        <w:rPr>
          <w:rFonts w:ascii="Arial" w:hAnsi="Arial" w:cs="Arial"/>
          <w:sz w:val="22"/>
          <w:szCs w:val="22"/>
        </w:rPr>
        <w:t xml:space="preserve"> activity following resolution by non-denaturing PAGE. Brown staining indicates presence of </w:t>
      </w:r>
      <w:proofErr w:type="spellStart"/>
      <w:r w:rsidRPr="0099572E">
        <w:rPr>
          <w:rFonts w:ascii="Arial" w:hAnsi="Arial" w:cs="Arial"/>
          <w:sz w:val="22"/>
          <w:szCs w:val="22"/>
        </w:rPr>
        <w:t>AChE</w:t>
      </w:r>
      <w:proofErr w:type="spellEnd"/>
      <w:r w:rsidRPr="0099572E">
        <w:rPr>
          <w:rFonts w:ascii="Arial" w:hAnsi="Arial" w:cs="Arial"/>
          <w:sz w:val="22"/>
          <w:szCs w:val="22"/>
        </w:rPr>
        <w:t xml:space="preserve"> activity and black arrow denotes enzyme migration. </w:t>
      </w:r>
      <w:r w:rsidRPr="0099572E">
        <w:rPr>
          <w:rFonts w:ascii="Arial" w:hAnsi="Arial" w:cs="Arial"/>
          <w:b/>
          <w:bCs/>
          <w:sz w:val="22"/>
          <w:szCs w:val="22"/>
        </w:rPr>
        <w:t xml:space="preserve">B. </w:t>
      </w:r>
      <w:r w:rsidRPr="0099572E">
        <w:rPr>
          <w:rFonts w:ascii="Arial" w:hAnsi="Arial" w:cs="Arial"/>
          <w:sz w:val="22"/>
          <w:szCs w:val="22"/>
        </w:rPr>
        <w:t xml:space="preserve">Ellman’s assay for detection of </w:t>
      </w:r>
      <w:proofErr w:type="spellStart"/>
      <w:r w:rsidRPr="0099572E">
        <w:rPr>
          <w:rFonts w:ascii="Arial" w:hAnsi="Arial" w:cs="Arial"/>
          <w:sz w:val="22"/>
          <w:szCs w:val="22"/>
        </w:rPr>
        <w:t>AChE</w:t>
      </w:r>
      <w:proofErr w:type="spellEnd"/>
      <w:r w:rsidRPr="0099572E">
        <w:rPr>
          <w:rFonts w:ascii="Arial" w:hAnsi="Arial" w:cs="Arial"/>
          <w:sz w:val="22"/>
          <w:szCs w:val="22"/>
        </w:rPr>
        <w:t xml:space="preserve"> activity, shown in milliunits. Equimolar concentrations of active and inactive enzyme preparations were </w:t>
      </w:r>
      <w:proofErr w:type="spellStart"/>
      <w:r w:rsidRPr="0099572E">
        <w:rPr>
          <w:rFonts w:ascii="Arial" w:hAnsi="Arial" w:cs="Arial"/>
          <w:sz w:val="22"/>
          <w:szCs w:val="22"/>
        </w:rPr>
        <w:t>utilised</w:t>
      </w:r>
      <w:proofErr w:type="spellEnd"/>
      <w:r w:rsidRPr="0099572E">
        <w:rPr>
          <w:rFonts w:ascii="Arial" w:hAnsi="Arial" w:cs="Arial"/>
          <w:sz w:val="22"/>
          <w:szCs w:val="22"/>
        </w:rPr>
        <w:t xml:space="preserve"> alone or in combination with </w:t>
      </w:r>
      <w:r w:rsidRPr="0099572E">
        <w:rPr>
          <w:rFonts w:ascii="Arial" w:hAnsi="Arial" w:cs="Arial"/>
          <w:i/>
          <w:iCs/>
          <w:sz w:val="22"/>
          <w:szCs w:val="22"/>
        </w:rPr>
        <w:t xml:space="preserve">Alternaria </w:t>
      </w:r>
      <w:proofErr w:type="spellStart"/>
      <w:r w:rsidRPr="0099572E">
        <w:rPr>
          <w:rFonts w:ascii="Arial" w:hAnsi="Arial" w:cs="Arial"/>
          <w:i/>
          <w:iCs/>
          <w:sz w:val="22"/>
          <w:szCs w:val="22"/>
        </w:rPr>
        <w:t>alternata</w:t>
      </w:r>
      <w:proofErr w:type="spellEnd"/>
      <w:r w:rsidRPr="0099572E">
        <w:rPr>
          <w:rFonts w:ascii="Arial" w:hAnsi="Arial" w:cs="Arial"/>
          <w:sz w:val="22"/>
          <w:szCs w:val="22"/>
        </w:rPr>
        <w:t xml:space="preserve"> extract (ALT), mixed at the same concentrations as administered to mice</w:t>
      </w:r>
      <w:r w:rsidRPr="0099572E">
        <w:rPr>
          <w:rFonts w:ascii="Arial" w:hAnsi="Arial" w:cs="Arial"/>
          <w:i/>
          <w:iCs/>
          <w:sz w:val="22"/>
          <w:szCs w:val="22"/>
        </w:rPr>
        <w:t>. Nippostrongylus brasiliensis</w:t>
      </w:r>
      <w:r w:rsidRPr="0099572E">
        <w:rPr>
          <w:rFonts w:ascii="Arial" w:hAnsi="Arial" w:cs="Arial"/>
          <w:sz w:val="22"/>
          <w:szCs w:val="22"/>
        </w:rPr>
        <w:t xml:space="preserve"> excretory/secretory products (</w:t>
      </w:r>
      <w:r w:rsidRPr="0099572E">
        <w:rPr>
          <w:rFonts w:ascii="Arial" w:hAnsi="Arial" w:cs="Arial"/>
          <w:i/>
          <w:iCs/>
          <w:sz w:val="22"/>
          <w:szCs w:val="22"/>
        </w:rPr>
        <w:t>Nb</w:t>
      </w:r>
      <w:r w:rsidRPr="0099572E">
        <w:rPr>
          <w:rFonts w:ascii="Arial" w:hAnsi="Arial" w:cs="Arial"/>
          <w:sz w:val="22"/>
          <w:szCs w:val="22"/>
        </w:rPr>
        <w:t xml:space="preserve"> E/S, +) and PBS (-) were used as a positive and negative controls for </w:t>
      </w:r>
      <w:proofErr w:type="spellStart"/>
      <w:r w:rsidRPr="0099572E">
        <w:rPr>
          <w:rFonts w:ascii="Arial" w:hAnsi="Arial" w:cs="Arial"/>
          <w:sz w:val="22"/>
          <w:szCs w:val="22"/>
        </w:rPr>
        <w:t>AChE</w:t>
      </w:r>
      <w:proofErr w:type="spellEnd"/>
      <w:r w:rsidRPr="0099572E">
        <w:rPr>
          <w:rFonts w:ascii="Arial" w:hAnsi="Arial" w:cs="Arial"/>
          <w:sz w:val="22"/>
          <w:szCs w:val="22"/>
        </w:rPr>
        <w:t xml:space="preserve"> activity (+). ns = non-significant difference (</w:t>
      </w:r>
      <w:r w:rsidRPr="0099572E">
        <w:rPr>
          <w:rFonts w:ascii="Arial" w:hAnsi="Arial" w:cs="Arial"/>
          <w:i/>
          <w:sz w:val="22"/>
          <w:szCs w:val="22"/>
        </w:rPr>
        <w:t>p</w:t>
      </w:r>
      <w:r w:rsidRPr="0099572E">
        <w:rPr>
          <w:rFonts w:ascii="Arial" w:hAnsi="Arial" w:cs="Arial"/>
          <w:sz w:val="22"/>
          <w:szCs w:val="22"/>
        </w:rPr>
        <w:t xml:space="preserve">&gt;0.05). Assay run with technical triplicates for each sample. </w:t>
      </w:r>
    </w:p>
    <w:p w14:paraId="4E776822" w14:textId="77777777" w:rsidR="00973FBA" w:rsidRPr="0099572E" w:rsidRDefault="00973FBA" w:rsidP="00973FBA">
      <w:pPr>
        <w:jc w:val="both"/>
        <w:rPr>
          <w:rFonts w:ascii="Arial" w:hAnsi="Arial" w:cs="Arial"/>
        </w:rPr>
      </w:pPr>
    </w:p>
    <w:p w14:paraId="55E2BE03" w14:textId="77777777" w:rsidR="00973FBA" w:rsidRPr="0099572E" w:rsidRDefault="00973FBA" w:rsidP="00973FBA">
      <w:pPr>
        <w:jc w:val="both"/>
        <w:rPr>
          <w:rFonts w:ascii="Arial" w:hAnsi="Arial" w:cs="Arial"/>
        </w:rPr>
      </w:pPr>
    </w:p>
    <w:p w14:paraId="76A054E0" w14:textId="77777777" w:rsidR="00973FBA" w:rsidRPr="0099572E" w:rsidRDefault="00973FBA" w:rsidP="00973FBA">
      <w:pPr>
        <w:jc w:val="both"/>
        <w:rPr>
          <w:rFonts w:ascii="Arial" w:hAnsi="Arial" w:cs="Arial"/>
        </w:rPr>
      </w:pPr>
    </w:p>
    <w:p w14:paraId="7FE502C4" w14:textId="77777777" w:rsidR="00973FBA" w:rsidRPr="0099572E" w:rsidRDefault="00973FBA" w:rsidP="00973FBA">
      <w:pPr>
        <w:jc w:val="both"/>
        <w:rPr>
          <w:rFonts w:ascii="Arial" w:hAnsi="Arial" w:cs="Arial"/>
        </w:rPr>
      </w:pPr>
    </w:p>
    <w:p w14:paraId="0FA820E7" w14:textId="77777777" w:rsidR="00973FBA" w:rsidRPr="0099572E" w:rsidRDefault="00973FBA" w:rsidP="00973FBA">
      <w:pPr>
        <w:jc w:val="both"/>
        <w:rPr>
          <w:rFonts w:ascii="Arial" w:hAnsi="Arial" w:cs="Arial"/>
        </w:rPr>
      </w:pPr>
    </w:p>
    <w:p w14:paraId="4002EF99" w14:textId="77777777" w:rsidR="00973FBA" w:rsidRPr="0099572E" w:rsidRDefault="00973FBA" w:rsidP="00973FBA">
      <w:pPr>
        <w:jc w:val="both"/>
        <w:rPr>
          <w:rFonts w:ascii="Arial" w:hAnsi="Arial" w:cs="Arial"/>
        </w:rPr>
      </w:pPr>
    </w:p>
    <w:p w14:paraId="4BAE8477" w14:textId="77777777" w:rsidR="00973FBA" w:rsidRPr="0099572E" w:rsidRDefault="00973FBA" w:rsidP="00973FBA">
      <w:pPr>
        <w:jc w:val="both"/>
        <w:rPr>
          <w:rFonts w:ascii="Arial" w:hAnsi="Arial" w:cs="Arial"/>
        </w:rPr>
      </w:pPr>
    </w:p>
    <w:p w14:paraId="011CB8CE" w14:textId="77777777" w:rsidR="00973FBA" w:rsidRPr="0099572E" w:rsidRDefault="00973FBA" w:rsidP="00973FBA">
      <w:pPr>
        <w:jc w:val="both"/>
        <w:rPr>
          <w:rFonts w:ascii="Arial" w:hAnsi="Arial" w:cs="Arial"/>
        </w:rPr>
      </w:pPr>
    </w:p>
    <w:p w14:paraId="45EA55B5" w14:textId="77777777" w:rsidR="00973FBA" w:rsidRPr="0099572E" w:rsidRDefault="00973FBA" w:rsidP="00973FBA">
      <w:pPr>
        <w:jc w:val="both"/>
        <w:rPr>
          <w:rFonts w:ascii="Arial" w:hAnsi="Arial" w:cs="Arial"/>
        </w:rPr>
      </w:pPr>
    </w:p>
    <w:p w14:paraId="49E6D44D" w14:textId="77777777" w:rsidR="00973FBA" w:rsidRPr="0099572E" w:rsidRDefault="00973FBA" w:rsidP="00973FBA">
      <w:pPr>
        <w:jc w:val="both"/>
        <w:rPr>
          <w:rFonts w:ascii="Arial" w:hAnsi="Arial" w:cs="Arial"/>
        </w:rPr>
      </w:pPr>
    </w:p>
    <w:p w14:paraId="376B6138" w14:textId="77777777" w:rsidR="00973FBA" w:rsidRPr="0099572E" w:rsidRDefault="00973FBA" w:rsidP="00973FBA">
      <w:pPr>
        <w:jc w:val="both"/>
        <w:rPr>
          <w:rFonts w:ascii="Arial" w:hAnsi="Arial" w:cs="Arial"/>
        </w:rPr>
      </w:pPr>
    </w:p>
    <w:p w14:paraId="2D7D739E" w14:textId="77777777" w:rsidR="00973FBA" w:rsidRPr="0099572E" w:rsidRDefault="00973FBA" w:rsidP="00973FBA">
      <w:pPr>
        <w:jc w:val="both"/>
        <w:rPr>
          <w:rFonts w:ascii="Arial" w:hAnsi="Arial" w:cs="Arial"/>
        </w:rPr>
      </w:pPr>
    </w:p>
    <w:p w14:paraId="40C938CF" w14:textId="77777777" w:rsidR="00973FBA" w:rsidRPr="0099572E" w:rsidRDefault="00973FBA" w:rsidP="00973FBA">
      <w:pPr>
        <w:jc w:val="both"/>
        <w:rPr>
          <w:rFonts w:ascii="Arial" w:hAnsi="Arial" w:cs="Arial"/>
        </w:rPr>
      </w:pPr>
    </w:p>
    <w:p w14:paraId="029530D3" w14:textId="77777777" w:rsidR="00973FBA" w:rsidRPr="0099572E" w:rsidRDefault="00973FBA" w:rsidP="00973FBA">
      <w:pPr>
        <w:jc w:val="both"/>
        <w:rPr>
          <w:rFonts w:ascii="Arial" w:hAnsi="Arial" w:cs="Arial"/>
        </w:rPr>
      </w:pPr>
    </w:p>
    <w:p w14:paraId="307EB70A" w14:textId="77777777" w:rsidR="00973FBA" w:rsidRPr="0099572E" w:rsidRDefault="00973FBA" w:rsidP="00973FBA">
      <w:pPr>
        <w:jc w:val="both"/>
        <w:rPr>
          <w:rFonts w:ascii="Arial" w:hAnsi="Arial" w:cs="Arial"/>
        </w:rPr>
      </w:pPr>
    </w:p>
    <w:p w14:paraId="0840D0CE" w14:textId="77777777" w:rsidR="00973FBA" w:rsidRPr="0099572E" w:rsidRDefault="00973FBA" w:rsidP="00973FBA">
      <w:pPr>
        <w:jc w:val="both"/>
        <w:rPr>
          <w:rFonts w:ascii="Arial" w:hAnsi="Arial" w:cs="Arial"/>
        </w:rPr>
      </w:pPr>
    </w:p>
    <w:p w14:paraId="399734F8" w14:textId="77777777" w:rsidR="00973FBA" w:rsidRPr="0099572E" w:rsidRDefault="00973FBA" w:rsidP="00973FBA">
      <w:pPr>
        <w:jc w:val="both"/>
        <w:rPr>
          <w:rFonts w:ascii="Arial" w:hAnsi="Arial" w:cs="Arial"/>
        </w:rPr>
      </w:pPr>
    </w:p>
    <w:p w14:paraId="78D7E887" w14:textId="77777777" w:rsidR="00973FBA" w:rsidRPr="0099572E" w:rsidRDefault="00973FBA" w:rsidP="00973FBA">
      <w:pPr>
        <w:jc w:val="both"/>
        <w:rPr>
          <w:rFonts w:ascii="Arial" w:hAnsi="Arial" w:cs="Arial"/>
        </w:rPr>
      </w:pPr>
    </w:p>
    <w:p w14:paraId="0E008C77" w14:textId="77777777" w:rsidR="00973FBA" w:rsidRPr="0099572E" w:rsidRDefault="00973FBA" w:rsidP="00973FBA">
      <w:pPr>
        <w:jc w:val="both"/>
        <w:rPr>
          <w:rFonts w:ascii="Arial" w:hAnsi="Arial" w:cs="Arial"/>
        </w:rPr>
      </w:pPr>
    </w:p>
    <w:p w14:paraId="461969CD" w14:textId="77777777" w:rsidR="00973FBA" w:rsidRPr="0099572E" w:rsidRDefault="00973FBA" w:rsidP="00973FBA">
      <w:pPr>
        <w:jc w:val="both"/>
        <w:rPr>
          <w:rFonts w:ascii="Arial" w:hAnsi="Arial" w:cs="Arial"/>
        </w:rPr>
      </w:pPr>
    </w:p>
    <w:p w14:paraId="57FCBCA1" w14:textId="77777777" w:rsidR="00973FBA" w:rsidRPr="0099572E" w:rsidRDefault="00973FBA" w:rsidP="00973FBA">
      <w:pPr>
        <w:jc w:val="both"/>
        <w:rPr>
          <w:rFonts w:ascii="Arial" w:hAnsi="Arial" w:cs="Arial"/>
        </w:rPr>
      </w:pPr>
    </w:p>
    <w:p w14:paraId="15DD608E" w14:textId="77777777" w:rsidR="00973FBA" w:rsidRPr="0099572E" w:rsidRDefault="00973FBA" w:rsidP="00973FBA">
      <w:pPr>
        <w:jc w:val="both"/>
        <w:rPr>
          <w:rFonts w:ascii="Arial" w:hAnsi="Arial" w:cs="Arial"/>
        </w:rPr>
      </w:pPr>
    </w:p>
    <w:p w14:paraId="68CDE8EC" w14:textId="77777777" w:rsidR="00973FBA" w:rsidRPr="0099572E" w:rsidRDefault="00973FBA" w:rsidP="00973FBA">
      <w:pPr>
        <w:jc w:val="both"/>
        <w:rPr>
          <w:rFonts w:ascii="Arial" w:hAnsi="Arial" w:cs="Arial"/>
        </w:rPr>
      </w:pPr>
    </w:p>
    <w:p w14:paraId="3E6D8E8F" w14:textId="77777777" w:rsidR="00973FBA" w:rsidRPr="0099572E" w:rsidRDefault="00973FBA" w:rsidP="00973FBA">
      <w:pPr>
        <w:jc w:val="both"/>
        <w:rPr>
          <w:rFonts w:ascii="Arial" w:hAnsi="Arial" w:cs="Arial"/>
        </w:rPr>
      </w:pPr>
    </w:p>
    <w:p w14:paraId="0C02E236" w14:textId="77777777" w:rsidR="00973FBA" w:rsidRPr="0099572E" w:rsidRDefault="00973FBA" w:rsidP="00973FBA">
      <w:pPr>
        <w:jc w:val="both"/>
        <w:rPr>
          <w:rFonts w:ascii="Arial" w:hAnsi="Arial" w:cs="Arial"/>
        </w:rPr>
      </w:pPr>
    </w:p>
    <w:p w14:paraId="65ACF86C" w14:textId="77777777" w:rsidR="00973FBA" w:rsidRPr="0099572E" w:rsidRDefault="00973FBA" w:rsidP="00973FBA">
      <w:pPr>
        <w:jc w:val="both"/>
        <w:rPr>
          <w:rFonts w:ascii="Arial" w:hAnsi="Arial" w:cs="Arial"/>
        </w:rPr>
      </w:pPr>
    </w:p>
    <w:p w14:paraId="37C33A06" w14:textId="77777777" w:rsidR="00973FBA" w:rsidRPr="0099572E" w:rsidRDefault="00973FBA" w:rsidP="00973FBA">
      <w:pPr>
        <w:jc w:val="both"/>
        <w:rPr>
          <w:rFonts w:ascii="Arial" w:hAnsi="Arial" w:cs="Arial"/>
        </w:rPr>
      </w:pPr>
    </w:p>
    <w:p w14:paraId="5795DC82" w14:textId="77777777" w:rsidR="00973FBA" w:rsidRPr="0099572E" w:rsidRDefault="00973FBA" w:rsidP="00973FBA">
      <w:pPr>
        <w:jc w:val="both"/>
        <w:rPr>
          <w:rFonts w:ascii="Arial" w:hAnsi="Arial" w:cs="Arial"/>
        </w:rPr>
      </w:pPr>
      <w:r w:rsidRPr="0099572E">
        <w:rPr>
          <w:rFonts w:ascii="Arial" w:hAnsi="Arial" w:cs="Arial"/>
          <w:b/>
          <w:bCs/>
          <w:noProof/>
          <w:sz w:val="22"/>
          <w:szCs w:val="22"/>
          <w:lang w:val="en-GB"/>
        </w:rPr>
        <w:drawing>
          <wp:anchor distT="0" distB="0" distL="114300" distR="114300" simplePos="0" relativeHeight="251658240" behindDoc="1" locked="0" layoutInCell="1" allowOverlap="1" wp14:anchorId="309C5152" wp14:editId="77E886BC">
            <wp:simplePos x="0" y="0"/>
            <wp:positionH relativeFrom="margin">
              <wp:align>right</wp:align>
            </wp:positionH>
            <wp:positionV relativeFrom="paragraph">
              <wp:posOffset>6997</wp:posOffset>
            </wp:positionV>
            <wp:extent cx="5796434" cy="4097377"/>
            <wp:effectExtent l="0" t="0" r="0" b="0"/>
            <wp:wrapNone/>
            <wp:docPr id="25" name="Picture 25" descr="A picture containing light, traff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A picture containing light, traffic&#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96434" cy="4097377"/>
                    </a:xfrm>
                    <a:prstGeom prst="rect">
                      <a:avLst/>
                    </a:prstGeom>
                    <a:noFill/>
                  </pic:spPr>
                </pic:pic>
              </a:graphicData>
            </a:graphic>
            <wp14:sizeRelH relativeFrom="page">
              <wp14:pctWidth>0</wp14:pctWidth>
            </wp14:sizeRelH>
            <wp14:sizeRelV relativeFrom="page">
              <wp14:pctHeight>0</wp14:pctHeight>
            </wp14:sizeRelV>
          </wp:anchor>
        </w:drawing>
      </w:r>
    </w:p>
    <w:p w14:paraId="2B394962" w14:textId="77777777" w:rsidR="00973FBA" w:rsidRPr="0099572E" w:rsidRDefault="00973FBA" w:rsidP="00973FBA">
      <w:pPr>
        <w:jc w:val="both"/>
        <w:rPr>
          <w:rFonts w:ascii="Arial" w:hAnsi="Arial" w:cs="Arial"/>
        </w:rPr>
      </w:pPr>
    </w:p>
    <w:p w14:paraId="4FC10C7E" w14:textId="77777777" w:rsidR="00973FBA" w:rsidRPr="0099572E" w:rsidRDefault="00973FBA" w:rsidP="00973FBA">
      <w:pPr>
        <w:jc w:val="both"/>
        <w:rPr>
          <w:rFonts w:ascii="Arial" w:hAnsi="Arial" w:cs="Arial"/>
        </w:rPr>
      </w:pPr>
    </w:p>
    <w:p w14:paraId="3C091A16" w14:textId="77777777" w:rsidR="00973FBA" w:rsidRPr="0099572E" w:rsidRDefault="00973FBA" w:rsidP="00973FBA">
      <w:pPr>
        <w:jc w:val="both"/>
        <w:rPr>
          <w:rFonts w:ascii="Arial" w:hAnsi="Arial" w:cs="Arial"/>
        </w:rPr>
      </w:pPr>
    </w:p>
    <w:p w14:paraId="443A8F70" w14:textId="77777777" w:rsidR="00973FBA" w:rsidRPr="0099572E" w:rsidRDefault="00973FBA" w:rsidP="00973FBA">
      <w:pPr>
        <w:jc w:val="both"/>
        <w:rPr>
          <w:rFonts w:ascii="Arial" w:hAnsi="Arial" w:cs="Arial"/>
        </w:rPr>
      </w:pPr>
    </w:p>
    <w:p w14:paraId="159DA68A" w14:textId="77777777" w:rsidR="00973FBA" w:rsidRPr="0099572E" w:rsidRDefault="00973FBA" w:rsidP="00973FBA">
      <w:pPr>
        <w:jc w:val="both"/>
        <w:rPr>
          <w:rFonts w:ascii="Arial" w:hAnsi="Arial" w:cs="Arial"/>
        </w:rPr>
      </w:pPr>
    </w:p>
    <w:p w14:paraId="5C0AB05B"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211C840D"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5E02BD43"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2A23ABAD"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357DDAC0"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383DB57E"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32687007"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6B9E7A6E"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39CBCF83"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5AE4B0AD"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125ABFC2"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3E7B1FF6"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72CE3592"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6BEA1008" w14:textId="77777777" w:rsidR="00973FBA" w:rsidRPr="00383FFC" w:rsidRDefault="00973FBA" w:rsidP="00973FBA">
      <w:pPr>
        <w:pStyle w:val="Paragraph"/>
        <w:spacing w:line="276" w:lineRule="auto"/>
        <w:ind w:firstLine="0"/>
        <w:jc w:val="both"/>
        <w:rPr>
          <w:rFonts w:ascii="Arial" w:hAnsi="Arial" w:cs="Arial"/>
        </w:rPr>
      </w:pPr>
      <w:r w:rsidRPr="00A24507">
        <w:rPr>
          <w:rFonts w:ascii="Arial" w:hAnsi="Arial" w:cs="Arial"/>
          <w:b/>
          <w:bCs/>
          <w:sz w:val="22"/>
          <w:szCs w:val="22"/>
          <w:lang w:val="en-GB"/>
        </w:rPr>
        <w:t xml:space="preserve">Supplemental Figure 4. Intranasal dosing schematic and surface marker expression analysis of eosinophils and neutrophils following exposure to </w:t>
      </w:r>
      <w:r w:rsidRPr="00A24507">
        <w:rPr>
          <w:rFonts w:ascii="Arial" w:hAnsi="Arial" w:cs="Arial"/>
          <w:b/>
          <w:bCs/>
          <w:i/>
          <w:iCs/>
          <w:sz w:val="22"/>
          <w:szCs w:val="22"/>
          <w:lang w:val="en-GB"/>
        </w:rPr>
        <w:t>Alternaria</w:t>
      </w:r>
      <w:r w:rsidRPr="00A24507">
        <w:rPr>
          <w:rFonts w:ascii="Arial" w:hAnsi="Arial" w:cs="Arial"/>
          <w:b/>
          <w:bCs/>
          <w:sz w:val="22"/>
          <w:szCs w:val="22"/>
          <w:lang w:val="en-GB"/>
        </w:rPr>
        <w:t xml:space="preserve"> and </w:t>
      </w:r>
      <w:proofErr w:type="spellStart"/>
      <w:r w:rsidRPr="00A24507">
        <w:rPr>
          <w:rFonts w:ascii="Arial" w:hAnsi="Arial" w:cs="Arial"/>
          <w:b/>
          <w:bCs/>
          <w:sz w:val="22"/>
          <w:szCs w:val="22"/>
          <w:lang w:val="en-GB"/>
        </w:rPr>
        <w:t>AChE</w:t>
      </w:r>
      <w:proofErr w:type="spellEnd"/>
      <w:r w:rsidRPr="00A24507">
        <w:rPr>
          <w:rFonts w:ascii="Arial" w:hAnsi="Arial" w:cs="Arial"/>
          <w:b/>
          <w:bCs/>
          <w:sz w:val="22"/>
          <w:szCs w:val="22"/>
          <w:lang w:val="en-GB"/>
        </w:rPr>
        <w:t xml:space="preserve"> (related to Figure 3). A.</w:t>
      </w:r>
      <w:r w:rsidRPr="00A24507">
        <w:rPr>
          <w:rFonts w:ascii="Arial" w:hAnsi="Arial" w:cs="Arial"/>
          <w:sz w:val="22"/>
          <w:szCs w:val="22"/>
          <w:lang w:val="en-GB"/>
        </w:rPr>
        <w:t xml:space="preserve"> BALB/c mice were intranasally dosed with PBS alone (PBS), </w:t>
      </w:r>
      <w:r w:rsidRPr="00A24507">
        <w:rPr>
          <w:rFonts w:ascii="Arial" w:hAnsi="Arial" w:cs="Arial"/>
          <w:i/>
          <w:iCs/>
          <w:sz w:val="22"/>
          <w:szCs w:val="22"/>
          <w:lang w:val="en-GB"/>
        </w:rPr>
        <w:t xml:space="preserve">Alternaria </w:t>
      </w:r>
      <w:proofErr w:type="spellStart"/>
      <w:r w:rsidRPr="00A24507">
        <w:rPr>
          <w:rFonts w:ascii="Arial" w:hAnsi="Arial" w:cs="Arial"/>
          <w:i/>
          <w:iCs/>
          <w:sz w:val="22"/>
          <w:szCs w:val="22"/>
          <w:lang w:val="en-GB"/>
        </w:rPr>
        <w:t>alternata</w:t>
      </w:r>
      <w:proofErr w:type="spellEnd"/>
      <w:r w:rsidRPr="00A24507">
        <w:rPr>
          <w:rFonts w:ascii="Arial" w:hAnsi="Arial" w:cs="Arial"/>
          <w:i/>
          <w:iCs/>
          <w:sz w:val="22"/>
          <w:szCs w:val="22"/>
          <w:lang w:val="en-GB"/>
        </w:rPr>
        <w:t xml:space="preserve"> </w:t>
      </w:r>
      <w:r w:rsidRPr="00A24507">
        <w:rPr>
          <w:rFonts w:ascii="Arial" w:hAnsi="Arial" w:cs="Arial"/>
          <w:sz w:val="22"/>
          <w:szCs w:val="22"/>
          <w:lang w:val="en-GB"/>
        </w:rPr>
        <w:t>allergen extract (ALT) in PBS alone (</w:t>
      </w:r>
      <w:proofErr w:type="gramStart"/>
      <w:r w:rsidRPr="00A24507">
        <w:rPr>
          <w:rFonts w:ascii="Arial" w:hAnsi="Arial" w:cs="Arial"/>
          <w:sz w:val="22"/>
          <w:szCs w:val="22"/>
          <w:lang w:val="en-GB"/>
        </w:rPr>
        <w:t>ALT:PBS</w:t>
      </w:r>
      <w:proofErr w:type="gramEnd"/>
      <w:r w:rsidRPr="00A24507">
        <w:rPr>
          <w:rFonts w:ascii="Arial" w:hAnsi="Arial" w:cs="Arial"/>
          <w:sz w:val="22"/>
          <w:szCs w:val="22"/>
          <w:lang w:val="en-GB"/>
        </w:rPr>
        <w:t xml:space="preserve">), or co-dosed with ALT and inactive </w:t>
      </w:r>
      <w:proofErr w:type="spellStart"/>
      <w:r w:rsidRPr="00A24507">
        <w:rPr>
          <w:rFonts w:ascii="Arial" w:hAnsi="Arial" w:cs="Arial"/>
          <w:sz w:val="22"/>
          <w:szCs w:val="22"/>
          <w:lang w:val="en-GB"/>
        </w:rPr>
        <w:t>AChE</w:t>
      </w:r>
      <w:proofErr w:type="spellEnd"/>
      <w:r w:rsidRPr="00A24507">
        <w:rPr>
          <w:rFonts w:ascii="Arial" w:hAnsi="Arial" w:cs="Arial"/>
          <w:sz w:val="22"/>
          <w:szCs w:val="22"/>
          <w:lang w:val="en-GB"/>
        </w:rPr>
        <w:t xml:space="preserve"> (</w:t>
      </w:r>
      <w:proofErr w:type="spellStart"/>
      <w:r w:rsidRPr="00A24507">
        <w:rPr>
          <w:rFonts w:ascii="Arial" w:hAnsi="Arial" w:cs="Arial"/>
          <w:sz w:val="22"/>
          <w:szCs w:val="22"/>
          <w:lang w:val="en-GB"/>
        </w:rPr>
        <w:t>ALT:Ai</w:t>
      </w:r>
      <w:proofErr w:type="spellEnd"/>
      <w:r w:rsidRPr="00A24507">
        <w:rPr>
          <w:rFonts w:ascii="Arial" w:hAnsi="Arial" w:cs="Arial"/>
          <w:sz w:val="22"/>
          <w:szCs w:val="22"/>
          <w:lang w:val="en-GB"/>
        </w:rPr>
        <w:t xml:space="preserve">) or ALT and active </w:t>
      </w:r>
      <w:proofErr w:type="spellStart"/>
      <w:r w:rsidRPr="00A24507">
        <w:rPr>
          <w:rFonts w:ascii="Arial" w:hAnsi="Arial" w:cs="Arial"/>
          <w:sz w:val="22"/>
          <w:szCs w:val="22"/>
          <w:lang w:val="en-GB"/>
        </w:rPr>
        <w:t>AChE</w:t>
      </w:r>
      <w:proofErr w:type="spellEnd"/>
      <w:r w:rsidRPr="00A24507">
        <w:rPr>
          <w:rFonts w:ascii="Arial" w:hAnsi="Arial" w:cs="Arial"/>
          <w:sz w:val="22"/>
          <w:szCs w:val="22"/>
          <w:lang w:val="en-GB"/>
        </w:rPr>
        <w:t xml:space="preserve"> (</w:t>
      </w:r>
      <w:proofErr w:type="spellStart"/>
      <w:r w:rsidRPr="00A24507">
        <w:rPr>
          <w:rFonts w:ascii="Arial" w:hAnsi="Arial" w:cs="Arial"/>
          <w:sz w:val="22"/>
          <w:szCs w:val="22"/>
          <w:lang w:val="en-GB"/>
        </w:rPr>
        <w:t>ALT:Aa</w:t>
      </w:r>
      <w:proofErr w:type="spellEnd"/>
      <w:r w:rsidRPr="00A24507">
        <w:rPr>
          <w:rFonts w:ascii="Arial" w:hAnsi="Arial" w:cs="Arial"/>
          <w:sz w:val="22"/>
          <w:szCs w:val="22"/>
          <w:lang w:val="en-GB"/>
        </w:rPr>
        <w:t>). A second dose of PBS, Ai or Aa was given 24 hours after the initial dose to the relevant groups. Sample harvest and analysis was conducted 48 hours after the initial dose. Mean fluorescence intensity (MFI) of</w:t>
      </w:r>
      <w:r w:rsidRPr="00A24507">
        <w:rPr>
          <w:rFonts w:ascii="Arial" w:hAnsi="Arial" w:cs="Arial"/>
          <w:b/>
          <w:sz w:val="22"/>
          <w:szCs w:val="22"/>
          <w:lang w:val="en-GB"/>
        </w:rPr>
        <w:t xml:space="preserve"> B. </w:t>
      </w:r>
      <w:r w:rsidRPr="00A24507">
        <w:rPr>
          <w:rFonts w:ascii="Arial" w:hAnsi="Arial" w:cs="Arial"/>
          <w:sz w:val="22"/>
          <w:szCs w:val="22"/>
          <w:lang w:val="en-GB"/>
        </w:rPr>
        <w:t>CD11b staining for lung eosinophils.</w:t>
      </w:r>
      <w:r w:rsidRPr="00A24507">
        <w:rPr>
          <w:rFonts w:ascii="Arial" w:hAnsi="Arial" w:cs="Arial"/>
          <w:b/>
          <w:bCs/>
          <w:sz w:val="22"/>
          <w:szCs w:val="22"/>
          <w:lang w:val="en-GB"/>
        </w:rPr>
        <w:t xml:space="preserve"> C. </w:t>
      </w:r>
      <w:r w:rsidRPr="00A24507">
        <w:rPr>
          <w:rFonts w:ascii="Arial" w:hAnsi="Arial" w:cs="Arial"/>
          <w:sz w:val="22"/>
          <w:szCs w:val="22"/>
          <w:lang w:val="en-GB"/>
        </w:rPr>
        <w:t>CD11b staining for airway eosinophils.</w:t>
      </w:r>
      <w:r w:rsidRPr="00A24507">
        <w:rPr>
          <w:rFonts w:ascii="Arial" w:hAnsi="Arial" w:cs="Arial"/>
          <w:b/>
          <w:bCs/>
          <w:sz w:val="22"/>
          <w:szCs w:val="22"/>
          <w:lang w:val="en-GB"/>
        </w:rPr>
        <w:t xml:space="preserve">  D. </w:t>
      </w:r>
      <w:r w:rsidRPr="00A24507">
        <w:rPr>
          <w:rFonts w:ascii="Arial" w:hAnsi="Arial" w:cs="Arial"/>
          <w:sz w:val="22"/>
          <w:szCs w:val="22"/>
          <w:lang w:val="en-GB"/>
        </w:rPr>
        <w:t>CD11b staining for lung neutrophils.</w:t>
      </w:r>
      <w:r w:rsidRPr="00A24507">
        <w:rPr>
          <w:rFonts w:ascii="Arial" w:hAnsi="Arial" w:cs="Arial"/>
          <w:b/>
          <w:bCs/>
          <w:sz w:val="22"/>
          <w:szCs w:val="22"/>
          <w:lang w:val="en-GB"/>
        </w:rPr>
        <w:t xml:space="preserve"> E.</w:t>
      </w:r>
      <w:r w:rsidRPr="00A24507">
        <w:rPr>
          <w:rFonts w:ascii="Arial" w:hAnsi="Arial" w:cs="Arial"/>
          <w:sz w:val="22"/>
          <w:szCs w:val="22"/>
          <w:lang w:val="en-GB"/>
        </w:rPr>
        <w:t xml:space="preserve"> CD11b staining for airway neutrophils. </w:t>
      </w:r>
      <w:r w:rsidRPr="00A24507">
        <w:rPr>
          <w:rFonts w:ascii="Arial" w:hAnsi="Arial" w:cs="Arial"/>
          <w:b/>
          <w:bCs/>
          <w:sz w:val="22"/>
          <w:szCs w:val="22"/>
          <w:lang w:val="en-GB"/>
        </w:rPr>
        <w:t xml:space="preserve">F. </w:t>
      </w:r>
      <w:r w:rsidRPr="00A24507">
        <w:rPr>
          <w:rFonts w:ascii="Arial" w:hAnsi="Arial" w:cs="Arial"/>
          <w:sz w:val="22"/>
          <w:szCs w:val="22"/>
          <w:lang w:val="en-GB"/>
        </w:rPr>
        <w:t>Gr-1 staining for lung neutrophils</w:t>
      </w:r>
      <w:r w:rsidRPr="00A24507">
        <w:rPr>
          <w:rFonts w:ascii="Arial" w:hAnsi="Arial" w:cs="Arial"/>
          <w:b/>
          <w:bCs/>
          <w:sz w:val="22"/>
          <w:szCs w:val="22"/>
          <w:lang w:val="en-GB"/>
        </w:rPr>
        <w:t xml:space="preserve">.  G. </w:t>
      </w:r>
      <w:r w:rsidRPr="00A24507">
        <w:rPr>
          <w:rFonts w:ascii="Arial" w:hAnsi="Arial" w:cs="Arial"/>
          <w:sz w:val="22"/>
          <w:szCs w:val="22"/>
          <w:lang w:val="en-GB"/>
        </w:rPr>
        <w:t>Gr-1 staining for airway neutrophils</w:t>
      </w:r>
      <w:r w:rsidRPr="00A24507">
        <w:rPr>
          <w:rFonts w:ascii="Arial" w:hAnsi="Arial" w:cs="Arial"/>
          <w:b/>
          <w:bCs/>
          <w:sz w:val="22"/>
          <w:szCs w:val="22"/>
          <w:lang w:val="en-GB"/>
        </w:rPr>
        <w:t xml:space="preserve">. </w:t>
      </w:r>
      <w:r w:rsidRPr="00A24507">
        <w:rPr>
          <w:rFonts w:ascii="Arial" w:hAnsi="Arial" w:cs="Arial"/>
          <w:sz w:val="22"/>
          <w:szCs w:val="22"/>
          <w:lang w:val="en-GB"/>
        </w:rPr>
        <w:t xml:space="preserve">MFI data are normalised to the mean of PBS control values. Data points represent individual animals. Data are representative of 2 independent experiments with n=5 mice per group. </w:t>
      </w:r>
      <w:r w:rsidRPr="00A24507">
        <w:rPr>
          <w:rFonts w:ascii="Arial" w:hAnsi="Arial" w:cs="Arial"/>
          <w:sz w:val="22"/>
          <w:szCs w:val="22"/>
        </w:rPr>
        <w:t>*p&lt;0.05, **p&lt;0.01, ****p&lt;0.0001, ns = non-significant difference (</w:t>
      </w:r>
      <w:r w:rsidRPr="00A24507">
        <w:rPr>
          <w:rFonts w:ascii="Arial" w:hAnsi="Arial" w:cs="Arial"/>
          <w:i/>
          <w:sz w:val="22"/>
          <w:szCs w:val="22"/>
        </w:rPr>
        <w:t>p</w:t>
      </w:r>
      <w:r w:rsidRPr="00A24507">
        <w:rPr>
          <w:rFonts w:ascii="Arial" w:hAnsi="Arial" w:cs="Arial"/>
          <w:sz w:val="22"/>
          <w:szCs w:val="22"/>
        </w:rPr>
        <w:t>&gt;0.05).</w:t>
      </w:r>
    </w:p>
    <w:p w14:paraId="0D75F5A0"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015CB234"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5C2D1568" w14:textId="77777777" w:rsidR="00973FBA" w:rsidRPr="0099572E" w:rsidRDefault="00973FBA" w:rsidP="00973FBA">
      <w:pPr>
        <w:jc w:val="both"/>
        <w:rPr>
          <w:rFonts w:ascii="Arial" w:hAnsi="Arial" w:cs="Arial"/>
        </w:rPr>
      </w:pPr>
    </w:p>
    <w:p w14:paraId="489B308A" w14:textId="77777777" w:rsidR="00973FBA" w:rsidRPr="0099572E" w:rsidRDefault="00973FBA" w:rsidP="00973FBA">
      <w:pPr>
        <w:jc w:val="both"/>
        <w:rPr>
          <w:rFonts w:ascii="Arial" w:hAnsi="Arial" w:cs="Arial"/>
        </w:rPr>
      </w:pPr>
    </w:p>
    <w:p w14:paraId="04A209CF" w14:textId="77777777" w:rsidR="00973FBA" w:rsidRDefault="00973FBA" w:rsidP="00973FBA">
      <w:pPr>
        <w:jc w:val="both"/>
        <w:rPr>
          <w:rFonts w:ascii="Arial" w:hAnsi="Arial" w:cs="Arial"/>
        </w:rPr>
      </w:pPr>
    </w:p>
    <w:p w14:paraId="575EFE59" w14:textId="77777777" w:rsidR="00973FBA" w:rsidRDefault="00973FBA" w:rsidP="00973FBA">
      <w:pPr>
        <w:jc w:val="both"/>
        <w:rPr>
          <w:rFonts w:ascii="Arial" w:hAnsi="Arial" w:cs="Arial"/>
        </w:rPr>
      </w:pPr>
    </w:p>
    <w:p w14:paraId="7250865A" w14:textId="77777777" w:rsidR="00973FBA" w:rsidRPr="0099572E" w:rsidRDefault="00973FBA" w:rsidP="00973FBA">
      <w:pPr>
        <w:jc w:val="both"/>
        <w:rPr>
          <w:rFonts w:ascii="Arial" w:hAnsi="Arial" w:cs="Arial"/>
        </w:rPr>
      </w:pPr>
    </w:p>
    <w:p w14:paraId="163F2BBA" w14:textId="77777777" w:rsidR="00973FBA" w:rsidRPr="0099572E" w:rsidRDefault="00973FBA" w:rsidP="00973FBA">
      <w:pPr>
        <w:jc w:val="both"/>
        <w:rPr>
          <w:rFonts w:ascii="Arial" w:hAnsi="Arial" w:cs="Arial"/>
        </w:rPr>
      </w:pPr>
    </w:p>
    <w:p w14:paraId="107D29F5" w14:textId="77777777" w:rsidR="00973FBA" w:rsidRPr="0099572E" w:rsidRDefault="00973FBA" w:rsidP="00973FBA">
      <w:pPr>
        <w:jc w:val="both"/>
        <w:rPr>
          <w:rFonts w:ascii="Arial" w:hAnsi="Arial" w:cs="Arial"/>
        </w:rPr>
      </w:pPr>
    </w:p>
    <w:p w14:paraId="636ABFEF" w14:textId="77777777" w:rsidR="00973FBA" w:rsidRPr="0099572E" w:rsidRDefault="00973FBA" w:rsidP="00973FBA">
      <w:pPr>
        <w:jc w:val="both"/>
        <w:rPr>
          <w:rFonts w:ascii="Arial" w:hAnsi="Arial" w:cs="Arial"/>
        </w:rPr>
      </w:pPr>
    </w:p>
    <w:p w14:paraId="1707E039" w14:textId="77777777" w:rsidR="00973FBA" w:rsidRPr="0099572E" w:rsidRDefault="00973FBA" w:rsidP="00973FBA">
      <w:pPr>
        <w:jc w:val="both"/>
        <w:rPr>
          <w:rFonts w:ascii="Arial" w:hAnsi="Arial" w:cs="Arial"/>
        </w:rPr>
      </w:pPr>
    </w:p>
    <w:p w14:paraId="24319ABD" w14:textId="77777777" w:rsidR="00973FBA" w:rsidRPr="0099572E" w:rsidRDefault="00973FBA" w:rsidP="00973FBA">
      <w:pPr>
        <w:jc w:val="both"/>
        <w:rPr>
          <w:rFonts w:ascii="Arial" w:hAnsi="Arial" w:cs="Arial"/>
        </w:rPr>
      </w:pPr>
      <w:r w:rsidRPr="0099572E">
        <w:rPr>
          <w:rFonts w:ascii="Arial" w:hAnsi="Arial" w:cs="Arial"/>
          <w:b/>
          <w:bCs/>
          <w:noProof/>
          <w:sz w:val="22"/>
          <w:szCs w:val="22"/>
          <w:lang w:val="en-GB"/>
        </w:rPr>
        <w:lastRenderedPageBreak/>
        <w:drawing>
          <wp:anchor distT="0" distB="0" distL="114300" distR="114300" simplePos="0" relativeHeight="251660288" behindDoc="1" locked="0" layoutInCell="1" allowOverlap="1" wp14:anchorId="2E85D33C" wp14:editId="5F055EDD">
            <wp:simplePos x="0" y="0"/>
            <wp:positionH relativeFrom="margin">
              <wp:align>center</wp:align>
            </wp:positionH>
            <wp:positionV relativeFrom="paragraph">
              <wp:posOffset>-3869</wp:posOffset>
            </wp:positionV>
            <wp:extent cx="6220239" cy="3498112"/>
            <wp:effectExtent l="0" t="0" r="0" b="7620"/>
            <wp:wrapNone/>
            <wp:docPr id="26" name="Picture 26"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Text&#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20239" cy="3498112"/>
                    </a:xfrm>
                    <a:prstGeom prst="rect">
                      <a:avLst/>
                    </a:prstGeom>
                    <a:noFill/>
                  </pic:spPr>
                </pic:pic>
              </a:graphicData>
            </a:graphic>
            <wp14:sizeRelH relativeFrom="page">
              <wp14:pctWidth>0</wp14:pctWidth>
            </wp14:sizeRelH>
            <wp14:sizeRelV relativeFrom="page">
              <wp14:pctHeight>0</wp14:pctHeight>
            </wp14:sizeRelV>
          </wp:anchor>
        </w:drawing>
      </w:r>
    </w:p>
    <w:p w14:paraId="1E0A08B3" w14:textId="77777777" w:rsidR="00973FBA" w:rsidRPr="0099572E" w:rsidRDefault="00973FBA" w:rsidP="00973FBA">
      <w:pPr>
        <w:jc w:val="both"/>
        <w:rPr>
          <w:rFonts w:ascii="Arial" w:hAnsi="Arial" w:cs="Arial"/>
        </w:rPr>
      </w:pPr>
    </w:p>
    <w:p w14:paraId="01FC6BCF" w14:textId="77777777" w:rsidR="00973FBA" w:rsidRPr="0099572E" w:rsidRDefault="00973FBA" w:rsidP="00973FBA">
      <w:pPr>
        <w:jc w:val="both"/>
        <w:rPr>
          <w:rFonts w:ascii="Arial" w:hAnsi="Arial" w:cs="Arial"/>
        </w:rPr>
      </w:pPr>
    </w:p>
    <w:p w14:paraId="4BC0A131" w14:textId="77777777" w:rsidR="00973FBA" w:rsidRPr="0099572E" w:rsidRDefault="00973FBA" w:rsidP="00973FBA">
      <w:pPr>
        <w:jc w:val="both"/>
        <w:rPr>
          <w:rFonts w:ascii="Arial" w:hAnsi="Arial" w:cs="Arial"/>
        </w:rPr>
      </w:pPr>
    </w:p>
    <w:p w14:paraId="37F4A919" w14:textId="77777777" w:rsidR="00973FBA" w:rsidRPr="0099572E" w:rsidRDefault="00973FBA" w:rsidP="00973FBA">
      <w:pPr>
        <w:jc w:val="both"/>
        <w:rPr>
          <w:rFonts w:ascii="Arial" w:hAnsi="Arial" w:cs="Arial"/>
        </w:rPr>
      </w:pPr>
    </w:p>
    <w:p w14:paraId="4007FBD3" w14:textId="77777777" w:rsidR="00973FBA" w:rsidRPr="0099572E" w:rsidRDefault="00973FBA" w:rsidP="00973FBA">
      <w:pPr>
        <w:jc w:val="both"/>
        <w:rPr>
          <w:rFonts w:ascii="Arial" w:hAnsi="Arial" w:cs="Arial"/>
        </w:rPr>
      </w:pPr>
    </w:p>
    <w:p w14:paraId="0D549C08" w14:textId="77777777" w:rsidR="00973FBA" w:rsidRPr="0099572E" w:rsidRDefault="00973FBA" w:rsidP="00973FBA">
      <w:pPr>
        <w:jc w:val="both"/>
        <w:rPr>
          <w:rFonts w:ascii="Arial" w:hAnsi="Arial" w:cs="Arial"/>
        </w:rPr>
      </w:pPr>
    </w:p>
    <w:p w14:paraId="01F2923C" w14:textId="77777777" w:rsidR="00973FBA" w:rsidRPr="0099572E" w:rsidRDefault="00973FBA" w:rsidP="00973FBA">
      <w:pPr>
        <w:jc w:val="both"/>
        <w:rPr>
          <w:rFonts w:ascii="Arial" w:hAnsi="Arial" w:cs="Arial"/>
        </w:rPr>
      </w:pPr>
    </w:p>
    <w:p w14:paraId="51E0CB88" w14:textId="77777777" w:rsidR="00973FBA" w:rsidRPr="0099572E" w:rsidRDefault="00973FBA" w:rsidP="00973FBA">
      <w:pPr>
        <w:jc w:val="both"/>
        <w:rPr>
          <w:rFonts w:ascii="Arial" w:hAnsi="Arial" w:cs="Arial"/>
        </w:rPr>
      </w:pPr>
    </w:p>
    <w:p w14:paraId="37ED020A" w14:textId="77777777" w:rsidR="00973FBA" w:rsidRPr="0099572E" w:rsidRDefault="00973FBA" w:rsidP="00973FBA">
      <w:pPr>
        <w:jc w:val="both"/>
        <w:rPr>
          <w:rFonts w:ascii="Arial" w:hAnsi="Arial" w:cs="Arial"/>
        </w:rPr>
      </w:pPr>
    </w:p>
    <w:p w14:paraId="1A741E1D" w14:textId="77777777" w:rsidR="00973FBA" w:rsidRPr="0099572E" w:rsidRDefault="00973FBA" w:rsidP="00973FBA">
      <w:pPr>
        <w:jc w:val="both"/>
        <w:rPr>
          <w:rFonts w:ascii="Arial" w:hAnsi="Arial" w:cs="Arial"/>
        </w:rPr>
      </w:pPr>
    </w:p>
    <w:p w14:paraId="73B40843" w14:textId="77777777" w:rsidR="00973FBA" w:rsidRPr="0099572E" w:rsidRDefault="00973FBA" w:rsidP="00973FBA">
      <w:pPr>
        <w:jc w:val="both"/>
        <w:rPr>
          <w:rFonts w:ascii="Arial" w:hAnsi="Arial" w:cs="Arial"/>
        </w:rPr>
      </w:pPr>
    </w:p>
    <w:p w14:paraId="5CADE85A" w14:textId="77777777" w:rsidR="00973FBA" w:rsidRPr="0099572E" w:rsidRDefault="00973FBA" w:rsidP="00973FBA">
      <w:pPr>
        <w:jc w:val="both"/>
        <w:rPr>
          <w:rFonts w:ascii="Arial" w:hAnsi="Arial" w:cs="Arial"/>
        </w:rPr>
      </w:pPr>
    </w:p>
    <w:p w14:paraId="16B7A1D6" w14:textId="77777777" w:rsidR="00973FBA" w:rsidRPr="0099572E" w:rsidRDefault="00973FBA" w:rsidP="00973FBA">
      <w:pPr>
        <w:jc w:val="both"/>
        <w:rPr>
          <w:rFonts w:ascii="Arial" w:hAnsi="Arial" w:cs="Arial"/>
        </w:rPr>
      </w:pPr>
    </w:p>
    <w:p w14:paraId="1DC839C1" w14:textId="77777777" w:rsidR="00973FBA" w:rsidRPr="0099572E" w:rsidRDefault="00973FBA" w:rsidP="00973FBA">
      <w:pPr>
        <w:jc w:val="both"/>
        <w:rPr>
          <w:rFonts w:ascii="Arial" w:hAnsi="Arial" w:cs="Arial"/>
        </w:rPr>
      </w:pPr>
    </w:p>
    <w:p w14:paraId="255C5EA2" w14:textId="77777777" w:rsidR="00973FBA" w:rsidRPr="0099572E" w:rsidRDefault="00973FBA" w:rsidP="00973FBA">
      <w:pPr>
        <w:jc w:val="both"/>
        <w:rPr>
          <w:rFonts w:ascii="Arial" w:hAnsi="Arial" w:cs="Arial"/>
        </w:rPr>
      </w:pPr>
    </w:p>
    <w:p w14:paraId="63A72532" w14:textId="77777777" w:rsidR="00973FBA" w:rsidRPr="0099572E" w:rsidRDefault="00973FBA" w:rsidP="00973FBA">
      <w:pPr>
        <w:jc w:val="both"/>
        <w:rPr>
          <w:rFonts w:ascii="Arial" w:hAnsi="Arial" w:cs="Arial"/>
        </w:rPr>
      </w:pPr>
    </w:p>
    <w:p w14:paraId="1E4ADFC9" w14:textId="77777777" w:rsidR="00973FBA" w:rsidRPr="0099572E" w:rsidRDefault="00973FBA" w:rsidP="00973FBA">
      <w:pPr>
        <w:jc w:val="both"/>
        <w:rPr>
          <w:rFonts w:ascii="Arial" w:hAnsi="Arial" w:cs="Arial"/>
        </w:rPr>
      </w:pPr>
    </w:p>
    <w:p w14:paraId="3977D5B9"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454EDA6C"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7D1E2E42"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09E18FB1" w14:textId="77777777" w:rsidR="00973FBA" w:rsidRPr="0099572E" w:rsidRDefault="00973FBA" w:rsidP="00973FBA">
      <w:pPr>
        <w:pStyle w:val="Paragraph"/>
        <w:spacing w:line="276" w:lineRule="auto"/>
        <w:ind w:firstLine="0"/>
        <w:jc w:val="both"/>
        <w:rPr>
          <w:rFonts w:ascii="Arial" w:hAnsi="Arial" w:cs="Arial"/>
          <w:b/>
          <w:bCs/>
          <w:sz w:val="22"/>
          <w:szCs w:val="22"/>
          <w:lang w:val="en-GB"/>
        </w:rPr>
      </w:pPr>
    </w:p>
    <w:p w14:paraId="2D523A91" w14:textId="77777777" w:rsidR="00973FBA" w:rsidRPr="0099572E" w:rsidRDefault="00973FBA" w:rsidP="00973FBA">
      <w:pPr>
        <w:pStyle w:val="Paragraph"/>
        <w:spacing w:line="276" w:lineRule="auto"/>
        <w:ind w:firstLine="0"/>
        <w:jc w:val="both"/>
        <w:rPr>
          <w:rFonts w:ascii="Arial" w:hAnsi="Arial" w:cs="Arial"/>
          <w:bCs/>
        </w:rPr>
      </w:pPr>
      <w:r w:rsidRPr="0065455C">
        <w:rPr>
          <w:rFonts w:ascii="Arial" w:hAnsi="Arial" w:cs="Arial"/>
          <w:b/>
          <w:bCs/>
          <w:sz w:val="22"/>
          <w:szCs w:val="22"/>
          <w:lang w:val="en-GB"/>
        </w:rPr>
        <w:t>Supplemental Figure 5.</w:t>
      </w:r>
      <w:r w:rsidRPr="0065455C">
        <w:rPr>
          <w:rFonts w:ascii="Arial" w:hAnsi="Arial" w:cs="Arial"/>
          <w:b/>
          <w:sz w:val="22"/>
          <w:szCs w:val="22"/>
        </w:rPr>
        <w:t xml:space="preserve"> Representative gating strategies for alveolar and interstitial murine macrophage populations at baseline and following exposure to </w:t>
      </w:r>
      <w:r w:rsidRPr="0065455C">
        <w:rPr>
          <w:rFonts w:ascii="Arial" w:hAnsi="Arial" w:cs="Arial"/>
          <w:b/>
          <w:i/>
          <w:iCs/>
          <w:sz w:val="22"/>
          <w:szCs w:val="22"/>
        </w:rPr>
        <w:t>Alternaria</w:t>
      </w:r>
      <w:r w:rsidRPr="0065455C">
        <w:rPr>
          <w:rFonts w:ascii="Arial" w:hAnsi="Arial" w:cs="Arial"/>
          <w:b/>
          <w:sz w:val="22"/>
          <w:szCs w:val="22"/>
        </w:rPr>
        <w:t xml:space="preserve"> (related to Figure 5). </w:t>
      </w:r>
      <w:r w:rsidRPr="0065455C">
        <w:rPr>
          <w:rFonts w:ascii="Arial" w:hAnsi="Arial" w:cs="Arial"/>
          <w:bCs/>
          <w:sz w:val="22"/>
          <w:szCs w:val="22"/>
        </w:rPr>
        <w:t>Representative</w:t>
      </w:r>
      <w:r w:rsidRPr="0065455C">
        <w:rPr>
          <w:rFonts w:ascii="Arial" w:hAnsi="Arial" w:cs="Arial"/>
          <w:b/>
          <w:sz w:val="22"/>
          <w:szCs w:val="22"/>
        </w:rPr>
        <w:t xml:space="preserve"> </w:t>
      </w:r>
      <w:r w:rsidRPr="0065455C">
        <w:rPr>
          <w:rFonts w:ascii="Arial" w:hAnsi="Arial" w:cs="Arial"/>
          <w:bCs/>
          <w:sz w:val="22"/>
          <w:szCs w:val="22"/>
        </w:rPr>
        <w:t>gating for monocyte-derived alveolar</w:t>
      </w:r>
      <w:r w:rsidRPr="0065455C">
        <w:rPr>
          <w:rFonts w:ascii="Arial" w:hAnsi="Arial" w:cs="Arial"/>
          <w:b/>
          <w:sz w:val="22"/>
          <w:szCs w:val="22"/>
        </w:rPr>
        <w:t xml:space="preserve"> </w:t>
      </w:r>
      <w:r w:rsidRPr="0065455C">
        <w:rPr>
          <w:rFonts w:ascii="Arial" w:hAnsi="Arial" w:cs="Arial"/>
          <w:bCs/>
          <w:sz w:val="22"/>
          <w:szCs w:val="22"/>
        </w:rPr>
        <w:t xml:space="preserve">macrophages (Mo-AMΦ) and tissue-resident alveolar macrophages (TR-AMΦ) in the airways of </w:t>
      </w:r>
      <w:r w:rsidRPr="0065455C">
        <w:rPr>
          <w:rFonts w:ascii="Arial" w:hAnsi="Arial" w:cs="Arial"/>
          <w:b/>
          <w:sz w:val="22"/>
          <w:szCs w:val="22"/>
        </w:rPr>
        <w:t xml:space="preserve">A. </w:t>
      </w:r>
      <w:r w:rsidRPr="0065455C">
        <w:rPr>
          <w:rFonts w:ascii="Arial" w:hAnsi="Arial" w:cs="Arial"/>
          <w:bCs/>
          <w:sz w:val="22"/>
          <w:szCs w:val="22"/>
        </w:rPr>
        <w:t xml:space="preserve">PBS only treated control animals (baseline) and </w:t>
      </w:r>
      <w:r w:rsidRPr="0065455C">
        <w:rPr>
          <w:rFonts w:ascii="Arial" w:hAnsi="Arial" w:cs="Arial"/>
          <w:b/>
          <w:sz w:val="22"/>
          <w:szCs w:val="22"/>
        </w:rPr>
        <w:t>B.</w:t>
      </w:r>
      <w:r w:rsidRPr="0065455C">
        <w:rPr>
          <w:rFonts w:ascii="Arial" w:hAnsi="Arial" w:cs="Arial"/>
          <w:bCs/>
          <w:sz w:val="22"/>
          <w:szCs w:val="22"/>
        </w:rPr>
        <w:t xml:space="preserve"> mice treated with </w:t>
      </w:r>
      <w:r w:rsidRPr="0065455C">
        <w:rPr>
          <w:rFonts w:ascii="Arial" w:hAnsi="Arial" w:cs="Arial"/>
          <w:bCs/>
          <w:i/>
          <w:iCs/>
          <w:sz w:val="22"/>
          <w:szCs w:val="22"/>
        </w:rPr>
        <w:t xml:space="preserve">Alternaria </w:t>
      </w:r>
      <w:proofErr w:type="spellStart"/>
      <w:r w:rsidRPr="0065455C">
        <w:rPr>
          <w:rFonts w:ascii="Arial" w:hAnsi="Arial" w:cs="Arial"/>
          <w:bCs/>
          <w:i/>
          <w:iCs/>
          <w:sz w:val="22"/>
          <w:szCs w:val="22"/>
        </w:rPr>
        <w:t>alternata</w:t>
      </w:r>
      <w:proofErr w:type="spellEnd"/>
      <w:r w:rsidRPr="0065455C">
        <w:rPr>
          <w:rFonts w:ascii="Arial" w:hAnsi="Arial" w:cs="Arial"/>
          <w:bCs/>
          <w:i/>
          <w:iCs/>
          <w:sz w:val="22"/>
          <w:szCs w:val="22"/>
        </w:rPr>
        <w:t xml:space="preserve"> </w:t>
      </w:r>
      <w:r w:rsidRPr="0065455C">
        <w:rPr>
          <w:rFonts w:ascii="Arial" w:hAnsi="Arial" w:cs="Arial"/>
          <w:bCs/>
          <w:sz w:val="22"/>
          <w:szCs w:val="22"/>
        </w:rPr>
        <w:t xml:space="preserve">allergen extract (ALT), and interstitial macrophages (IMΦ) in lung tissue of </w:t>
      </w:r>
      <w:r w:rsidRPr="0065455C">
        <w:rPr>
          <w:rFonts w:ascii="Arial" w:hAnsi="Arial" w:cs="Arial"/>
          <w:b/>
          <w:sz w:val="22"/>
          <w:szCs w:val="22"/>
        </w:rPr>
        <w:t>C.</w:t>
      </w:r>
      <w:r w:rsidRPr="0065455C">
        <w:rPr>
          <w:rFonts w:ascii="Arial" w:hAnsi="Arial" w:cs="Arial"/>
          <w:bCs/>
          <w:sz w:val="22"/>
          <w:szCs w:val="22"/>
        </w:rPr>
        <w:t xml:space="preserve">  PBS only treated controls and </w:t>
      </w:r>
      <w:r w:rsidRPr="0065455C">
        <w:rPr>
          <w:rFonts w:ascii="Arial" w:hAnsi="Arial" w:cs="Arial"/>
          <w:b/>
          <w:sz w:val="22"/>
          <w:szCs w:val="22"/>
        </w:rPr>
        <w:t>D.</w:t>
      </w:r>
      <w:r w:rsidRPr="0065455C">
        <w:rPr>
          <w:rFonts w:ascii="Arial" w:hAnsi="Arial" w:cs="Arial"/>
          <w:bCs/>
          <w:sz w:val="22"/>
          <w:szCs w:val="22"/>
        </w:rPr>
        <w:t xml:space="preserve"> ALT treated mice. </w:t>
      </w:r>
      <w:r w:rsidRPr="0065455C">
        <w:rPr>
          <w:rFonts w:ascii="Arial" w:hAnsi="Arial" w:cs="Arial"/>
          <w:b/>
          <w:sz w:val="22"/>
          <w:szCs w:val="22"/>
        </w:rPr>
        <w:t>E</w:t>
      </w:r>
      <w:r w:rsidRPr="0065455C">
        <w:rPr>
          <w:rFonts w:ascii="Arial" w:hAnsi="Arial" w:cs="Arial"/>
          <w:bCs/>
          <w:sz w:val="22"/>
          <w:szCs w:val="22"/>
        </w:rPr>
        <w:t xml:space="preserve">. M1 and M2 macrophages were identified based on CD206 and MHCII expression. </w:t>
      </w:r>
      <w:r w:rsidRPr="0065455C">
        <w:rPr>
          <w:rFonts w:ascii="Arial" w:hAnsi="Arial" w:cs="Arial"/>
          <w:sz w:val="22"/>
          <w:szCs w:val="22"/>
          <w:lang w:val="en-GB"/>
        </w:rPr>
        <w:t>Numbers on the flow cytometry plots indicate proportion of the indicated parent population. Populations are pre-gated as live single cells.</w:t>
      </w:r>
      <w:r w:rsidRPr="0099572E">
        <w:rPr>
          <w:rFonts w:ascii="Arial" w:hAnsi="Arial" w:cs="Arial"/>
          <w:sz w:val="22"/>
          <w:szCs w:val="22"/>
          <w:lang w:val="en-GB"/>
        </w:rPr>
        <w:t xml:space="preserve"> </w:t>
      </w:r>
    </w:p>
    <w:p w14:paraId="469D882B" w14:textId="77777777" w:rsidR="00973FBA" w:rsidRPr="0099572E" w:rsidRDefault="00973FBA" w:rsidP="00973FBA">
      <w:pPr>
        <w:jc w:val="both"/>
        <w:rPr>
          <w:rFonts w:ascii="Arial" w:hAnsi="Arial" w:cs="Arial"/>
        </w:rPr>
      </w:pPr>
    </w:p>
    <w:p w14:paraId="247DBC01" w14:textId="77777777" w:rsidR="00973FBA" w:rsidRPr="0099572E" w:rsidRDefault="00973FBA" w:rsidP="00973FBA">
      <w:pPr>
        <w:jc w:val="both"/>
        <w:rPr>
          <w:rFonts w:ascii="Arial" w:hAnsi="Arial" w:cs="Arial"/>
        </w:rPr>
      </w:pPr>
    </w:p>
    <w:p w14:paraId="6C67AE4A" w14:textId="62475822" w:rsidR="008C640E" w:rsidRPr="00973FBA" w:rsidRDefault="008C640E" w:rsidP="00973FBA"/>
    <w:sectPr w:rsidR="008C640E" w:rsidRPr="00973F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640E"/>
    <w:rsid w:val="006C21F3"/>
    <w:rsid w:val="008C640E"/>
    <w:rsid w:val="00973FBA"/>
    <w:rsid w:val="009F4E42"/>
    <w:rsid w:val="00E867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43195"/>
  <w15:chartTrackingRefBased/>
  <w15:docId w15:val="{2606E862-E83E-4954-BEB8-08D24F1728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FBA"/>
    <w:pPr>
      <w:spacing w:after="0" w:line="240" w:lineRule="auto"/>
    </w:pPr>
    <w:rPr>
      <w:rFonts w:ascii="Times New Roman" w:eastAsia="Calibri" w:hAnsi="Times New Roman" w:cs="Times New Roman"/>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8C640E"/>
    <w:pPr>
      <w:spacing w:before="120"/>
      <w:ind w:firstLine="720"/>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roberts</dc:creator>
  <cp:keywords/>
  <dc:description/>
  <cp:lastModifiedBy>luke roberts</cp:lastModifiedBy>
  <cp:revision>2</cp:revision>
  <dcterms:created xsi:type="dcterms:W3CDTF">2022-04-21T15:18:00Z</dcterms:created>
  <dcterms:modified xsi:type="dcterms:W3CDTF">2022-04-21T15:18:00Z</dcterms:modified>
</cp:coreProperties>
</file>