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B8276A" w:rsidRDefault="00654E8F" w:rsidP="00B8276A">
      <w:pPr>
        <w:pStyle w:val="SupplementaryMaterial"/>
        <w:spacing w:before="120"/>
        <w:jc w:val="left"/>
        <w:rPr>
          <w:rFonts w:ascii="Georgia" w:hAnsi="Georgia"/>
          <w:sz w:val="38"/>
          <w:szCs w:val="38"/>
        </w:rPr>
      </w:pPr>
      <w:r w:rsidRPr="00B8276A">
        <w:rPr>
          <w:rFonts w:ascii="Georgia" w:hAnsi="Georgia"/>
          <w:sz w:val="38"/>
          <w:szCs w:val="38"/>
        </w:rPr>
        <w:t>Supplementary Material</w:t>
      </w:r>
    </w:p>
    <w:p w14:paraId="2FA14C1E" w14:textId="77777777" w:rsidR="00B8276A" w:rsidRPr="00B8276A" w:rsidRDefault="00B8276A" w:rsidP="00B8276A">
      <w:pPr>
        <w:pStyle w:val="Title"/>
        <w:spacing w:before="120" w:after="120"/>
        <w:jc w:val="left"/>
        <w:rPr>
          <w:rFonts w:ascii="Georgia" w:hAnsi="Georgia"/>
          <w:sz w:val="24"/>
          <w:szCs w:val="24"/>
        </w:rPr>
      </w:pPr>
    </w:p>
    <w:p w14:paraId="2128258D" w14:textId="77777777" w:rsidR="00B8276A" w:rsidRPr="00785BAE" w:rsidRDefault="00B8276A" w:rsidP="00B8276A">
      <w:pPr>
        <w:pStyle w:val="Title"/>
        <w:spacing w:before="120" w:after="120"/>
        <w:jc w:val="left"/>
        <w:rPr>
          <w:rFonts w:ascii="Georgia" w:hAnsi="Georgia"/>
        </w:rPr>
      </w:pPr>
      <w:r w:rsidRPr="00785BAE">
        <w:rPr>
          <w:rFonts w:ascii="Georgia" w:hAnsi="Georgia"/>
        </w:rPr>
        <w:t>Efficiency of carbon-based electrodes on a microbial electrolysis system for the treatment of bilge water</w:t>
      </w:r>
    </w:p>
    <w:p w14:paraId="1C355C1B" w14:textId="77777777" w:rsidR="00B8276A" w:rsidRPr="00B8276A" w:rsidRDefault="00B8276A" w:rsidP="00B8276A">
      <w:pPr>
        <w:spacing w:after="120"/>
        <w:rPr>
          <w:rFonts w:ascii="Georgia" w:hAnsi="Georgia" w:cs="Times New Roman"/>
          <w:b/>
          <w:szCs w:val="24"/>
        </w:rPr>
      </w:pPr>
    </w:p>
    <w:p w14:paraId="461B2F08" w14:textId="77777777" w:rsidR="00B8276A" w:rsidRPr="00B8276A" w:rsidRDefault="00B8276A" w:rsidP="00B8276A">
      <w:pPr>
        <w:spacing w:after="120"/>
        <w:rPr>
          <w:rFonts w:ascii="Georgia" w:hAnsi="Georgia" w:cs="Times New Roman"/>
          <w:b/>
          <w:szCs w:val="24"/>
        </w:rPr>
      </w:pPr>
      <w:r w:rsidRPr="00B8276A">
        <w:rPr>
          <w:rFonts w:ascii="Georgia" w:eastAsia="Times New Roman" w:hAnsi="Georgia" w:cs="Times New Roman"/>
          <w:b/>
          <w:szCs w:val="24"/>
          <w:lang w:eastAsia="it-IT"/>
        </w:rPr>
        <w:t>Georgia Gatidou</w:t>
      </w:r>
      <w:r w:rsidRPr="00B8276A">
        <w:rPr>
          <w:rFonts w:ascii="Georgia" w:eastAsia="Times New Roman" w:hAnsi="Georgia" w:cs="Times New Roman"/>
          <w:b/>
          <w:szCs w:val="24"/>
          <w:vertAlign w:val="superscript"/>
          <w:lang w:eastAsia="it-IT"/>
        </w:rPr>
        <w:t>1*</w:t>
      </w:r>
      <w:r w:rsidRPr="00B8276A">
        <w:rPr>
          <w:rFonts w:ascii="Georgia" w:eastAsia="Times New Roman" w:hAnsi="Georgia" w:cs="Times New Roman"/>
          <w:b/>
          <w:szCs w:val="24"/>
          <w:lang w:eastAsia="it-IT"/>
        </w:rPr>
        <w:t>, Marios Constantinou</w:t>
      </w:r>
      <w:r w:rsidRPr="00B8276A">
        <w:rPr>
          <w:rFonts w:ascii="Georgia" w:eastAsia="Times New Roman" w:hAnsi="Georgia" w:cs="Times New Roman"/>
          <w:b/>
          <w:szCs w:val="24"/>
          <w:vertAlign w:val="superscript"/>
          <w:lang w:eastAsia="it-IT"/>
        </w:rPr>
        <w:t>2</w:t>
      </w:r>
      <w:r w:rsidRPr="00B8276A">
        <w:rPr>
          <w:rFonts w:ascii="Georgia" w:eastAsia="Times New Roman" w:hAnsi="Georgia" w:cs="Times New Roman"/>
          <w:b/>
          <w:szCs w:val="24"/>
          <w:lang w:eastAsia="it-IT"/>
        </w:rPr>
        <w:t>, Loukas Koutsokeras</w:t>
      </w:r>
      <w:r w:rsidRPr="00B8276A">
        <w:rPr>
          <w:rFonts w:ascii="Georgia" w:eastAsia="Times New Roman" w:hAnsi="Georgia" w:cs="Times New Roman"/>
          <w:b/>
          <w:szCs w:val="24"/>
          <w:vertAlign w:val="superscript"/>
          <w:lang w:eastAsia="it-IT"/>
        </w:rPr>
        <w:t>2</w:t>
      </w:r>
      <w:r w:rsidRPr="00B8276A">
        <w:rPr>
          <w:rFonts w:ascii="Georgia" w:eastAsia="Times New Roman" w:hAnsi="Georgia" w:cs="Times New Roman"/>
          <w:b/>
          <w:szCs w:val="24"/>
          <w:lang w:eastAsia="it-IT"/>
        </w:rPr>
        <w:t>, Georgios Constantinides</w:t>
      </w:r>
      <w:r w:rsidRPr="00B8276A">
        <w:rPr>
          <w:rFonts w:ascii="Georgia" w:eastAsia="Times New Roman" w:hAnsi="Georgia" w:cs="Times New Roman"/>
          <w:b/>
          <w:szCs w:val="24"/>
          <w:vertAlign w:val="superscript"/>
          <w:lang w:eastAsia="it-IT"/>
        </w:rPr>
        <w:t>2</w:t>
      </w:r>
      <w:r w:rsidRPr="00B8276A">
        <w:rPr>
          <w:rFonts w:ascii="Georgia" w:hAnsi="Georgia" w:cs="Times New Roman"/>
          <w:b/>
          <w:szCs w:val="24"/>
        </w:rPr>
        <w:t>, Ioannis Vyrides</w:t>
      </w:r>
      <w:r w:rsidRPr="00B8276A">
        <w:rPr>
          <w:rFonts w:ascii="Georgia" w:hAnsi="Georgia" w:cs="Times New Roman"/>
          <w:b/>
          <w:szCs w:val="24"/>
          <w:vertAlign w:val="superscript"/>
        </w:rPr>
        <w:t>1</w:t>
      </w:r>
      <w:r w:rsidRPr="00B8276A">
        <w:rPr>
          <w:rFonts w:ascii="Georgia" w:hAnsi="Georgia" w:cs="Times New Roman"/>
          <w:b/>
          <w:szCs w:val="24"/>
        </w:rPr>
        <w:t>*</w:t>
      </w:r>
    </w:p>
    <w:p w14:paraId="1BE81ABA" w14:textId="0672037B" w:rsidR="00B8276A" w:rsidRPr="00B8276A" w:rsidRDefault="00B8276A" w:rsidP="00B8276A">
      <w:pPr>
        <w:spacing w:after="120"/>
        <w:rPr>
          <w:rFonts w:ascii="Georgia" w:hAnsi="Georgia" w:cs="Times New Roman"/>
          <w:szCs w:val="24"/>
        </w:rPr>
      </w:pPr>
      <w:r w:rsidRPr="00B8276A">
        <w:rPr>
          <w:rFonts w:ascii="Georgia" w:hAnsi="Georgia" w:cs="Times New Roman"/>
          <w:szCs w:val="24"/>
          <w:vertAlign w:val="superscript"/>
        </w:rPr>
        <w:t>1</w:t>
      </w:r>
      <w:r w:rsidRPr="00B8276A">
        <w:rPr>
          <w:rFonts w:ascii="Georgia" w:hAnsi="Georgia" w:cs="Times New Roman"/>
          <w:szCs w:val="24"/>
        </w:rPr>
        <w:t>Laboratory of Environmental Engineering, Department of Chemical Engineering, Cyprus University of Technology,</w:t>
      </w:r>
      <w:r w:rsidR="00E736BB">
        <w:rPr>
          <w:rFonts w:ascii="Georgia" w:hAnsi="Georgia" w:cs="Times New Roman"/>
          <w:szCs w:val="24"/>
        </w:rPr>
        <w:t xml:space="preserve"> </w:t>
      </w:r>
      <w:r w:rsidRPr="00B8276A">
        <w:rPr>
          <w:rFonts w:ascii="Georgia" w:hAnsi="Georgia" w:cs="Times New Roman"/>
          <w:szCs w:val="24"/>
        </w:rPr>
        <w:t xml:space="preserve"> </w:t>
      </w:r>
      <w:proofErr w:type="spellStart"/>
      <w:r w:rsidRPr="00B8276A">
        <w:rPr>
          <w:rFonts w:ascii="Georgia" w:hAnsi="Georgia" w:cs="Times New Roman"/>
          <w:szCs w:val="24"/>
        </w:rPr>
        <w:t>Anexartisias</w:t>
      </w:r>
      <w:proofErr w:type="spellEnd"/>
      <w:r w:rsidRPr="00B8276A">
        <w:rPr>
          <w:rFonts w:ascii="Georgia" w:hAnsi="Georgia" w:cs="Times New Roman"/>
          <w:szCs w:val="24"/>
        </w:rPr>
        <w:t xml:space="preserve"> 57 Str., </w:t>
      </w:r>
      <w:proofErr w:type="spellStart"/>
      <w:r w:rsidRPr="00B8276A">
        <w:rPr>
          <w:rFonts w:ascii="Georgia" w:hAnsi="Georgia" w:cs="Times New Roman"/>
          <w:szCs w:val="24"/>
        </w:rPr>
        <w:t>Lemesos</w:t>
      </w:r>
      <w:proofErr w:type="spellEnd"/>
      <w:r w:rsidRPr="00B8276A">
        <w:rPr>
          <w:rFonts w:ascii="Georgia" w:hAnsi="Georgia" w:cs="Times New Roman"/>
          <w:szCs w:val="24"/>
        </w:rPr>
        <w:t>, 3603, Cyprus</w:t>
      </w:r>
    </w:p>
    <w:p w14:paraId="32561CB9" w14:textId="77777777" w:rsidR="00B8276A" w:rsidRPr="00B8276A" w:rsidRDefault="00B8276A" w:rsidP="00B8276A">
      <w:pPr>
        <w:spacing w:after="120"/>
        <w:rPr>
          <w:rFonts w:ascii="Georgia" w:hAnsi="Georgia" w:cs="Times New Roman"/>
          <w:szCs w:val="24"/>
        </w:rPr>
      </w:pPr>
      <w:r w:rsidRPr="00B8276A">
        <w:rPr>
          <w:rFonts w:ascii="Georgia" w:hAnsi="Georgia" w:cs="Times New Roman"/>
          <w:szCs w:val="24"/>
          <w:vertAlign w:val="superscript"/>
        </w:rPr>
        <w:t>2</w:t>
      </w:r>
      <w:r w:rsidRPr="00B8276A">
        <w:rPr>
          <w:rFonts w:ascii="Georgia" w:hAnsi="Georgia" w:cs="Times New Roman"/>
          <w:szCs w:val="24"/>
        </w:rPr>
        <w:t>Nano/Micro Mechanics of Materials Laboratory and Research Unit for Nanostructured Materials Systems, Department of Mechanical Engineering and Materials Science and Engineering, Cyprus University of Technology, P. O. Box 50329, Limassol, 3603, Cyprus</w:t>
      </w:r>
    </w:p>
    <w:p w14:paraId="2C98C62A" w14:textId="77777777" w:rsidR="00B8276A" w:rsidRPr="00B8276A" w:rsidRDefault="00B8276A" w:rsidP="00B8276A">
      <w:pPr>
        <w:tabs>
          <w:tab w:val="left" w:pos="-879"/>
          <w:tab w:val="left" w:pos="0"/>
          <w:tab w:val="left" w:pos="993"/>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rPr>
          <w:rFonts w:ascii="Georgia" w:hAnsi="Georgia"/>
          <w:color w:val="323232"/>
          <w:szCs w:val="24"/>
          <w:shd w:val="clear" w:color="auto" w:fill="FFFFFF"/>
        </w:rPr>
      </w:pPr>
    </w:p>
    <w:p w14:paraId="1FE6BF2B" w14:textId="4CD0E451" w:rsidR="00B8276A" w:rsidRPr="00E736BB" w:rsidRDefault="00B8276A" w:rsidP="00E736BB">
      <w:pPr>
        <w:spacing w:after="120"/>
        <w:ind w:right="-1"/>
        <w:rPr>
          <w:rFonts w:ascii="Georgia" w:hAnsi="Georgia"/>
          <w:b/>
          <w:sz w:val="38"/>
          <w:szCs w:val="38"/>
        </w:rPr>
      </w:pPr>
      <w:r w:rsidRPr="00E736BB">
        <w:rPr>
          <w:rFonts w:ascii="Georgia" w:hAnsi="Georgia"/>
          <w:b/>
          <w:sz w:val="38"/>
          <w:szCs w:val="38"/>
        </w:rPr>
        <w:t>Analytical Methods</w:t>
      </w:r>
    </w:p>
    <w:p w14:paraId="022706DA" w14:textId="77777777" w:rsidR="00B8276A" w:rsidRPr="00B8276A" w:rsidRDefault="00B8276A" w:rsidP="00B8276A">
      <w:pPr>
        <w:pStyle w:val="ListParagraph"/>
        <w:numPr>
          <w:ilvl w:val="0"/>
          <w:numId w:val="0"/>
        </w:numPr>
        <w:spacing w:after="120"/>
        <w:ind w:left="284" w:right="-1"/>
        <w:rPr>
          <w:rFonts w:ascii="Georgia" w:eastAsiaTheme="minorHAnsi" w:hAnsi="Georgia"/>
          <w:b/>
        </w:rPr>
      </w:pPr>
    </w:p>
    <w:p w14:paraId="724098F4" w14:textId="2E3E7A04" w:rsidR="00B8276A" w:rsidRPr="00B8276A" w:rsidRDefault="00B8276A" w:rsidP="00B8276A">
      <w:pPr>
        <w:pStyle w:val="Heading3"/>
        <w:numPr>
          <w:ilvl w:val="0"/>
          <w:numId w:val="0"/>
        </w:numPr>
        <w:shd w:val="clear" w:color="auto" w:fill="FFFFFF"/>
        <w:spacing w:before="120"/>
        <w:ind w:left="567" w:hanging="567"/>
        <w:rPr>
          <w:rFonts w:ascii="Georgia" w:hAnsi="Georgia" w:cs="Times New Roman"/>
        </w:rPr>
      </w:pPr>
      <w:r w:rsidRPr="00B8276A">
        <w:rPr>
          <w:rFonts w:ascii="Georgia" w:hAnsi="Georgia" w:cs="Times New Roman"/>
        </w:rPr>
        <w:t>Next-Generation Sequencing</w:t>
      </w:r>
    </w:p>
    <w:p w14:paraId="3338BBA8" w14:textId="77777777" w:rsidR="00B8276A" w:rsidRDefault="00B8276A" w:rsidP="00B8276A">
      <w:pPr>
        <w:pStyle w:val="mb0"/>
        <w:shd w:val="clear" w:color="auto" w:fill="FFFFFF"/>
        <w:spacing w:before="120" w:beforeAutospacing="0" w:after="120" w:afterAutospacing="0"/>
        <w:rPr>
          <w:rFonts w:ascii="Georgia" w:hAnsi="Georgia"/>
          <w:shd w:val="clear" w:color="auto" w:fill="FCFCFC"/>
        </w:rPr>
      </w:pPr>
      <w:r w:rsidRPr="00B8276A">
        <w:rPr>
          <w:rFonts w:ascii="Georgia" w:hAnsi="Georgia"/>
        </w:rPr>
        <w:t>The extracted DNA</w:t>
      </w:r>
      <w:r w:rsidRPr="00B8276A">
        <w:rPr>
          <w:rFonts w:ascii="Georgia" w:hAnsi="Georgia"/>
          <w:lang w:val="en-US"/>
        </w:rPr>
        <w:t>s</w:t>
      </w:r>
      <w:r w:rsidRPr="00B8276A">
        <w:rPr>
          <w:rFonts w:ascii="Georgia" w:hAnsi="Georgia"/>
        </w:rPr>
        <w:t xml:space="preserve"> </w:t>
      </w:r>
      <w:r w:rsidRPr="00B8276A">
        <w:rPr>
          <w:rFonts w:ascii="Georgia" w:hAnsi="Georgia"/>
          <w:lang w:val="en-US"/>
        </w:rPr>
        <w:t>were</w:t>
      </w:r>
      <w:r w:rsidRPr="00B8276A">
        <w:rPr>
          <w:rFonts w:ascii="Georgia" w:hAnsi="Georgia"/>
        </w:rPr>
        <w:t xml:space="preserve"> evaluated and analysed using 16S rRNA gene amplicon sequencing targeting the bacterial variable region V1-3 </w:t>
      </w:r>
      <w:r w:rsidRPr="00B8276A">
        <w:rPr>
          <w:rFonts w:ascii="Georgia" w:hAnsi="Georgia"/>
          <w:lang w:val="en-US"/>
        </w:rPr>
        <w:t xml:space="preserve">and </w:t>
      </w:r>
      <w:r w:rsidRPr="00B8276A">
        <w:rPr>
          <w:rFonts w:ascii="Georgia" w:hAnsi="Georgia"/>
        </w:rPr>
        <w:t>the archaeal variable regions V3-5.</w:t>
      </w:r>
      <w:r w:rsidRPr="00B8276A">
        <w:rPr>
          <w:rFonts w:ascii="Georgia" w:hAnsi="Georgia"/>
          <w:lang w:val="en-US"/>
        </w:rPr>
        <w:t xml:space="preserve"> </w:t>
      </w:r>
      <w:r w:rsidRPr="00B8276A">
        <w:rPr>
          <w:rFonts w:ascii="Georgia" w:hAnsi="Georgia"/>
        </w:rPr>
        <w:t>16S V1-3 rRNA gene sequencing libraries were prepared by a custom protocol based on Caporaso et al. (2012)</w:t>
      </w:r>
      <w:r w:rsidRPr="00B8276A">
        <w:rPr>
          <w:rFonts w:ascii="Georgia" w:hAnsi="Georgia"/>
          <w:lang w:val="en-US"/>
        </w:rPr>
        <w:t xml:space="preserve"> for Bacteria and an </w:t>
      </w:r>
      <w:r w:rsidRPr="00B8276A">
        <w:rPr>
          <w:rFonts w:ascii="Georgia" w:hAnsi="Georgia"/>
        </w:rPr>
        <w:t>Illumina protocol (Illumina, 2015)</w:t>
      </w:r>
      <w:r w:rsidRPr="00B8276A">
        <w:rPr>
          <w:rFonts w:ascii="Georgia" w:hAnsi="Georgia"/>
          <w:lang w:val="en-US"/>
        </w:rPr>
        <w:t xml:space="preserve"> for Archaea</w:t>
      </w:r>
      <w:r w:rsidRPr="00B8276A">
        <w:rPr>
          <w:rFonts w:ascii="Georgia" w:hAnsi="Georgia"/>
        </w:rPr>
        <w:t>. The adaptors contain 16S V1-3 specific primers</w:t>
      </w:r>
      <w:r w:rsidRPr="00B8276A">
        <w:rPr>
          <w:rFonts w:ascii="Georgia" w:hAnsi="Georgia"/>
          <w:lang w:val="en-US"/>
        </w:rPr>
        <w:t xml:space="preserve"> for Bacteria</w:t>
      </w:r>
      <w:r w:rsidRPr="00B8276A">
        <w:rPr>
          <w:rFonts w:ascii="Georgia" w:hAnsi="Georgia"/>
        </w:rPr>
        <w:t xml:space="preserve">: [27F] AGAGTTTGATCCTGGCTCAG and [534R] ATTACCGCGGCTGCTGG (Ward et al., 2012). </w:t>
      </w:r>
      <w:r w:rsidRPr="00B8276A">
        <w:rPr>
          <w:rFonts w:ascii="Georgia" w:hAnsi="Georgia"/>
          <w:lang w:val="en-US"/>
        </w:rPr>
        <w:t>As for Archaea, t</w:t>
      </w:r>
      <w:r w:rsidRPr="00B8276A">
        <w:rPr>
          <w:rFonts w:ascii="Georgia" w:hAnsi="Georgia"/>
        </w:rPr>
        <w:t>he forward and reverse tailed primers were designed according to Illumina</w:t>
      </w:r>
      <w:r w:rsidRPr="00B8276A">
        <w:rPr>
          <w:rFonts w:ascii="Georgia" w:hAnsi="Georgia"/>
          <w:lang w:val="en-US"/>
        </w:rPr>
        <w:t xml:space="preserve"> (</w:t>
      </w:r>
      <w:r w:rsidRPr="00B8276A">
        <w:rPr>
          <w:rFonts w:ascii="Georgia" w:hAnsi="Georgia"/>
        </w:rPr>
        <w:t>2015) and contain primers targeting the Archaea 16S rRNA gene region V3-5: [Arch340F] CCCTAHGGGGYGCASCA and [Arch-915R] GWGCYCCCCCGYCAATTC (Pinto and Raskin, 2012). The resulting amplicon libraries were purified using the standard protocol for Agencourt Ampure XP Beads (Beckman Coulter, USA) with a bead to sample ratio of 4:5. DNA concentration was measured using Qubit dsDNA HS Assay kit (Thermo Fisher Scientific, USA). Gel electrophoresis using Tapestation 2200 and D1000/High sensitivity D1000 screentapes (Agilent, USA) was used to validate the product size and purity of a subset of sequencing libraries</w:t>
      </w:r>
      <w:r w:rsidRPr="00B8276A">
        <w:rPr>
          <w:rFonts w:ascii="Georgia" w:hAnsi="Georgia"/>
          <w:lang w:val="en-US"/>
        </w:rPr>
        <w:t>.</w:t>
      </w:r>
      <w:r w:rsidRPr="00B8276A">
        <w:rPr>
          <w:rFonts w:ascii="Georgia" w:hAnsi="Georgia"/>
          <w:shd w:val="clear" w:color="auto" w:fill="FCFCFC"/>
        </w:rPr>
        <w:t xml:space="preserve"> The samples were paired-end sequenced (2×300 bp</w:t>
      </w:r>
      <w:r w:rsidRPr="00B8276A">
        <w:rPr>
          <w:rFonts w:ascii="Georgia" w:hAnsi="Georgia"/>
          <w:shd w:val="clear" w:color="auto" w:fill="FCFCFC"/>
          <w:lang w:val="en-US"/>
        </w:rPr>
        <w:t xml:space="preserve"> for bacteria and 1x300 bp for Archaea</w:t>
      </w:r>
      <w:r w:rsidRPr="00B8276A">
        <w:rPr>
          <w:rFonts w:ascii="Georgia" w:hAnsi="Georgia"/>
          <w:shd w:val="clear" w:color="auto" w:fill="FCFCFC"/>
        </w:rPr>
        <w:t>) on a MiSeq (Illumina, USA) using a MiSeq Reagent kit v3 (Illumina, USA) and bioinformatics processing was performed by DNASense Company (Denmark).</w:t>
      </w:r>
    </w:p>
    <w:p w14:paraId="47FF0076" w14:textId="77777777" w:rsidR="00AF2172" w:rsidRDefault="00AF2172" w:rsidP="00B8276A">
      <w:pPr>
        <w:pStyle w:val="mb0"/>
        <w:shd w:val="clear" w:color="auto" w:fill="FFFFFF"/>
        <w:spacing w:before="120" w:beforeAutospacing="0" w:after="120" w:afterAutospacing="0"/>
        <w:rPr>
          <w:rFonts w:ascii="Georgia" w:hAnsi="Georgia"/>
          <w:shd w:val="clear" w:color="auto" w:fill="FCFCFC"/>
        </w:rPr>
      </w:pPr>
    </w:p>
    <w:p w14:paraId="1CC18650" w14:textId="77777777" w:rsidR="00AF2172" w:rsidRDefault="00AF2172" w:rsidP="00B8276A">
      <w:pPr>
        <w:pStyle w:val="mb0"/>
        <w:shd w:val="clear" w:color="auto" w:fill="FFFFFF"/>
        <w:spacing w:before="120" w:beforeAutospacing="0" w:after="120" w:afterAutospacing="0"/>
        <w:rPr>
          <w:rFonts w:ascii="Georgia" w:hAnsi="Georgia"/>
          <w:shd w:val="clear" w:color="auto" w:fill="FCFCFC"/>
        </w:rPr>
      </w:pPr>
    </w:p>
    <w:p w14:paraId="474A5D90" w14:textId="77777777" w:rsidR="00AF2172" w:rsidRDefault="00AF2172" w:rsidP="00B8276A">
      <w:pPr>
        <w:pStyle w:val="mb0"/>
        <w:shd w:val="clear" w:color="auto" w:fill="FFFFFF"/>
        <w:spacing w:before="120" w:beforeAutospacing="0" w:after="120" w:afterAutospacing="0"/>
        <w:rPr>
          <w:rFonts w:ascii="Georgia" w:hAnsi="Georgia"/>
          <w:shd w:val="clear" w:color="auto" w:fill="FCFCFC"/>
        </w:rPr>
      </w:pPr>
    </w:p>
    <w:p w14:paraId="1B536BB4" w14:textId="6DE02830" w:rsidR="00AF2172" w:rsidRDefault="00AF2172" w:rsidP="00AF2172">
      <w:pPr>
        <w:shd w:val="clear" w:color="auto" w:fill="FFFFFF"/>
        <w:spacing w:after="120"/>
        <w:ind w:right="-1"/>
        <w:contextualSpacing/>
        <w:rPr>
          <w:rFonts w:ascii="Georgia" w:hAnsi="Georgia" w:cs="Times New Roman"/>
          <w:b/>
          <w:sz w:val="38"/>
          <w:szCs w:val="38"/>
        </w:rPr>
      </w:pPr>
      <w:r w:rsidRPr="00B8276A">
        <w:rPr>
          <w:rFonts w:ascii="Georgia" w:hAnsi="Georgia" w:cs="Times New Roman"/>
          <w:b/>
          <w:sz w:val="38"/>
          <w:szCs w:val="38"/>
        </w:rPr>
        <w:lastRenderedPageBreak/>
        <w:t xml:space="preserve">Supplementary </w:t>
      </w:r>
      <w:r>
        <w:rPr>
          <w:rFonts w:ascii="Georgia" w:hAnsi="Georgia" w:cs="Times New Roman"/>
          <w:b/>
          <w:sz w:val="38"/>
          <w:szCs w:val="38"/>
        </w:rPr>
        <w:t>Tables</w:t>
      </w:r>
    </w:p>
    <w:p w14:paraId="0AF4477D" w14:textId="77777777" w:rsidR="00AF2172" w:rsidRDefault="00AF2172" w:rsidP="00B8276A">
      <w:pPr>
        <w:pStyle w:val="mb0"/>
        <w:shd w:val="clear" w:color="auto" w:fill="FFFFFF"/>
        <w:spacing w:before="120" w:beforeAutospacing="0" w:after="120" w:afterAutospacing="0"/>
        <w:rPr>
          <w:rFonts w:ascii="Georgia" w:hAnsi="Georgia"/>
          <w:shd w:val="clear" w:color="auto" w:fill="FCFCFC"/>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960"/>
        <w:gridCol w:w="960"/>
        <w:gridCol w:w="960"/>
        <w:gridCol w:w="960"/>
        <w:gridCol w:w="960"/>
        <w:gridCol w:w="960"/>
      </w:tblGrid>
      <w:tr w:rsidR="00EC309A" w:rsidRPr="00EC309A" w14:paraId="356D9C99" w14:textId="77777777" w:rsidTr="00884CB6">
        <w:trPr>
          <w:trHeight w:val="300"/>
          <w:jc w:val="center"/>
        </w:trPr>
        <w:tc>
          <w:tcPr>
            <w:tcW w:w="960" w:type="dxa"/>
            <w:vMerge w:val="restart"/>
            <w:shd w:val="clear" w:color="auto" w:fill="auto"/>
            <w:noWrap/>
            <w:vAlign w:val="bottom"/>
          </w:tcPr>
          <w:p w14:paraId="0D5AD1AA" w14:textId="77777777" w:rsidR="00AF2172" w:rsidRPr="00EC309A" w:rsidRDefault="00AF2172" w:rsidP="00884CB6">
            <w:pPr>
              <w:spacing w:after="0"/>
              <w:jc w:val="center"/>
              <w:rPr>
                <w:rFonts w:ascii="Georgia" w:eastAsia="Times New Roman" w:hAnsi="Georgia" w:cs="Times New Roman"/>
                <w:b/>
                <w:szCs w:val="24"/>
              </w:rPr>
            </w:pPr>
            <w:r w:rsidRPr="00EC309A">
              <w:rPr>
                <w:rFonts w:ascii="Georgia" w:eastAsia="Times New Roman" w:hAnsi="Georgia" w:cs="Times New Roman"/>
                <w:b/>
                <w:szCs w:val="24"/>
              </w:rPr>
              <w:t>Reactor</w:t>
            </w:r>
          </w:p>
        </w:tc>
        <w:tc>
          <w:tcPr>
            <w:tcW w:w="1920" w:type="dxa"/>
            <w:gridSpan w:val="2"/>
            <w:shd w:val="clear" w:color="auto" w:fill="auto"/>
            <w:noWrap/>
            <w:vAlign w:val="bottom"/>
          </w:tcPr>
          <w:p w14:paraId="702A1390" w14:textId="77777777" w:rsidR="00AF2172" w:rsidRPr="00EC309A" w:rsidRDefault="00AF2172" w:rsidP="00884CB6">
            <w:pPr>
              <w:spacing w:after="0"/>
              <w:jc w:val="center"/>
              <w:rPr>
                <w:rFonts w:ascii="Georgia" w:eastAsia="Times New Roman" w:hAnsi="Georgia" w:cs="Times New Roman"/>
                <w:b/>
                <w:szCs w:val="24"/>
              </w:rPr>
            </w:pPr>
            <w:r w:rsidRPr="00EC309A">
              <w:rPr>
                <w:rFonts w:ascii="Georgia" w:eastAsia="Times New Roman" w:hAnsi="Georgia" w:cs="Times New Roman"/>
                <w:b/>
                <w:szCs w:val="24"/>
              </w:rPr>
              <w:t>Cycle A</w:t>
            </w:r>
          </w:p>
        </w:tc>
        <w:tc>
          <w:tcPr>
            <w:tcW w:w="1920" w:type="dxa"/>
            <w:gridSpan w:val="2"/>
            <w:shd w:val="clear" w:color="auto" w:fill="auto"/>
            <w:noWrap/>
            <w:vAlign w:val="bottom"/>
          </w:tcPr>
          <w:p w14:paraId="193D6CFB" w14:textId="77777777" w:rsidR="00AF2172" w:rsidRPr="00EC309A" w:rsidRDefault="00AF2172" w:rsidP="00884CB6">
            <w:pPr>
              <w:spacing w:after="0"/>
              <w:jc w:val="center"/>
              <w:rPr>
                <w:rFonts w:ascii="Georgia" w:eastAsia="Times New Roman" w:hAnsi="Georgia" w:cs="Times New Roman"/>
                <w:b/>
                <w:szCs w:val="24"/>
              </w:rPr>
            </w:pPr>
            <w:r w:rsidRPr="00EC309A">
              <w:rPr>
                <w:rFonts w:ascii="Georgia" w:eastAsia="Times New Roman" w:hAnsi="Georgia" w:cs="Times New Roman"/>
                <w:b/>
                <w:szCs w:val="24"/>
              </w:rPr>
              <w:t>Cycle B</w:t>
            </w:r>
          </w:p>
        </w:tc>
        <w:tc>
          <w:tcPr>
            <w:tcW w:w="1920" w:type="dxa"/>
            <w:gridSpan w:val="2"/>
            <w:shd w:val="clear" w:color="auto" w:fill="auto"/>
            <w:noWrap/>
            <w:vAlign w:val="bottom"/>
          </w:tcPr>
          <w:p w14:paraId="648AA1CA" w14:textId="77777777" w:rsidR="00AF2172" w:rsidRPr="00EC309A" w:rsidRDefault="00AF2172" w:rsidP="00884CB6">
            <w:pPr>
              <w:spacing w:after="0"/>
              <w:jc w:val="center"/>
              <w:rPr>
                <w:rFonts w:ascii="Georgia" w:eastAsia="Times New Roman" w:hAnsi="Georgia" w:cs="Times New Roman"/>
                <w:b/>
                <w:szCs w:val="24"/>
              </w:rPr>
            </w:pPr>
            <w:r w:rsidRPr="00EC309A">
              <w:rPr>
                <w:rFonts w:ascii="Georgia" w:eastAsia="Times New Roman" w:hAnsi="Georgia" w:cs="Times New Roman"/>
                <w:b/>
                <w:szCs w:val="24"/>
              </w:rPr>
              <w:t>Cycle C</w:t>
            </w:r>
          </w:p>
        </w:tc>
      </w:tr>
      <w:tr w:rsidR="00EC309A" w:rsidRPr="00EC309A" w14:paraId="72DC95B1" w14:textId="77777777" w:rsidTr="00884CB6">
        <w:trPr>
          <w:trHeight w:val="300"/>
          <w:jc w:val="center"/>
        </w:trPr>
        <w:tc>
          <w:tcPr>
            <w:tcW w:w="960" w:type="dxa"/>
            <w:vMerge/>
            <w:shd w:val="clear" w:color="auto" w:fill="auto"/>
            <w:noWrap/>
            <w:vAlign w:val="bottom"/>
            <w:hideMark/>
          </w:tcPr>
          <w:p w14:paraId="491D67BB" w14:textId="77777777" w:rsidR="00AF2172" w:rsidRPr="00EC309A" w:rsidRDefault="00AF2172" w:rsidP="00884CB6">
            <w:pPr>
              <w:spacing w:after="0"/>
              <w:rPr>
                <w:rFonts w:ascii="Georgia" w:eastAsia="Times New Roman" w:hAnsi="Georgia" w:cs="Times New Roman"/>
                <w:szCs w:val="24"/>
              </w:rPr>
            </w:pPr>
          </w:p>
        </w:tc>
        <w:tc>
          <w:tcPr>
            <w:tcW w:w="960" w:type="dxa"/>
            <w:shd w:val="clear" w:color="auto" w:fill="auto"/>
            <w:noWrap/>
            <w:vAlign w:val="bottom"/>
            <w:hideMark/>
          </w:tcPr>
          <w:p w14:paraId="08215C16" w14:textId="77777777" w:rsidR="00AF2172" w:rsidRPr="00EC309A" w:rsidRDefault="00AF2172" w:rsidP="00884CB6">
            <w:pPr>
              <w:spacing w:after="0"/>
              <w:jc w:val="center"/>
              <w:rPr>
                <w:rFonts w:ascii="Georgia" w:eastAsia="Times New Roman" w:hAnsi="Georgia" w:cs="Times New Roman"/>
                <w:i/>
                <w:szCs w:val="24"/>
              </w:rPr>
            </w:pPr>
            <w:r w:rsidRPr="00EC309A">
              <w:rPr>
                <w:rFonts w:ascii="Georgia" w:eastAsia="Times New Roman" w:hAnsi="Georgia" w:cs="Times New Roman"/>
                <w:i/>
                <w:szCs w:val="24"/>
              </w:rPr>
              <w:t>t=0</w:t>
            </w:r>
          </w:p>
        </w:tc>
        <w:tc>
          <w:tcPr>
            <w:tcW w:w="960" w:type="dxa"/>
            <w:shd w:val="clear" w:color="auto" w:fill="auto"/>
            <w:noWrap/>
            <w:vAlign w:val="bottom"/>
            <w:hideMark/>
          </w:tcPr>
          <w:p w14:paraId="02D661BB" w14:textId="77777777" w:rsidR="00AF2172" w:rsidRPr="00EC309A" w:rsidRDefault="00AF2172" w:rsidP="00884CB6">
            <w:pPr>
              <w:spacing w:after="0"/>
              <w:jc w:val="center"/>
              <w:rPr>
                <w:rFonts w:ascii="Georgia" w:eastAsia="Times New Roman" w:hAnsi="Georgia" w:cs="Times New Roman"/>
                <w:i/>
                <w:szCs w:val="24"/>
              </w:rPr>
            </w:pPr>
            <w:r w:rsidRPr="00EC309A">
              <w:rPr>
                <w:rFonts w:ascii="Georgia" w:eastAsia="Times New Roman" w:hAnsi="Georgia" w:cs="Times New Roman"/>
                <w:i/>
                <w:szCs w:val="24"/>
              </w:rPr>
              <w:t>t=13</w:t>
            </w:r>
          </w:p>
        </w:tc>
        <w:tc>
          <w:tcPr>
            <w:tcW w:w="960" w:type="dxa"/>
            <w:shd w:val="clear" w:color="auto" w:fill="auto"/>
            <w:noWrap/>
            <w:vAlign w:val="bottom"/>
            <w:hideMark/>
          </w:tcPr>
          <w:p w14:paraId="756FFD13" w14:textId="77777777" w:rsidR="00AF2172" w:rsidRPr="00EC309A" w:rsidRDefault="00AF2172" w:rsidP="00884CB6">
            <w:pPr>
              <w:spacing w:after="0"/>
              <w:jc w:val="center"/>
              <w:rPr>
                <w:rFonts w:ascii="Georgia" w:eastAsia="Times New Roman" w:hAnsi="Georgia" w:cs="Times New Roman"/>
                <w:i/>
                <w:szCs w:val="24"/>
              </w:rPr>
            </w:pPr>
            <w:r w:rsidRPr="00EC309A">
              <w:rPr>
                <w:rFonts w:ascii="Georgia" w:eastAsia="Times New Roman" w:hAnsi="Georgia" w:cs="Times New Roman"/>
                <w:i/>
                <w:szCs w:val="24"/>
              </w:rPr>
              <w:t>t=0</w:t>
            </w:r>
          </w:p>
        </w:tc>
        <w:tc>
          <w:tcPr>
            <w:tcW w:w="960" w:type="dxa"/>
            <w:shd w:val="clear" w:color="auto" w:fill="auto"/>
            <w:noWrap/>
            <w:vAlign w:val="bottom"/>
            <w:hideMark/>
          </w:tcPr>
          <w:p w14:paraId="644CC04F" w14:textId="77777777" w:rsidR="00AF2172" w:rsidRPr="00EC309A" w:rsidRDefault="00AF2172" w:rsidP="00884CB6">
            <w:pPr>
              <w:spacing w:after="0"/>
              <w:jc w:val="center"/>
              <w:rPr>
                <w:rFonts w:ascii="Georgia" w:eastAsia="Times New Roman" w:hAnsi="Georgia" w:cs="Times New Roman"/>
                <w:i/>
                <w:szCs w:val="24"/>
              </w:rPr>
            </w:pPr>
            <w:r w:rsidRPr="00EC309A">
              <w:rPr>
                <w:rFonts w:ascii="Georgia" w:eastAsia="Times New Roman" w:hAnsi="Georgia" w:cs="Times New Roman"/>
                <w:i/>
                <w:szCs w:val="24"/>
              </w:rPr>
              <w:t>t=19</w:t>
            </w:r>
          </w:p>
        </w:tc>
        <w:tc>
          <w:tcPr>
            <w:tcW w:w="960" w:type="dxa"/>
            <w:shd w:val="clear" w:color="auto" w:fill="auto"/>
            <w:noWrap/>
            <w:vAlign w:val="bottom"/>
            <w:hideMark/>
          </w:tcPr>
          <w:p w14:paraId="6F7A7196" w14:textId="77777777" w:rsidR="00AF2172" w:rsidRPr="00EC309A" w:rsidRDefault="00AF2172" w:rsidP="00884CB6">
            <w:pPr>
              <w:spacing w:after="0"/>
              <w:jc w:val="center"/>
              <w:rPr>
                <w:rFonts w:ascii="Georgia" w:eastAsia="Times New Roman" w:hAnsi="Georgia" w:cs="Times New Roman"/>
                <w:i/>
                <w:szCs w:val="24"/>
              </w:rPr>
            </w:pPr>
            <w:r w:rsidRPr="00EC309A">
              <w:rPr>
                <w:rFonts w:ascii="Georgia" w:eastAsia="Times New Roman" w:hAnsi="Georgia" w:cs="Times New Roman"/>
                <w:i/>
                <w:szCs w:val="24"/>
              </w:rPr>
              <w:t>t=0</w:t>
            </w:r>
          </w:p>
        </w:tc>
        <w:tc>
          <w:tcPr>
            <w:tcW w:w="960" w:type="dxa"/>
            <w:shd w:val="clear" w:color="auto" w:fill="auto"/>
            <w:noWrap/>
            <w:vAlign w:val="bottom"/>
            <w:hideMark/>
          </w:tcPr>
          <w:p w14:paraId="47646DFE" w14:textId="77777777" w:rsidR="00AF2172" w:rsidRPr="00EC309A" w:rsidRDefault="00AF2172" w:rsidP="00884CB6">
            <w:pPr>
              <w:spacing w:after="0"/>
              <w:jc w:val="center"/>
              <w:rPr>
                <w:rFonts w:ascii="Georgia" w:eastAsia="Times New Roman" w:hAnsi="Georgia" w:cs="Times New Roman"/>
                <w:i/>
                <w:szCs w:val="24"/>
              </w:rPr>
            </w:pPr>
            <w:r w:rsidRPr="00EC309A">
              <w:rPr>
                <w:rFonts w:ascii="Georgia" w:eastAsia="Times New Roman" w:hAnsi="Georgia" w:cs="Times New Roman"/>
                <w:i/>
                <w:szCs w:val="24"/>
              </w:rPr>
              <w:t>t=21</w:t>
            </w:r>
          </w:p>
        </w:tc>
      </w:tr>
      <w:tr w:rsidR="00EC309A" w:rsidRPr="00EC309A" w14:paraId="64E32009" w14:textId="77777777" w:rsidTr="00884CB6">
        <w:trPr>
          <w:trHeight w:val="300"/>
          <w:jc w:val="center"/>
        </w:trPr>
        <w:tc>
          <w:tcPr>
            <w:tcW w:w="960" w:type="dxa"/>
            <w:shd w:val="clear" w:color="auto" w:fill="auto"/>
            <w:noWrap/>
            <w:vAlign w:val="bottom"/>
            <w:hideMark/>
          </w:tcPr>
          <w:p w14:paraId="1367A123"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R0-C</w:t>
            </w:r>
          </w:p>
        </w:tc>
        <w:tc>
          <w:tcPr>
            <w:tcW w:w="960" w:type="dxa"/>
            <w:shd w:val="clear" w:color="auto" w:fill="auto"/>
            <w:noWrap/>
            <w:vAlign w:val="bottom"/>
            <w:hideMark/>
          </w:tcPr>
          <w:p w14:paraId="099D7CAE"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1305</w:t>
            </w:r>
          </w:p>
        </w:tc>
        <w:tc>
          <w:tcPr>
            <w:tcW w:w="960" w:type="dxa"/>
            <w:shd w:val="clear" w:color="auto" w:fill="auto"/>
            <w:noWrap/>
            <w:vAlign w:val="bottom"/>
            <w:hideMark/>
          </w:tcPr>
          <w:p w14:paraId="79C4E531"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485</w:t>
            </w:r>
          </w:p>
        </w:tc>
        <w:tc>
          <w:tcPr>
            <w:tcW w:w="960" w:type="dxa"/>
            <w:shd w:val="clear" w:color="auto" w:fill="auto"/>
            <w:noWrap/>
            <w:vAlign w:val="bottom"/>
            <w:hideMark/>
          </w:tcPr>
          <w:p w14:paraId="11997BAB"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1656</w:t>
            </w:r>
          </w:p>
        </w:tc>
        <w:tc>
          <w:tcPr>
            <w:tcW w:w="960" w:type="dxa"/>
            <w:shd w:val="clear" w:color="auto" w:fill="auto"/>
            <w:noWrap/>
            <w:vAlign w:val="bottom"/>
            <w:hideMark/>
          </w:tcPr>
          <w:p w14:paraId="482A1421"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885</w:t>
            </w:r>
          </w:p>
        </w:tc>
        <w:tc>
          <w:tcPr>
            <w:tcW w:w="960" w:type="dxa"/>
            <w:shd w:val="clear" w:color="auto" w:fill="auto"/>
            <w:noWrap/>
            <w:vAlign w:val="bottom"/>
            <w:hideMark/>
          </w:tcPr>
          <w:p w14:paraId="11531AFF"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1284</w:t>
            </w:r>
          </w:p>
        </w:tc>
        <w:tc>
          <w:tcPr>
            <w:tcW w:w="960" w:type="dxa"/>
            <w:shd w:val="clear" w:color="auto" w:fill="auto"/>
            <w:noWrap/>
            <w:vAlign w:val="bottom"/>
            <w:hideMark/>
          </w:tcPr>
          <w:p w14:paraId="3C3F566B"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959</w:t>
            </w:r>
          </w:p>
        </w:tc>
      </w:tr>
      <w:tr w:rsidR="00EC309A" w:rsidRPr="00EC309A" w14:paraId="127DD2B5" w14:textId="77777777" w:rsidTr="00884CB6">
        <w:trPr>
          <w:trHeight w:val="300"/>
          <w:jc w:val="center"/>
        </w:trPr>
        <w:tc>
          <w:tcPr>
            <w:tcW w:w="960" w:type="dxa"/>
            <w:shd w:val="clear" w:color="auto" w:fill="auto"/>
            <w:noWrap/>
            <w:vAlign w:val="bottom"/>
            <w:hideMark/>
          </w:tcPr>
          <w:p w14:paraId="7850D8F3"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R1-CF</w:t>
            </w:r>
          </w:p>
        </w:tc>
        <w:tc>
          <w:tcPr>
            <w:tcW w:w="960" w:type="dxa"/>
            <w:shd w:val="clear" w:color="auto" w:fill="auto"/>
            <w:noWrap/>
            <w:vAlign w:val="bottom"/>
            <w:hideMark/>
          </w:tcPr>
          <w:p w14:paraId="509FE0C1"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1205</w:t>
            </w:r>
          </w:p>
        </w:tc>
        <w:tc>
          <w:tcPr>
            <w:tcW w:w="960" w:type="dxa"/>
            <w:shd w:val="clear" w:color="auto" w:fill="auto"/>
            <w:noWrap/>
            <w:vAlign w:val="bottom"/>
            <w:hideMark/>
          </w:tcPr>
          <w:p w14:paraId="207E3D55"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409</w:t>
            </w:r>
          </w:p>
        </w:tc>
        <w:tc>
          <w:tcPr>
            <w:tcW w:w="960" w:type="dxa"/>
            <w:shd w:val="clear" w:color="auto" w:fill="auto"/>
            <w:noWrap/>
            <w:vAlign w:val="bottom"/>
            <w:hideMark/>
          </w:tcPr>
          <w:p w14:paraId="2603AAF7"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2256</w:t>
            </w:r>
          </w:p>
        </w:tc>
        <w:tc>
          <w:tcPr>
            <w:tcW w:w="960" w:type="dxa"/>
            <w:shd w:val="clear" w:color="auto" w:fill="auto"/>
            <w:noWrap/>
            <w:vAlign w:val="bottom"/>
            <w:hideMark/>
          </w:tcPr>
          <w:p w14:paraId="75C28B56"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700</w:t>
            </w:r>
          </w:p>
        </w:tc>
        <w:tc>
          <w:tcPr>
            <w:tcW w:w="960" w:type="dxa"/>
            <w:shd w:val="clear" w:color="auto" w:fill="auto"/>
            <w:noWrap/>
            <w:vAlign w:val="bottom"/>
            <w:hideMark/>
          </w:tcPr>
          <w:p w14:paraId="436858A1"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1144</w:t>
            </w:r>
          </w:p>
        </w:tc>
        <w:tc>
          <w:tcPr>
            <w:tcW w:w="960" w:type="dxa"/>
            <w:shd w:val="clear" w:color="auto" w:fill="auto"/>
            <w:noWrap/>
            <w:vAlign w:val="bottom"/>
            <w:hideMark/>
          </w:tcPr>
          <w:p w14:paraId="151CF208"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779</w:t>
            </w:r>
          </w:p>
        </w:tc>
      </w:tr>
      <w:tr w:rsidR="00EC309A" w:rsidRPr="00EC309A" w14:paraId="37494A51" w14:textId="77777777" w:rsidTr="00884CB6">
        <w:trPr>
          <w:trHeight w:val="300"/>
          <w:jc w:val="center"/>
        </w:trPr>
        <w:tc>
          <w:tcPr>
            <w:tcW w:w="960" w:type="dxa"/>
            <w:shd w:val="clear" w:color="auto" w:fill="auto"/>
            <w:noWrap/>
            <w:vAlign w:val="bottom"/>
            <w:hideMark/>
          </w:tcPr>
          <w:p w14:paraId="00092D45"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R2-CC</w:t>
            </w:r>
          </w:p>
        </w:tc>
        <w:tc>
          <w:tcPr>
            <w:tcW w:w="960" w:type="dxa"/>
            <w:shd w:val="clear" w:color="auto" w:fill="auto"/>
            <w:noWrap/>
            <w:vAlign w:val="bottom"/>
            <w:hideMark/>
          </w:tcPr>
          <w:p w14:paraId="7B1A566D"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1395</w:t>
            </w:r>
          </w:p>
        </w:tc>
        <w:tc>
          <w:tcPr>
            <w:tcW w:w="960" w:type="dxa"/>
            <w:shd w:val="clear" w:color="auto" w:fill="auto"/>
            <w:noWrap/>
            <w:vAlign w:val="bottom"/>
            <w:hideMark/>
          </w:tcPr>
          <w:p w14:paraId="3C7293CD"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424</w:t>
            </w:r>
          </w:p>
        </w:tc>
        <w:tc>
          <w:tcPr>
            <w:tcW w:w="960" w:type="dxa"/>
            <w:shd w:val="clear" w:color="auto" w:fill="auto"/>
            <w:noWrap/>
            <w:vAlign w:val="bottom"/>
            <w:hideMark/>
          </w:tcPr>
          <w:p w14:paraId="129CFEDC"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1464</w:t>
            </w:r>
          </w:p>
        </w:tc>
        <w:tc>
          <w:tcPr>
            <w:tcW w:w="960" w:type="dxa"/>
            <w:shd w:val="clear" w:color="auto" w:fill="auto"/>
            <w:noWrap/>
            <w:vAlign w:val="bottom"/>
            <w:hideMark/>
          </w:tcPr>
          <w:p w14:paraId="2BE9FA2A"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760</w:t>
            </w:r>
          </w:p>
        </w:tc>
        <w:tc>
          <w:tcPr>
            <w:tcW w:w="960" w:type="dxa"/>
            <w:shd w:val="clear" w:color="auto" w:fill="auto"/>
            <w:noWrap/>
            <w:vAlign w:val="bottom"/>
            <w:hideMark/>
          </w:tcPr>
          <w:p w14:paraId="4A2EF898"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1156</w:t>
            </w:r>
          </w:p>
        </w:tc>
        <w:tc>
          <w:tcPr>
            <w:tcW w:w="960" w:type="dxa"/>
            <w:shd w:val="clear" w:color="auto" w:fill="auto"/>
            <w:noWrap/>
            <w:vAlign w:val="bottom"/>
            <w:hideMark/>
          </w:tcPr>
          <w:p w14:paraId="0703C92C"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744</w:t>
            </w:r>
          </w:p>
        </w:tc>
      </w:tr>
      <w:tr w:rsidR="00AF2172" w:rsidRPr="00EC309A" w14:paraId="75E10D4E" w14:textId="77777777" w:rsidTr="00884CB6">
        <w:trPr>
          <w:trHeight w:val="300"/>
          <w:jc w:val="center"/>
        </w:trPr>
        <w:tc>
          <w:tcPr>
            <w:tcW w:w="960" w:type="dxa"/>
            <w:shd w:val="clear" w:color="auto" w:fill="auto"/>
            <w:noWrap/>
            <w:vAlign w:val="bottom"/>
            <w:hideMark/>
          </w:tcPr>
          <w:p w14:paraId="11B4DB26"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R3-3DG</w:t>
            </w:r>
          </w:p>
        </w:tc>
        <w:tc>
          <w:tcPr>
            <w:tcW w:w="960" w:type="dxa"/>
            <w:shd w:val="clear" w:color="auto" w:fill="auto"/>
            <w:noWrap/>
            <w:vAlign w:val="bottom"/>
            <w:hideMark/>
          </w:tcPr>
          <w:p w14:paraId="6247EC7C"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1155</w:t>
            </w:r>
          </w:p>
        </w:tc>
        <w:tc>
          <w:tcPr>
            <w:tcW w:w="960" w:type="dxa"/>
            <w:shd w:val="clear" w:color="auto" w:fill="auto"/>
            <w:noWrap/>
            <w:vAlign w:val="bottom"/>
            <w:hideMark/>
          </w:tcPr>
          <w:p w14:paraId="7C484D46"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399</w:t>
            </w:r>
          </w:p>
        </w:tc>
        <w:tc>
          <w:tcPr>
            <w:tcW w:w="960" w:type="dxa"/>
            <w:shd w:val="clear" w:color="auto" w:fill="auto"/>
            <w:noWrap/>
            <w:vAlign w:val="bottom"/>
            <w:hideMark/>
          </w:tcPr>
          <w:p w14:paraId="7CC97CC6"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1086</w:t>
            </w:r>
          </w:p>
        </w:tc>
        <w:tc>
          <w:tcPr>
            <w:tcW w:w="960" w:type="dxa"/>
            <w:shd w:val="clear" w:color="auto" w:fill="auto"/>
            <w:noWrap/>
            <w:vAlign w:val="bottom"/>
            <w:hideMark/>
          </w:tcPr>
          <w:p w14:paraId="58C4ABFE"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760</w:t>
            </w:r>
          </w:p>
        </w:tc>
        <w:tc>
          <w:tcPr>
            <w:tcW w:w="960" w:type="dxa"/>
            <w:shd w:val="clear" w:color="auto" w:fill="auto"/>
            <w:noWrap/>
            <w:vAlign w:val="bottom"/>
            <w:hideMark/>
          </w:tcPr>
          <w:p w14:paraId="0C07170D"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1104</w:t>
            </w:r>
          </w:p>
        </w:tc>
        <w:tc>
          <w:tcPr>
            <w:tcW w:w="960" w:type="dxa"/>
            <w:shd w:val="clear" w:color="auto" w:fill="auto"/>
            <w:noWrap/>
            <w:vAlign w:val="bottom"/>
            <w:hideMark/>
          </w:tcPr>
          <w:p w14:paraId="070C1728" w14:textId="77777777" w:rsidR="00AF2172" w:rsidRPr="00EC309A" w:rsidRDefault="00AF2172" w:rsidP="00884CB6">
            <w:pPr>
              <w:spacing w:after="0"/>
              <w:jc w:val="center"/>
              <w:rPr>
                <w:rFonts w:ascii="Georgia" w:eastAsia="Times New Roman" w:hAnsi="Georgia" w:cs="Arial"/>
                <w:szCs w:val="24"/>
              </w:rPr>
            </w:pPr>
            <w:r w:rsidRPr="00EC309A">
              <w:rPr>
                <w:rFonts w:ascii="Georgia" w:eastAsia="Times New Roman" w:hAnsi="Georgia" w:cs="Arial"/>
                <w:szCs w:val="24"/>
              </w:rPr>
              <w:t>739</w:t>
            </w:r>
          </w:p>
        </w:tc>
      </w:tr>
    </w:tbl>
    <w:p w14:paraId="1CA3F28F" w14:textId="77777777" w:rsidR="00AF2172" w:rsidRPr="00EC309A" w:rsidRDefault="00AF2172" w:rsidP="00B8276A">
      <w:pPr>
        <w:pStyle w:val="mb0"/>
        <w:shd w:val="clear" w:color="auto" w:fill="FFFFFF"/>
        <w:spacing w:before="120" w:beforeAutospacing="0" w:after="120" w:afterAutospacing="0"/>
        <w:rPr>
          <w:rFonts w:ascii="Georgia" w:hAnsi="Georgia"/>
          <w:shd w:val="clear" w:color="auto" w:fill="FCFCFC"/>
        </w:rPr>
      </w:pPr>
    </w:p>
    <w:p w14:paraId="586748A5" w14:textId="3B142F3A" w:rsidR="00AF2172" w:rsidRPr="00EC309A" w:rsidRDefault="00AF2172" w:rsidP="00B8276A">
      <w:pPr>
        <w:pStyle w:val="mb0"/>
        <w:shd w:val="clear" w:color="auto" w:fill="FFFFFF"/>
        <w:spacing w:before="120" w:beforeAutospacing="0" w:after="120" w:afterAutospacing="0"/>
        <w:rPr>
          <w:rFonts w:ascii="Georgia" w:hAnsi="Georgia"/>
          <w:shd w:val="clear" w:color="auto" w:fill="FCFCFC"/>
        </w:rPr>
      </w:pPr>
      <w:r w:rsidRPr="00EC309A">
        <w:rPr>
          <w:rFonts w:ascii="Georgia" w:hAnsi="Georgia"/>
          <w:b/>
          <w:shd w:val="clear" w:color="auto" w:fill="FCFCFC"/>
        </w:rPr>
        <w:t>Table S1.</w:t>
      </w:r>
      <w:r w:rsidRPr="00EC309A">
        <w:rPr>
          <w:rFonts w:ascii="Georgia" w:hAnsi="Georgia"/>
          <w:shd w:val="clear" w:color="auto" w:fill="FCFCFC"/>
        </w:rPr>
        <w:t xml:space="preserve"> Initial anf final COD values (mg/L) in MEC-AGS systems during each experimental cycle.</w:t>
      </w:r>
    </w:p>
    <w:p w14:paraId="2283EEFB" w14:textId="77777777" w:rsidR="00B8276A" w:rsidRPr="00B8276A" w:rsidRDefault="00B8276A" w:rsidP="00B8276A">
      <w:pPr>
        <w:pStyle w:val="mb0"/>
        <w:shd w:val="clear" w:color="auto" w:fill="FFFFFF"/>
        <w:spacing w:before="120" w:beforeAutospacing="0" w:after="120" w:afterAutospacing="0"/>
        <w:rPr>
          <w:rFonts w:ascii="Georgia" w:hAnsi="Georgia"/>
          <w:shd w:val="clear" w:color="auto" w:fill="FCFCFC"/>
        </w:rPr>
      </w:pPr>
    </w:p>
    <w:p w14:paraId="3233A552" w14:textId="04D3E713" w:rsidR="00B8276A" w:rsidRDefault="00B8276A" w:rsidP="00B8276A">
      <w:pPr>
        <w:shd w:val="clear" w:color="auto" w:fill="FFFFFF"/>
        <w:spacing w:after="120"/>
        <w:ind w:right="-1"/>
        <w:contextualSpacing/>
        <w:rPr>
          <w:rFonts w:ascii="Georgia" w:hAnsi="Georgia" w:cs="Times New Roman"/>
          <w:b/>
          <w:sz w:val="38"/>
          <w:szCs w:val="38"/>
        </w:rPr>
      </w:pPr>
      <w:r w:rsidRPr="00B8276A">
        <w:rPr>
          <w:rFonts w:ascii="Georgia" w:hAnsi="Georgia" w:cs="Times New Roman"/>
          <w:b/>
          <w:sz w:val="38"/>
          <w:szCs w:val="38"/>
        </w:rPr>
        <w:t>Supplementary Figures</w:t>
      </w:r>
    </w:p>
    <w:p w14:paraId="28DDA181" w14:textId="1171D68B" w:rsidR="00E736BB" w:rsidRPr="00B8276A" w:rsidRDefault="004C5A02" w:rsidP="00B8276A">
      <w:pPr>
        <w:shd w:val="clear" w:color="auto" w:fill="FFFFFF"/>
        <w:spacing w:after="120"/>
        <w:ind w:right="-1"/>
        <w:contextualSpacing/>
        <w:rPr>
          <w:rFonts w:ascii="Georgia" w:hAnsi="Georgia"/>
          <w:sz w:val="38"/>
          <w:szCs w:val="38"/>
          <w:shd w:val="clear" w:color="auto" w:fill="FCFCFC"/>
        </w:rPr>
      </w:pPr>
      <w:r>
        <w:object w:dxaOrig="7597" w:dyaOrig="4253" w14:anchorId="7BF56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85pt;height:212.65pt" o:ole="">
            <v:imagedata r:id="rId8" o:title=""/>
          </v:shape>
          <o:OLEObject Type="Embed" ProgID="Prism5.Document" ShapeID="_x0000_i1025" DrawAspect="Content" ObjectID="_1712053457" r:id="rId9"/>
        </w:object>
      </w:r>
    </w:p>
    <w:p w14:paraId="0259FD7B" w14:textId="4C566140" w:rsidR="00B8276A" w:rsidRPr="00B8276A" w:rsidRDefault="00B8276A" w:rsidP="00B8276A">
      <w:pPr>
        <w:spacing w:after="120"/>
        <w:rPr>
          <w:rFonts w:ascii="Georgia" w:hAnsi="Georgia"/>
          <w:szCs w:val="24"/>
        </w:rPr>
      </w:pPr>
    </w:p>
    <w:p w14:paraId="515DFE1F" w14:textId="71A62ABC" w:rsidR="00B8276A" w:rsidRDefault="00B8276A" w:rsidP="00B8276A">
      <w:pPr>
        <w:spacing w:after="120"/>
        <w:rPr>
          <w:rFonts w:ascii="Georgia" w:hAnsi="Georgia" w:cs="Times New Roman"/>
          <w:szCs w:val="24"/>
        </w:rPr>
      </w:pPr>
      <w:bookmarkStart w:id="0" w:name="OLE_LINK3"/>
      <w:bookmarkStart w:id="1" w:name="OLE_LINK1"/>
      <w:r w:rsidRPr="00B8276A">
        <w:rPr>
          <w:rFonts w:ascii="Georgia" w:hAnsi="Georgia" w:cs="Times New Roman"/>
          <w:b/>
          <w:szCs w:val="24"/>
        </w:rPr>
        <w:t>Fig</w:t>
      </w:r>
      <w:r>
        <w:rPr>
          <w:rFonts w:ascii="Georgia" w:hAnsi="Georgia" w:cs="Times New Roman"/>
          <w:b/>
          <w:szCs w:val="24"/>
        </w:rPr>
        <w:t xml:space="preserve">ure </w:t>
      </w:r>
      <w:bookmarkEnd w:id="0"/>
      <w:r w:rsidR="0000743E">
        <w:rPr>
          <w:rFonts w:ascii="Georgia" w:hAnsi="Georgia" w:cs="Times New Roman"/>
          <w:b/>
          <w:szCs w:val="24"/>
        </w:rPr>
        <w:t>S</w:t>
      </w:r>
      <w:r w:rsidRPr="00B8276A">
        <w:rPr>
          <w:rFonts w:ascii="Georgia" w:hAnsi="Georgia" w:cs="Times New Roman"/>
          <w:b/>
          <w:szCs w:val="24"/>
        </w:rPr>
        <w:t>1.</w:t>
      </w:r>
      <w:r w:rsidRPr="00B8276A">
        <w:rPr>
          <w:rFonts w:ascii="Georgia" w:hAnsi="Georgia" w:cs="Times New Roman"/>
          <w:szCs w:val="24"/>
        </w:rPr>
        <w:t xml:space="preserve"> COD (mg L</w:t>
      </w:r>
      <w:r w:rsidRPr="00B8276A">
        <w:rPr>
          <w:rFonts w:ascii="Georgia" w:hAnsi="Georgia" w:cs="Times New Roman"/>
          <w:szCs w:val="24"/>
          <w:vertAlign w:val="superscript"/>
        </w:rPr>
        <w:t>-1</w:t>
      </w:r>
      <w:r w:rsidRPr="00B8276A">
        <w:rPr>
          <w:rFonts w:ascii="Georgia" w:hAnsi="Georgia" w:cs="Times New Roman"/>
          <w:szCs w:val="24"/>
        </w:rPr>
        <w:t>) reduction over time during cycle A.</w:t>
      </w:r>
    </w:p>
    <w:p w14:paraId="36DB7B0B" w14:textId="77777777" w:rsidR="004C5A02" w:rsidRPr="00B8276A" w:rsidRDefault="004C5A02" w:rsidP="00B8276A">
      <w:pPr>
        <w:spacing w:after="120"/>
        <w:rPr>
          <w:rFonts w:ascii="Georgia" w:hAnsi="Georgia" w:cs="Times New Roman"/>
          <w:szCs w:val="24"/>
        </w:rPr>
      </w:pPr>
    </w:p>
    <w:bookmarkEnd w:id="1"/>
    <w:p w14:paraId="1DEACC13" w14:textId="455DB452" w:rsidR="00B8276A" w:rsidRPr="00B8276A" w:rsidRDefault="004C5A02" w:rsidP="00B8276A">
      <w:pPr>
        <w:spacing w:after="120"/>
        <w:rPr>
          <w:rFonts w:ascii="Georgia" w:hAnsi="Georgia" w:cs="Times New Roman"/>
          <w:szCs w:val="24"/>
        </w:rPr>
      </w:pPr>
      <w:r>
        <w:object w:dxaOrig="7654" w:dyaOrig="4253" w14:anchorId="186DBFA4">
          <v:shape id="_x0000_i1026" type="#_x0000_t75" style="width:382.7pt;height:212.65pt" o:ole="">
            <v:imagedata r:id="rId10" o:title=""/>
          </v:shape>
          <o:OLEObject Type="Embed" ProgID="Prism5.Document" ShapeID="_x0000_i1026" DrawAspect="Content" ObjectID="_1712053458" r:id="rId11"/>
        </w:object>
      </w:r>
    </w:p>
    <w:p w14:paraId="53A3B318" w14:textId="500E0499" w:rsidR="00B8276A" w:rsidRPr="00B8276A" w:rsidRDefault="00B8276A" w:rsidP="00B8276A">
      <w:pPr>
        <w:spacing w:after="120"/>
        <w:rPr>
          <w:rFonts w:ascii="Georgia" w:hAnsi="Georgia" w:cs="Times New Roman"/>
          <w:szCs w:val="24"/>
        </w:rPr>
      </w:pPr>
      <w:r w:rsidRPr="00B8276A">
        <w:rPr>
          <w:rFonts w:ascii="Georgia" w:hAnsi="Georgia" w:cs="Times New Roman"/>
          <w:b/>
          <w:szCs w:val="24"/>
        </w:rPr>
        <w:t>Fig</w:t>
      </w:r>
      <w:r>
        <w:rPr>
          <w:rFonts w:ascii="Georgia" w:hAnsi="Georgia" w:cs="Times New Roman"/>
          <w:b/>
          <w:szCs w:val="24"/>
        </w:rPr>
        <w:t xml:space="preserve">ure </w:t>
      </w:r>
      <w:r w:rsidR="0000743E">
        <w:rPr>
          <w:rFonts w:ascii="Georgia" w:hAnsi="Georgia" w:cs="Times New Roman"/>
          <w:b/>
          <w:szCs w:val="24"/>
        </w:rPr>
        <w:t>S</w:t>
      </w:r>
      <w:r>
        <w:rPr>
          <w:rFonts w:ascii="Georgia" w:hAnsi="Georgia" w:cs="Times New Roman"/>
          <w:b/>
          <w:szCs w:val="24"/>
        </w:rPr>
        <w:t>2</w:t>
      </w:r>
      <w:r w:rsidRPr="00B8276A">
        <w:rPr>
          <w:rFonts w:ascii="Georgia" w:hAnsi="Georgia" w:cs="Times New Roman"/>
          <w:b/>
          <w:szCs w:val="24"/>
        </w:rPr>
        <w:t>.</w:t>
      </w:r>
      <w:r w:rsidRPr="00B8276A">
        <w:rPr>
          <w:rFonts w:ascii="Georgia" w:hAnsi="Georgia" w:cs="Times New Roman"/>
          <w:szCs w:val="24"/>
        </w:rPr>
        <w:t xml:space="preserve"> COD (mg L</w:t>
      </w:r>
      <w:r w:rsidRPr="00B8276A">
        <w:rPr>
          <w:rFonts w:ascii="Georgia" w:hAnsi="Georgia" w:cs="Times New Roman"/>
          <w:szCs w:val="24"/>
          <w:vertAlign w:val="superscript"/>
        </w:rPr>
        <w:t>-1</w:t>
      </w:r>
      <w:r w:rsidRPr="00B8276A">
        <w:rPr>
          <w:rFonts w:ascii="Georgia" w:hAnsi="Georgia" w:cs="Times New Roman"/>
          <w:szCs w:val="24"/>
        </w:rPr>
        <w:t>) reduction over time during cycle B.</w:t>
      </w:r>
    </w:p>
    <w:p w14:paraId="4A1A706B" w14:textId="7C78C87C" w:rsidR="00B8276A" w:rsidRPr="00B8276A" w:rsidRDefault="004C5A02" w:rsidP="00B8276A">
      <w:pPr>
        <w:spacing w:after="120"/>
        <w:rPr>
          <w:rFonts w:ascii="Georgia" w:hAnsi="Georgia" w:cs="Times New Roman"/>
          <w:szCs w:val="24"/>
        </w:rPr>
      </w:pPr>
      <w:r>
        <w:object w:dxaOrig="7654" w:dyaOrig="4253" w14:anchorId="2527A1D9">
          <v:shape id="_x0000_i1027" type="#_x0000_t75" style="width:382.7pt;height:212.65pt" o:ole="">
            <v:imagedata r:id="rId12" o:title=""/>
          </v:shape>
          <o:OLEObject Type="Embed" ProgID="Prism5.Document" ShapeID="_x0000_i1027" DrawAspect="Content" ObjectID="_1712053459" r:id="rId13"/>
        </w:object>
      </w:r>
    </w:p>
    <w:p w14:paraId="73578465" w14:textId="79C8EB4E" w:rsidR="00B8276A" w:rsidRPr="00B8276A" w:rsidRDefault="00B8276A" w:rsidP="00B8276A">
      <w:pPr>
        <w:spacing w:after="120"/>
        <w:rPr>
          <w:rFonts w:ascii="Georgia" w:hAnsi="Georgia" w:cs="Times New Roman"/>
          <w:szCs w:val="24"/>
        </w:rPr>
      </w:pPr>
      <w:r w:rsidRPr="00B8276A">
        <w:rPr>
          <w:rFonts w:ascii="Georgia" w:hAnsi="Georgia" w:cs="Times New Roman"/>
          <w:b/>
          <w:szCs w:val="24"/>
        </w:rPr>
        <w:t>Fig</w:t>
      </w:r>
      <w:r>
        <w:rPr>
          <w:rFonts w:ascii="Georgia" w:hAnsi="Georgia" w:cs="Times New Roman"/>
          <w:b/>
          <w:szCs w:val="24"/>
        </w:rPr>
        <w:t xml:space="preserve">ure </w:t>
      </w:r>
      <w:r w:rsidR="0000743E">
        <w:rPr>
          <w:rFonts w:ascii="Georgia" w:hAnsi="Georgia" w:cs="Times New Roman"/>
          <w:b/>
          <w:szCs w:val="24"/>
        </w:rPr>
        <w:t>S</w:t>
      </w:r>
      <w:r>
        <w:rPr>
          <w:rFonts w:ascii="Georgia" w:hAnsi="Georgia" w:cs="Times New Roman"/>
          <w:b/>
          <w:szCs w:val="24"/>
        </w:rPr>
        <w:t>3</w:t>
      </w:r>
      <w:r w:rsidRPr="00B8276A">
        <w:rPr>
          <w:rFonts w:ascii="Georgia" w:hAnsi="Georgia" w:cs="Times New Roman"/>
          <w:b/>
          <w:szCs w:val="24"/>
        </w:rPr>
        <w:t>.</w:t>
      </w:r>
      <w:r w:rsidRPr="00B8276A">
        <w:rPr>
          <w:rFonts w:ascii="Georgia" w:hAnsi="Georgia" w:cs="Times New Roman"/>
          <w:szCs w:val="24"/>
        </w:rPr>
        <w:t xml:space="preserve"> COD (mg L</w:t>
      </w:r>
      <w:r w:rsidRPr="00B8276A">
        <w:rPr>
          <w:rFonts w:ascii="Georgia" w:hAnsi="Georgia" w:cs="Times New Roman"/>
          <w:szCs w:val="24"/>
          <w:vertAlign w:val="superscript"/>
        </w:rPr>
        <w:t>-1</w:t>
      </w:r>
      <w:r w:rsidRPr="00B8276A">
        <w:rPr>
          <w:rFonts w:ascii="Georgia" w:hAnsi="Georgia" w:cs="Times New Roman"/>
          <w:szCs w:val="24"/>
        </w:rPr>
        <w:t>) reduction over time during cycle C.</w:t>
      </w:r>
    </w:p>
    <w:p w14:paraId="7F7F1A7D" w14:textId="77777777" w:rsidR="00B8276A" w:rsidRPr="00B8276A" w:rsidRDefault="00B8276A" w:rsidP="00B8276A">
      <w:pPr>
        <w:spacing w:after="120"/>
        <w:rPr>
          <w:rFonts w:ascii="Georgia" w:hAnsi="Georgia" w:cs="Times New Roman"/>
          <w:szCs w:val="24"/>
        </w:rPr>
      </w:pPr>
    </w:p>
    <w:p w14:paraId="4A281ABB" w14:textId="493C7E9F" w:rsidR="00B8276A" w:rsidRPr="00B8276A" w:rsidRDefault="00E736BB" w:rsidP="00B8276A">
      <w:pPr>
        <w:spacing w:after="120"/>
        <w:rPr>
          <w:rFonts w:ascii="Georgia" w:hAnsi="Georgia" w:cs="Times New Roman"/>
          <w:szCs w:val="24"/>
        </w:rPr>
      </w:pPr>
      <w:r>
        <w:object w:dxaOrig="7597" w:dyaOrig="5500" w14:anchorId="7AC095B7">
          <v:shape id="_x0000_i1028" type="#_x0000_t75" style="width:379.85pt;height:275pt" o:ole="">
            <v:imagedata r:id="rId14" o:title=""/>
          </v:shape>
          <o:OLEObject Type="Embed" ProgID="Prism5.Document" ShapeID="_x0000_i1028" DrawAspect="Content" ObjectID="_1712053460" r:id="rId15"/>
        </w:object>
      </w:r>
    </w:p>
    <w:p w14:paraId="7F96525E" w14:textId="641A6E17" w:rsidR="00B8276A" w:rsidRPr="00B8276A" w:rsidRDefault="00B8276A" w:rsidP="00B8276A">
      <w:pPr>
        <w:spacing w:after="120"/>
        <w:rPr>
          <w:rFonts w:ascii="Georgia" w:hAnsi="Georgia" w:cs="Times New Roman"/>
          <w:szCs w:val="24"/>
        </w:rPr>
      </w:pPr>
      <w:r w:rsidRPr="00B8276A">
        <w:rPr>
          <w:rFonts w:ascii="Georgia" w:hAnsi="Georgia" w:cs="Times New Roman"/>
          <w:b/>
          <w:szCs w:val="24"/>
        </w:rPr>
        <w:t>Fig</w:t>
      </w:r>
      <w:r>
        <w:rPr>
          <w:rFonts w:ascii="Georgia" w:hAnsi="Georgia" w:cs="Times New Roman"/>
          <w:b/>
          <w:szCs w:val="24"/>
        </w:rPr>
        <w:t xml:space="preserve">ure </w:t>
      </w:r>
      <w:r w:rsidR="0000743E">
        <w:rPr>
          <w:rFonts w:ascii="Georgia" w:hAnsi="Georgia" w:cs="Times New Roman"/>
          <w:b/>
          <w:szCs w:val="24"/>
        </w:rPr>
        <w:t>S</w:t>
      </w:r>
      <w:r>
        <w:rPr>
          <w:rFonts w:ascii="Georgia" w:hAnsi="Georgia" w:cs="Times New Roman"/>
          <w:b/>
          <w:szCs w:val="24"/>
        </w:rPr>
        <w:t>4</w:t>
      </w:r>
      <w:r w:rsidRPr="00B8276A">
        <w:rPr>
          <w:rFonts w:ascii="Georgia" w:hAnsi="Georgia" w:cs="Times New Roman"/>
          <w:b/>
          <w:szCs w:val="24"/>
        </w:rPr>
        <w:t xml:space="preserve">. </w:t>
      </w:r>
      <w:r w:rsidRPr="00B8276A">
        <w:rPr>
          <w:rFonts w:ascii="Georgia" w:hAnsi="Georgia" w:cs="Times New Roman"/>
          <w:szCs w:val="24"/>
        </w:rPr>
        <w:t>Variation of propionic acid concentration (mg L</w:t>
      </w:r>
      <w:r w:rsidRPr="00B8276A">
        <w:rPr>
          <w:rFonts w:ascii="Georgia" w:hAnsi="Georgia" w:cs="Times New Roman"/>
          <w:szCs w:val="24"/>
          <w:vertAlign w:val="superscript"/>
        </w:rPr>
        <w:t>-1</w:t>
      </w:r>
      <w:r w:rsidRPr="00B8276A">
        <w:rPr>
          <w:rFonts w:ascii="Georgia" w:hAnsi="Georgia" w:cs="Times New Roman"/>
          <w:szCs w:val="24"/>
        </w:rPr>
        <w:t>) over time both in the control and MEC reactors.</w:t>
      </w:r>
    </w:p>
    <w:p w14:paraId="44E2E991" w14:textId="77777777" w:rsidR="00B8276A" w:rsidRPr="00B8276A" w:rsidRDefault="00B8276A" w:rsidP="00B8276A">
      <w:pPr>
        <w:spacing w:after="120"/>
        <w:rPr>
          <w:rFonts w:ascii="Georgia" w:hAnsi="Georgia" w:cs="Times New Roman"/>
          <w:szCs w:val="24"/>
        </w:rPr>
      </w:pPr>
    </w:p>
    <w:p w14:paraId="0EBB8B20" w14:textId="77777777" w:rsidR="00B8276A" w:rsidRPr="00E736BB" w:rsidRDefault="00B8276A" w:rsidP="00B8276A">
      <w:pPr>
        <w:spacing w:after="120"/>
        <w:rPr>
          <w:rFonts w:ascii="Georgia" w:hAnsi="Georgia" w:cs="Times New Roman"/>
          <w:b/>
          <w:sz w:val="38"/>
          <w:szCs w:val="38"/>
        </w:rPr>
      </w:pPr>
      <w:r w:rsidRPr="00E736BB">
        <w:rPr>
          <w:rFonts w:ascii="Georgia" w:hAnsi="Georgia" w:cs="Times New Roman"/>
          <w:b/>
          <w:sz w:val="38"/>
          <w:szCs w:val="38"/>
        </w:rPr>
        <w:t>References</w:t>
      </w:r>
    </w:p>
    <w:p w14:paraId="4BD50119" w14:textId="62D4A14D" w:rsidR="00B8276A" w:rsidRPr="00B8276A" w:rsidRDefault="00B8276A" w:rsidP="00E736BB">
      <w:pPr>
        <w:tabs>
          <w:tab w:val="left" w:pos="142"/>
        </w:tabs>
        <w:spacing w:after="120"/>
        <w:rPr>
          <w:rFonts w:ascii="Georgia" w:hAnsi="Georgia" w:cs="Times New Roman"/>
          <w:szCs w:val="24"/>
        </w:rPr>
      </w:pPr>
      <w:proofErr w:type="spellStart"/>
      <w:r w:rsidRPr="00B8276A">
        <w:rPr>
          <w:rFonts w:ascii="Georgia" w:hAnsi="Georgia" w:cs="Times New Roman"/>
          <w:szCs w:val="24"/>
        </w:rPr>
        <w:t>Caporaso</w:t>
      </w:r>
      <w:proofErr w:type="spellEnd"/>
      <w:r w:rsidRPr="00B8276A">
        <w:rPr>
          <w:rFonts w:ascii="Georgia" w:hAnsi="Georgia" w:cs="Times New Roman"/>
          <w:szCs w:val="24"/>
        </w:rPr>
        <w:t>, J.G., Lauber, C.L., Walters, W. a, Berg</w:t>
      </w:r>
      <w:r w:rsidRPr="00B8276A">
        <w:rPr>
          <w:rFonts w:ascii="Cambria Math" w:hAnsi="Cambria Math" w:cs="Cambria Math"/>
          <w:szCs w:val="24"/>
        </w:rPr>
        <w:t>‐</w:t>
      </w:r>
      <w:r w:rsidRPr="00B8276A">
        <w:rPr>
          <w:rFonts w:ascii="Georgia" w:hAnsi="Georgia" w:cs="Times New Roman"/>
          <w:szCs w:val="24"/>
        </w:rPr>
        <w:t xml:space="preserve">Lyons, D., Huntley, J., </w:t>
      </w:r>
      <w:proofErr w:type="spellStart"/>
      <w:r w:rsidRPr="00B8276A">
        <w:rPr>
          <w:rFonts w:ascii="Georgia" w:hAnsi="Georgia" w:cs="Times New Roman"/>
          <w:szCs w:val="24"/>
        </w:rPr>
        <w:t>Fierer</w:t>
      </w:r>
      <w:proofErr w:type="spellEnd"/>
      <w:r w:rsidRPr="00B8276A">
        <w:rPr>
          <w:rFonts w:ascii="Georgia" w:hAnsi="Georgia" w:cs="Times New Roman"/>
          <w:szCs w:val="24"/>
        </w:rPr>
        <w:t xml:space="preserve">, N., Sarah, M.O., </w:t>
      </w:r>
      <w:proofErr w:type="spellStart"/>
      <w:r w:rsidR="00E736BB">
        <w:rPr>
          <w:rFonts w:ascii="Georgia" w:hAnsi="Georgia" w:cs="Times New Roman"/>
          <w:szCs w:val="24"/>
        </w:rPr>
        <w:t>Betley</w:t>
      </w:r>
      <w:proofErr w:type="spellEnd"/>
      <w:r w:rsidR="00E736BB">
        <w:rPr>
          <w:rFonts w:ascii="Georgia" w:hAnsi="Georgia" w:cs="Times New Roman"/>
          <w:szCs w:val="24"/>
        </w:rPr>
        <w:t xml:space="preserve">, J., Louise Fraser, L. and Bauer, M. </w:t>
      </w:r>
      <w:r w:rsidRPr="00B8276A">
        <w:rPr>
          <w:rFonts w:ascii="Georgia" w:hAnsi="Georgia" w:cs="Times New Roman"/>
          <w:szCs w:val="24"/>
        </w:rPr>
        <w:t>2012</w:t>
      </w:r>
      <w:r w:rsidR="00E736BB">
        <w:rPr>
          <w:rFonts w:ascii="Georgia" w:hAnsi="Georgia" w:cs="Times New Roman"/>
          <w:szCs w:val="24"/>
        </w:rPr>
        <w:t>.</w:t>
      </w:r>
      <w:r w:rsidRPr="00B8276A">
        <w:rPr>
          <w:rFonts w:ascii="Georgia" w:hAnsi="Georgia" w:cs="Times New Roman"/>
          <w:szCs w:val="24"/>
        </w:rPr>
        <w:t xml:space="preserve"> Ultra</w:t>
      </w:r>
      <w:r w:rsidRPr="00B8276A">
        <w:rPr>
          <w:rFonts w:ascii="Cambria Math" w:hAnsi="Cambria Math" w:cs="Cambria Math"/>
          <w:szCs w:val="24"/>
        </w:rPr>
        <w:t>‐</w:t>
      </w:r>
      <w:r w:rsidRPr="00B8276A">
        <w:rPr>
          <w:rFonts w:ascii="Georgia" w:hAnsi="Georgia" w:cs="Times New Roman"/>
          <w:szCs w:val="24"/>
        </w:rPr>
        <w:t>high</w:t>
      </w:r>
      <w:r w:rsidRPr="00B8276A">
        <w:rPr>
          <w:rFonts w:ascii="Cambria Math" w:hAnsi="Cambria Math" w:cs="Cambria Math"/>
          <w:szCs w:val="24"/>
        </w:rPr>
        <w:t>‐</w:t>
      </w:r>
      <w:r w:rsidRPr="00B8276A">
        <w:rPr>
          <w:rFonts w:ascii="Georgia" w:hAnsi="Georgia" w:cs="Times New Roman"/>
          <w:szCs w:val="24"/>
        </w:rPr>
        <w:t xml:space="preserve">throughput microbial community analysis on the Illumina </w:t>
      </w:r>
      <w:proofErr w:type="spellStart"/>
      <w:r w:rsidRPr="00B8276A">
        <w:rPr>
          <w:rFonts w:ascii="Georgia" w:hAnsi="Georgia" w:cs="Times New Roman"/>
          <w:szCs w:val="24"/>
        </w:rPr>
        <w:t>HiSeq</w:t>
      </w:r>
      <w:proofErr w:type="spellEnd"/>
      <w:r w:rsidRPr="00B8276A">
        <w:rPr>
          <w:rFonts w:ascii="Georgia" w:hAnsi="Georgia" w:cs="Times New Roman"/>
          <w:szCs w:val="24"/>
        </w:rPr>
        <w:t xml:space="preserve"> and </w:t>
      </w:r>
      <w:proofErr w:type="spellStart"/>
      <w:r w:rsidRPr="00B8276A">
        <w:rPr>
          <w:rFonts w:ascii="Georgia" w:hAnsi="Georgia" w:cs="Times New Roman"/>
          <w:szCs w:val="24"/>
        </w:rPr>
        <w:t>MiSeq</w:t>
      </w:r>
      <w:proofErr w:type="spellEnd"/>
      <w:r w:rsidRPr="00B8276A">
        <w:rPr>
          <w:rFonts w:ascii="Georgia" w:hAnsi="Georgia" w:cs="Times New Roman"/>
          <w:szCs w:val="24"/>
        </w:rPr>
        <w:t xml:space="preserve"> platforms. </w:t>
      </w:r>
      <w:r w:rsidRPr="00B8276A">
        <w:rPr>
          <w:rFonts w:ascii="Georgia" w:hAnsi="Georgia" w:cs="Times New Roman"/>
          <w:i/>
          <w:iCs/>
          <w:szCs w:val="24"/>
        </w:rPr>
        <w:t xml:space="preserve">The ISME journal </w:t>
      </w:r>
      <w:r w:rsidRPr="00B8276A">
        <w:rPr>
          <w:rFonts w:ascii="Georgia" w:hAnsi="Georgia" w:cs="Times New Roman"/>
          <w:b/>
          <w:bCs/>
          <w:szCs w:val="24"/>
        </w:rPr>
        <w:t>6</w:t>
      </w:r>
      <w:r w:rsidRPr="00B8276A">
        <w:rPr>
          <w:rFonts w:ascii="Georgia" w:hAnsi="Georgia" w:cs="Times New Roman"/>
          <w:szCs w:val="24"/>
        </w:rPr>
        <w:t>: 1621–4.</w:t>
      </w:r>
    </w:p>
    <w:p w14:paraId="4597F7F2" w14:textId="5EC62BB9" w:rsidR="00B8276A" w:rsidRPr="00B8276A" w:rsidRDefault="00E736BB" w:rsidP="00E736BB">
      <w:pPr>
        <w:tabs>
          <w:tab w:val="left" w:pos="142"/>
        </w:tabs>
        <w:spacing w:after="120"/>
        <w:rPr>
          <w:rFonts w:ascii="Georgia" w:hAnsi="Georgia" w:cs="Times New Roman"/>
          <w:szCs w:val="24"/>
        </w:rPr>
      </w:pPr>
      <w:r>
        <w:rPr>
          <w:rFonts w:ascii="Georgia" w:hAnsi="Georgia" w:cs="Times New Roman"/>
          <w:szCs w:val="24"/>
        </w:rPr>
        <w:t xml:space="preserve">Illumina, I. </w:t>
      </w:r>
      <w:r w:rsidR="00B8276A" w:rsidRPr="00B8276A">
        <w:rPr>
          <w:rFonts w:ascii="Georgia" w:hAnsi="Georgia" w:cs="Times New Roman"/>
          <w:szCs w:val="24"/>
        </w:rPr>
        <w:t>2015</w:t>
      </w:r>
      <w:r>
        <w:rPr>
          <w:rFonts w:ascii="Georgia" w:hAnsi="Georgia" w:cs="Times New Roman"/>
          <w:szCs w:val="24"/>
        </w:rPr>
        <w:t>.</w:t>
      </w:r>
      <w:r w:rsidR="00B8276A" w:rsidRPr="00B8276A">
        <w:rPr>
          <w:rFonts w:ascii="Georgia" w:hAnsi="Georgia" w:cs="Times New Roman"/>
          <w:szCs w:val="24"/>
        </w:rPr>
        <w:t xml:space="preserve"> 16S Metagenomic Sequencing Library Preparation, Part # 15044223 Rev. B.</w:t>
      </w:r>
    </w:p>
    <w:p w14:paraId="720FCCE9" w14:textId="123CE755" w:rsidR="00B8276A" w:rsidRPr="00B8276A" w:rsidRDefault="00E736BB" w:rsidP="00E736BB">
      <w:pPr>
        <w:tabs>
          <w:tab w:val="left" w:pos="142"/>
        </w:tabs>
        <w:spacing w:after="120"/>
        <w:rPr>
          <w:rFonts w:ascii="Georgia" w:hAnsi="Georgia" w:cs="Times New Roman"/>
          <w:szCs w:val="24"/>
        </w:rPr>
      </w:pPr>
      <w:r>
        <w:rPr>
          <w:rFonts w:ascii="Georgia" w:hAnsi="Georgia" w:cs="Times New Roman"/>
          <w:szCs w:val="24"/>
        </w:rPr>
        <w:t xml:space="preserve">Pinto, A.J., </w:t>
      </w:r>
      <w:proofErr w:type="spellStart"/>
      <w:r>
        <w:rPr>
          <w:rFonts w:ascii="Georgia" w:hAnsi="Georgia" w:cs="Times New Roman"/>
          <w:szCs w:val="24"/>
        </w:rPr>
        <w:t>Raskin</w:t>
      </w:r>
      <w:proofErr w:type="spellEnd"/>
      <w:r>
        <w:rPr>
          <w:rFonts w:ascii="Georgia" w:hAnsi="Georgia" w:cs="Times New Roman"/>
          <w:szCs w:val="24"/>
        </w:rPr>
        <w:t xml:space="preserve"> and L. </w:t>
      </w:r>
      <w:r w:rsidR="00B8276A" w:rsidRPr="00B8276A">
        <w:rPr>
          <w:rFonts w:ascii="Georgia" w:hAnsi="Georgia" w:cs="Times New Roman"/>
          <w:szCs w:val="24"/>
        </w:rPr>
        <w:t xml:space="preserve">2012. PCR biases distort bacterial and archaeal community structure in pyrosequencing datasets. </w:t>
      </w:r>
      <w:proofErr w:type="spellStart"/>
      <w:r w:rsidR="00B8276A" w:rsidRPr="00B8276A">
        <w:rPr>
          <w:rFonts w:ascii="Georgia" w:hAnsi="Georgia" w:cs="Times New Roman"/>
          <w:szCs w:val="24"/>
        </w:rPr>
        <w:t>PloS</w:t>
      </w:r>
      <w:proofErr w:type="spellEnd"/>
      <w:r w:rsidR="00B8276A" w:rsidRPr="00B8276A">
        <w:rPr>
          <w:rFonts w:ascii="Georgia" w:hAnsi="Georgia" w:cs="Times New Roman"/>
          <w:szCs w:val="24"/>
        </w:rPr>
        <w:t xml:space="preserve"> one 7, e43093. </w:t>
      </w:r>
    </w:p>
    <w:p w14:paraId="63350A37" w14:textId="28E47968" w:rsidR="00B8276A" w:rsidRPr="00B8276A" w:rsidRDefault="00B8276A" w:rsidP="00E736BB">
      <w:pPr>
        <w:tabs>
          <w:tab w:val="left" w:pos="142"/>
        </w:tabs>
        <w:spacing w:after="120"/>
        <w:rPr>
          <w:rFonts w:ascii="Georgia" w:hAnsi="Georgia" w:cs="Times New Roman"/>
          <w:szCs w:val="24"/>
        </w:rPr>
      </w:pPr>
      <w:r w:rsidRPr="00B8276A">
        <w:rPr>
          <w:rFonts w:ascii="Georgia" w:hAnsi="Georgia" w:cs="Times New Roman"/>
          <w:szCs w:val="24"/>
        </w:rPr>
        <w:t xml:space="preserve">Ward, D.V., </w:t>
      </w:r>
      <w:proofErr w:type="spellStart"/>
      <w:r w:rsidRPr="00B8276A">
        <w:rPr>
          <w:rFonts w:ascii="Georgia" w:hAnsi="Georgia" w:cs="Times New Roman"/>
          <w:szCs w:val="24"/>
        </w:rPr>
        <w:t>Gevers</w:t>
      </w:r>
      <w:proofErr w:type="spellEnd"/>
      <w:r w:rsidRPr="00B8276A">
        <w:rPr>
          <w:rFonts w:ascii="Georgia" w:hAnsi="Georgia" w:cs="Times New Roman"/>
          <w:szCs w:val="24"/>
        </w:rPr>
        <w:t xml:space="preserve">, D., </w:t>
      </w:r>
      <w:proofErr w:type="spellStart"/>
      <w:r w:rsidRPr="00B8276A">
        <w:rPr>
          <w:rFonts w:ascii="Georgia" w:hAnsi="Georgia" w:cs="Times New Roman"/>
          <w:szCs w:val="24"/>
        </w:rPr>
        <w:t>Giannoukos</w:t>
      </w:r>
      <w:proofErr w:type="spellEnd"/>
      <w:r w:rsidRPr="00B8276A">
        <w:rPr>
          <w:rFonts w:ascii="Georgia" w:hAnsi="Georgia" w:cs="Times New Roman"/>
          <w:szCs w:val="24"/>
        </w:rPr>
        <w:t xml:space="preserve">, G., Earl, A.M., </w:t>
      </w:r>
      <w:proofErr w:type="spellStart"/>
      <w:r w:rsidRPr="00B8276A">
        <w:rPr>
          <w:rFonts w:ascii="Georgia" w:hAnsi="Georgia" w:cs="Times New Roman"/>
          <w:szCs w:val="24"/>
        </w:rPr>
        <w:t>Meth</w:t>
      </w:r>
      <w:r w:rsidR="00E736BB">
        <w:rPr>
          <w:rFonts w:ascii="Georgia" w:hAnsi="Georgia" w:cs="Times New Roman"/>
          <w:szCs w:val="24"/>
        </w:rPr>
        <w:t>é</w:t>
      </w:r>
      <w:proofErr w:type="spellEnd"/>
      <w:r w:rsidR="00E736BB">
        <w:rPr>
          <w:rFonts w:ascii="Georgia" w:hAnsi="Georgia" w:cs="Times New Roman"/>
          <w:szCs w:val="24"/>
        </w:rPr>
        <w:t xml:space="preserve">, B.A., Sodergren, E., et al. </w:t>
      </w:r>
      <w:r w:rsidRPr="00B8276A">
        <w:rPr>
          <w:rFonts w:ascii="Georgia" w:hAnsi="Georgia" w:cs="Times New Roman"/>
          <w:szCs w:val="24"/>
        </w:rPr>
        <w:t>2012</w:t>
      </w:r>
      <w:r w:rsidR="00E736BB">
        <w:rPr>
          <w:rFonts w:ascii="Georgia" w:hAnsi="Georgia" w:cs="Times New Roman"/>
          <w:szCs w:val="24"/>
        </w:rPr>
        <w:t>.</w:t>
      </w:r>
      <w:r w:rsidRPr="00B8276A">
        <w:rPr>
          <w:rFonts w:ascii="Georgia" w:hAnsi="Georgia" w:cs="Times New Roman"/>
          <w:szCs w:val="24"/>
        </w:rPr>
        <w:t xml:space="preserve"> Evaluation of 16s rDNA</w:t>
      </w:r>
      <w:r w:rsidRPr="00B8276A">
        <w:rPr>
          <w:rFonts w:ascii="Cambria Math" w:hAnsi="Cambria Math" w:cs="Cambria Math"/>
          <w:szCs w:val="24"/>
        </w:rPr>
        <w:t>‐</w:t>
      </w:r>
      <w:r w:rsidRPr="00B8276A">
        <w:rPr>
          <w:rFonts w:ascii="Georgia" w:hAnsi="Georgia" w:cs="Times New Roman"/>
          <w:szCs w:val="24"/>
        </w:rPr>
        <w:t xml:space="preserve">based community profiling for human microbiome research. </w:t>
      </w:r>
      <w:proofErr w:type="spellStart"/>
      <w:r w:rsidRPr="00B8276A">
        <w:rPr>
          <w:rFonts w:ascii="Georgia" w:hAnsi="Georgia" w:cs="Times New Roman"/>
          <w:i/>
          <w:iCs/>
          <w:szCs w:val="24"/>
        </w:rPr>
        <w:t>PLoS</w:t>
      </w:r>
      <w:proofErr w:type="spellEnd"/>
      <w:r w:rsidRPr="00B8276A">
        <w:rPr>
          <w:rFonts w:ascii="Georgia" w:hAnsi="Georgia" w:cs="Times New Roman"/>
          <w:i/>
          <w:iCs/>
          <w:szCs w:val="24"/>
        </w:rPr>
        <w:t xml:space="preserve"> ONE </w:t>
      </w:r>
      <w:r w:rsidRPr="00B8276A">
        <w:rPr>
          <w:rFonts w:ascii="Georgia" w:hAnsi="Georgia" w:cs="Times New Roman"/>
          <w:b/>
          <w:bCs/>
          <w:szCs w:val="24"/>
        </w:rPr>
        <w:t>7</w:t>
      </w:r>
      <w:r w:rsidRPr="00B8276A">
        <w:rPr>
          <w:rFonts w:ascii="Georgia" w:hAnsi="Georgia" w:cs="Times New Roman"/>
          <w:szCs w:val="24"/>
        </w:rPr>
        <w:t>: e39315.</w:t>
      </w:r>
    </w:p>
    <w:p w14:paraId="04D5DEB0" w14:textId="77777777" w:rsidR="00B8276A" w:rsidRPr="00B8276A" w:rsidRDefault="00B8276A" w:rsidP="00B8276A">
      <w:pPr>
        <w:tabs>
          <w:tab w:val="left" w:pos="142"/>
        </w:tabs>
        <w:autoSpaceDE w:val="0"/>
        <w:autoSpaceDN w:val="0"/>
        <w:adjustRightInd w:val="0"/>
        <w:spacing w:after="120"/>
        <w:ind w:left="567" w:hanging="567"/>
        <w:rPr>
          <w:rFonts w:ascii="Georgia" w:hAnsi="Georgia" w:cs="Times New Roman"/>
          <w:szCs w:val="24"/>
          <w:shd w:val="clear" w:color="auto" w:fill="FFFFFF"/>
        </w:rPr>
      </w:pPr>
    </w:p>
    <w:sectPr w:rsidR="00B8276A" w:rsidRPr="00B8276A" w:rsidSect="0093429D">
      <w:headerReference w:type="even" r:id="rId16"/>
      <w:footerReference w:type="even" r:id="rId17"/>
      <w:footerReference w:type="default" r:id="rId18"/>
      <w:headerReference w:type="first" r:id="rId19"/>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4FDC" w14:textId="77777777" w:rsidR="00BB72EC" w:rsidRDefault="00BB72EC" w:rsidP="00117666">
      <w:pPr>
        <w:spacing w:after="0"/>
      </w:pPr>
      <w:r>
        <w:separator/>
      </w:r>
    </w:p>
  </w:endnote>
  <w:endnote w:type="continuationSeparator" w:id="0">
    <w:p w14:paraId="547E07C4" w14:textId="77777777" w:rsidR="00BB72EC" w:rsidRDefault="00BB72E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331F6">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331F6">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331F6">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331F6">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AC4A" w14:textId="77777777" w:rsidR="00BB72EC" w:rsidRDefault="00BB72EC" w:rsidP="00117666">
      <w:pPr>
        <w:spacing w:after="0"/>
      </w:pPr>
      <w:r>
        <w:separator/>
      </w:r>
    </w:p>
  </w:footnote>
  <w:footnote w:type="continuationSeparator" w:id="0">
    <w:p w14:paraId="564CDA89" w14:textId="77777777" w:rsidR="00BB72EC" w:rsidRDefault="00BB72E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bookmarkStart w:id="2" w:name="OLE_LINK4"/>
    <w:bookmarkStart w:id="3" w:name="OLE_LINK5"/>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D6694C"/>
    <w:multiLevelType w:val="hybridMultilevel"/>
    <w:tmpl w:val="C89243CC"/>
    <w:lvl w:ilvl="0" w:tplc="20000015">
      <w:start w:val="1"/>
      <w:numFmt w:val="upp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1073ED"/>
    <w:multiLevelType w:val="hybridMultilevel"/>
    <w:tmpl w:val="F05C906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22502693">
    <w:abstractNumId w:val="0"/>
  </w:num>
  <w:num w:numId="2" w16cid:durableId="1584298785">
    <w:abstractNumId w:val="6"/>
  </w:num>
  <w:num w:numId="3" w16cid:durableId="582497493">
    <w:abstractNumId w:val="1"/>
  </w:num>
  <w:num w:numId="4" w16cid:durableId="490409353">
    <w:abstractNumId w:val="7"/>
  </w:num>
  <w:num w:numId="5" w16cid:durableId="74726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822732">
    <w:abstractNumId w:val="3"/>
  </w:num>
  <w:num w:numId="7" w16cid:durableId="339503855">
    <w:abstractNumId w:val="8"/>
  </w:num>
  <w:num w:numId="8" w16cid:durableId="19821019">
    <w:abstractNumId w:val="8"/>
  </w:num>
  <w:num w:numId="9" w16cid:durableId="483740422">
    <w:abstractNumId w:val="8"/>
  </w:num>
  <w:num w:numId="10" w16cid:durableId="412242461">
    <w:abstractNumId w:val="8"/>
  </w:num>
  <w:num w:numId="11" w16cid:durableId="1549758365">
    <w:abstractNumId w:val="8"/>
  </w:num>
  <w:num w:numId="12" w16cid:durableId="1827546633">
    <w:abstractNumId w:val="8"/>
  </w:num>
  <w:num w:numId="13" w16cid:durableId="1727995539">
    <w:abstractNumId w:val="3"/>
  </w:num>
  <w:num w:numId="14" w16cid:durableId="155387111">
    <w:abstractNumId w:val="2"/>
  </w:num>
  <w:num w:numId="15" w16cid:durableId="214630947">
    <w:abstractNumId w:val="2"/>
  </w:num>
  <w:num w:numId="16" w16cid:durableId="1754007916">
    <w:abstractNumId w:val="2"/>
  </w:num>
  <w:num w:numId="17" w16cid:durableId="834145007">
    <w:abstractNumId w:val="2"/>
  </w:num>
  <w:num w:numId="18" w16cid:durableId="619799028">
    <w:abstractNumId w:val="2"/>
  </w:num>
  <w:num w:numId="19" w16cid:durableId="321399369">
    <w:abstractNumId w:val="2"/>
  </w:num>
  <w:num w:numId="20" w16cid:durableId="2035380212">
    <w:abstractNumId w:val="5"/>
  </w:num>
  <w:num w:numId="21" w16cid:durableId="513422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0B5"/>
    <w:rsid w:val="0000743E"/>
    <w:rsid w:val="0001436A"/>
    <w:rsid w:val="00034304"/>
    <w:rsid w:val="00035434"/>
    <w:rsid w:val="00044D11"/>
    <w:rsid w:val="00052A14"/>
    <w:rsid w:val="00077D53"/>
    <w:rsid w:val="00105FD9"/>
    <w:rsid w:val="00117666"/>
    <w:rsid w:val="001549D3"/>
    <w:rsid w:val="00160065"/>
    <w:rsid w:val="00177D84"/>
    <w:rsid w:val="00224CBA"/>
    <w:rsid w:val="00267D18"/>
    <w:rsid w:val="00274347"/>
    <w:rsid w:val="00281C51"/>
    <w:rsid w:val="002868E2"/>
    <w:rsid w:val="002869C3"/>
    <w:rsid w:val="002936E4"/>
    <w:rsid w:val="002B4A57"/>
    <w:rsid w:val="002C74CA"/>
    <w:rsid w:val="002F096C"/>
    <w:rsid w:val="003123F4"/>
    <w:rsid w:val="003544FB"/>
    <w:rsid w:val="003D2F2D"/>
    <w:rsid w:val="00401590"/>
    <w:rsid w:val="00447801"/>
    <w:rsid w:val="00452E9C"/>
    <w:rsid w:val="004735C8"/>
    <w:rsid w:val="004947A6"/>
    <w:rsid w:val="004961FF"/>
    <w:rsid w:val="004C5A02"/>
    <w:rsid w:val="00517A89"/>
    <w:rsid w:val="005250F2"/>
    <w:rsid w:val="00527D38"/>
    <w:rsid w:val="005331F6"/>
    <w:rsid w:val="00593EEA"/>
    <w:rsid w:val="005A5EEE"/>
    <w:rsid w:val="006375C7"/>
    <w:rsid w:val="00654E8F"/>
    <w:rsid w:val="00660D05"/>
    <w:rsid w:val="006820B1"/>
    <w:rsid w:val="006B7D14"/>
    <w:rsid w:val="006D18AF"/>
    <w:rsid w:val="00701727"/>
    <w:rsid w:val="0070566C"/>
    <w:rsid w:val="00714C50"/>
    <w:rsid w:val="00725A7D"/>
    <w:rsid w:val="00745D9E"/>
    <w:rsid w:val="007501BE"/>
    <w:rsid w:val="00785BAE"/>
    <w:rsid w:val="00790BB3"/>
    <w:rsid w:val="007C206C"/>
    <w:rsid w:val="007E4043"/>
    <w:rsid w:val="007F666E"/>
    <w:rsid w:val="00817DD6"/>
    <w:rsid w:val="008334C0"/>
    <w:rsid w:val="0083759F"/>
    <w:rsid w:val="008637D6"/>
    <w:rsid w:val="00885156"/>
    <w:rsid w:val="008E65C6"/>
    <w:rsid w:val="009151AA"/>
    <w:rsid w:val="0093429D"/>
    <w:rsid w:val="00943573"/>
    <w:rsid w:val="00964134"/>
    <w:rsid w:val="00970F7D"/>
    <w:rsid w:val="00994A3D"/>
    <w:rsid w:val="00997055"/>
    <w:rsid w:val="009C2B12"/>
    <w:rsid w:val="00A174D9"/>
    <w:rsid w:val="00A37270"/>
    <w:rsid w:val="00AA4D24"/>
    <w:rsid w:val="00AB6715"/>
    <w:rsid w:val="00AD618A"/>
    <w:rsid w:val="00AF2172"/>
    <w:rsid w:val="00B1671E"/>
    <w:rsid w:val="00B25EB8"/>
    <w:rsid w:val="00B37F4D"/>
    <w:rsid w:val="00B8276A"/>
    <w:rsid w:val="00BB72EC"/>
    <w:rsid w:val="00C5127C"/>
    <w:rsid w:val="00C52A7B"/>
    <w:rsid w:val="00C56BAF"/>
    <w:rsid w:val="00C679AA"/>
    <w:rsid w:val="00C75972"/>
    <w:rsid w:val="00C7724A"/>
    <w:rsid w:val="00CD066B"/>
    <w:rsid w:val="00CE4FEE"/>
    <w:rsid w:val="00D060CF"/>
    <w:rsid w:val="00D24C36"/>
    <w:rsid w:val="00DB59C3"/>
    <w:rsid w:val="00DC259A"/>
    <w:rsid w:val="00DE23E8"/>
    <w:rsid w:val="00E52377"/>
    <w:rsid w:val="00E537AD"/>
    <w:rsid w:val="00E64E17"/>
    <w:rsid w:val="00E736BB"/>
    <w:rsid w:val="00E866C9"/>
    <w:rsid w:val="00EA3D3C"/>
    <w:rsid w:val="00EC090A"/>
    <w:rsid w:val="00EC309A"/>
    <w:rsid w:val="00ED20B5"/>
    <w:rsid w:val="00F25719"/>
    <w:rsid w:val="00F30B7D"/>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00FF1FA7-A3F6-444F-B429-AB339F22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mb0">
    <w:name w:val="mb0"/>
    <w:basedOn w:val="Normal"/>
    <w:rsid w:val="00B8276A"/>
    <w:pPr>
      <w:spacing w:before="100" w:beforeAutospacing="1" w:after="100" w:afterAutospacing="1"/>
    </w:pPr>
    <w:rPr>
      <w:rFonts w:eastAsia="Times New Roman" w:cs="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5CC783-1475-4328-829A-2BB0BA7A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TotalTime>
  <Pages>4</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Giorgia Aprile</cp:lastModifiedBy>
  <cp:revision>10</cp:revision>
  <cp:lastPrinted>2022-04-10T12:44:00Z</cp:lastPrinted>
  <dcterms:created xsi:type="dcterms:W3CDTF">2022-04-03T10:35:00Z</dcterms:created>
  <dcterms:modified xsi:type="dcterms:W3CDTF">2022-04-21T12:38:00Z</dcterms:modified>
</cp:coreProperties>
</file>