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EB443" w14:textId="77777777" w:rsidR="008E6162" w:rsidRPr="008E6162" w:rsidRDefault="008E6162" w:rsidP="008E6162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bookmarkStart w:id="0" w:name="_Hlk96453980"/>
      <w:bookmarkStart w:id="1" w:name="_Hlk106711841"/>
      <w:r w:rsidRPr="008E6162">
        <w:rPr>
          <w:rFonts w:ascii="Times New Roman" w:hAnsi="Times New Roman" w:cs="Times New Roman"/>
          <w:b/>
          <w:bCs/>
          <w:sz w:val="32"/>
          <w:szCs w:val="32"/>
        </w:rPr>
        <w:t>Supplementary</w:t>
      </w:r>
      <w:r w:rsidRPr="008E6162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Materials</w:t>
      </w:r>
    </w:p>
    <w:p w14:paraId="57D647E1" w14:textId="77777777" w:rsidR="008E6162" w:rsidRPr="00460DF7" w:rsidRDefault="008E6162" w:rsidP="008E616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2905EE6" w14:textId="77777777" w:rsidR="008E6162" w:rsidRPr="00460DF7" w:rsidRDefault="008E6162" w:rsidP="008E6162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0DF7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5E8D056E" wp14:editId="63164465">
            <wp:extent cx="2635200" cy="26352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D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795876F" w14:textId="77777777" w:rsidR="008E6162" w:rsidRPr="00460DF7" w:rsidRDefault="008E6162" w:rsidP="008E6162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0DF7">
        <w:rPr>
          <w:rFonts w:ascii="Times New Roman" w:hAnsi="Times New Roman" w:cs="Times New Roman"/>
          <w:b/>
          <w:bCs/>
          <w:sz w:val="24"/>
          <w:szCs w:val="24"/>
        </w:rPr>
        <w:t>Figure S1. The composition of skipjack tuna catches in the pacific from 1950</w:t>
      </w:r>
      <w:r w:rsidRPr="00460DF7">
        <w:rPr>
          <w:rFonts w:ascii="Times New Roman" w:eastAsia="宋体" w:hAnsi="Times New Roman" w:cs="Times New Roman"/>
          <w:b/>
          <w:bCs/>
          <w:sz w:val="24"/>
          <w:szCs w:val="24"/>
        </w:rPr>
        <w:t>–</w:t>
      </w:r>
      <w:r w:rsidRPr="00460DF7">
        <w:rPr>
          <w:rFonts w:ascii="Times New Roman" w:hAnsi="Times New Roman" w:cs="Times New Roman"/>
          <w:b/>
          <w:bCs/>
          <w:sz w:val="24"/>
          <w:szCs w:val="24"/>
        </w:rPr>
        <w:t xml:space="preserve">2019 (FAO). </w:t>
      </w:r>
      <w:r w:rsidRPr="00460DF7">
        <w:rPr>
          <w:rFonts w:ascii="Times New Roman" w:hAnsi="Times New Roman" w:cs="Times New Roman"/>
          <w:sz w:val="24"/>
          <w:szCs w:val="24"/>
        </w:rPr>
        <w:t>The different colors represent the catch in six major fishing areas.</w:t>
      </w:r>
    </w:p>
    <w:p w14:paraId="0E7953B1" w14:textId="77777777" w:rsidR="008E6162" w:rsidRPr="00460DF7" w:rsidRDefault="008E6162" w:rsidP="008E6162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8C60C6" w14:textId="77777777" w:rsidR="008E6162" w:rsidRPr="00460DF7" w:rsidRDefault="008E6162" w:rsidP="008E6162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0DF7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684AC50F" wp14:editId="1776BFA5">
            <wp:extent cx="2635200" cy="2635200"/>
            <wp:effectExtent l="0" t="0" r="0" b="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983F7" w14:textId="77777777" w:rsidR="008E6162" w:rsidRPr="00460DF7" w:rsidRDefault="008E6162" w:rsidP="008E6162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0DF7">
        <w:rPr>
          <w:rFonts w:ascii="Times New Roman" w:hAnsi="Times New Roman" w:cs="Times New Roman"/>
          <w:b/>
          <w:bCs/>
          <w:sz w:val="24"/>
          <w:szCs w:val="24"/>
        </w:rPr>
        <w:t>Figure S2. Timeseries variations of skipjack tuna effort (days) during 1972</w:t>
      </w:r>
      <w:r w:rsidRPr="00460DF7">
        <w:rPr>
          <w:rFonts w:ascii="Times New Roman" w:eastAsia="宋体" w:hAnsi="Times New Roman" w:cs="Times New Roman"/>
          <w:b/>
          <w:bCs/>
          <w:sz w:val="24"/>
          <w:szCs w:val="24"/>
        </w:rPr>
        <w:t>–</w:t>
      </w:r>
      <w:r w:rsidRPr="00460DF7">
        <w:rPr>
          <w:rFonts w:ascii="Times New Roman" w:hAnsi="Times New Roman" w:cs="Times New Roman"/>
          <w:b/>
          <w:bCs/>
          <w:sz w:val="24"/>
          <w:szCs w:val="24"/>
        </w:rPr>
        <w:t xml:space="preserve">2019. </w:t>
      </w:r>
    </w:p>
    <w:p w14:paraId="15F8741F" w14:textId="77777777" w:rsidR="008E6162" w:rsidRPr="00460DF7" w:rsidRDefault="008E6162" w:rsidP="008E616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78B977C" w14:textId="77777777" w:rsidR="008E6162" w:rsidRPr="00460DF7" w:rsidRDefault="008E6162" w:rsidP="008E6162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0DF7">
        <w:rPr>
          <w:noProof/>
        </w:rPr>
        <w:lastRenderedPageBreak/>
        <w:drawing>
          <wp:inline distT="0" distB="0" distL="0" distR="0" wp14:anchorId="41A2E5B2" wp14:editId="2152C5D1">
            <wp:extent cx="5278120" cy="52781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F622A" w14:textId="77777777" w:rsidR="008E6162" w:rsidRPr="00460DF7" w:rsidRDefault="008E6162" w:rsidP="008E6162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60DF7">
        <w:rPr>
          <w:rFonts w:ascii="Times New Roman" w:hAnsi="Times New Roman" w:cs="Times New Roman"/>
          <w:b/>
          <w:bCs/>
          <w:sz w:val="24"/>
          <w:szCs w:val="24"/>
        </w:rPr>
        <w:t>Figure S3. The optimal embedding dimensions of</w:t>
      </w:r>
      <w:bookmarkStart w:id="2" w:name="OLE_LINK1"/>
      <w:r w:rsidRPr="00460DF7">
        <w:rPr>
          <w:rFonts w:ascii="Times New Roman" w:hAnsi="Times New Roman" w:cs="Times New Roman"/>
          <w:b/>
          <w:bCs/>
          <w:sz w:val="24"/>
          <w:szCs w:val="24"/>
        </w:rPr>
        <w:t xml:space="preserve"> the time series</w:t>
      </w:r>
      <w:r w:rsidRPr="00460DF7">
        <w:rPr>
          <w:rFonts w:ascii="Times New Roman" w:hAnsi="Times New Roman" w:cs="Times New Roman"/>
          <w:sz w:val="24"/>
          <w:szCs w:val="24"/>
        </w:rPr>
        <w:t>.</w:t>
      </w:r>
      <w:bookmarkEnd w:id="2"/>
    </w:p>
    <w:p w14:paraId="37A5B150" w14:textId="77777777" w:rsidR="008E6162" w:rsidRPr="00460DF7" w:rsidRDefault="008E6162" w:rsidP="008E6162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900B8C" w14:textId="77777777" w:rsidR="008E6162" w:rsidRPr="00460DF7" w:rsidRDefault="008E6162" w:rsidP="008E6162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0DF7">
        <w:rPr>
          <w:noProof/>
        </w:rPr>
        <w:lastRenderedPageBreak/>
        <w:drawing>
          <wp:inline distT="0" distB="0" distL="0" distR="0" wp14:anchorId="7F7BA8D5" wp14:editId="4608DF47">
            <wp:extent cx="5278120" cy="52781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7F09F" w14:textId="77777777" w:rsidR="008E6162" w:rsidRPr="00460DF7" w:rsidRDefault="008E6162" w:rsidP="008E6162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60DF7">
        <w:rPr>
          <w:rFonts w:ascii="Times New Roman" w:hAnsi="Times New Roman" w:cs="Times New Roman"/>
          <w:b/>
          <w:bCs/>
          <w:sz w:val="24"/>
          <w:szCs w:val="24"/>
        </w:rPr>
        <w:t>Figure S4. The identification and quantification of nonlinearity of the time series</w:t>
      </w:r>
      <w:r w:rsidRPr="00460DF7">
        <w:rPr>
          <w:rFonts w:ascii="Times New Roman" w:hAnsi="Times New Roman" w:cs="Times New Roman"/>
          <w:sz w:val="24"/>
          <w:szCs w:val="24"/>
        </w:rPr>
        <w:t>.</w:t>
      </w:r>
    </w:p>
    <w:p w14:paraId="3876D9C8" w14:textId="77777777" w:rsidR="008E6162" w:rsidRPr="00460DF7" w:rsidRDefault="008E6162" w:rsidP="008E616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28D9537" w14:textId="77777777" w:rsidR="008E6162" w:rsidRPr="00460DF7" w:rsidRDefault="008E6162" w:rsidP="008E6162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0DF7">
        <w:rPr>
          <w:noProof/>
        </w:rPr>
        <w:lastRenderedPageBreak/>
        <w:drawing>
          <wp:inline distT="0" distB="0" distL="0" distR="0" wp14:anchorId="5D6A6FD9" wp14:editId="5751B57E">
            <wp:extent cx="5278120" cy="3518535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2245D" w14:textId="77777777" w:rsidR="008E6162" w:rsidRPr="00460DF7" w:rsidRDefault="008E6162" w:rsidP="008E6162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60DF7">
        <w:rPr>
          <w:rFonts w:ascii="Times New Roman" w:hAnsi="Times New Roman" w:cs="Times New Roman"/>
          <w:b/>
          <w:bCs/>
          <w:sz w:val="24"/>
          <w:szCs w:val="24"/>
        </w:rPr>
        <w:t>Figure S5. The nonlinearity tests of the first-differenced indices (</w:t>
      </w:r>
      <w:proofErr w:type="spellStart"/>
      <w:r w:rsidRPr="00460DF7">
        <w:rPr>
          <w:rFonts w:ascii="Times New Roman" w:hAnsi="Times New Roman" w:cs="Times New Roman"/>
          <w:b/>
          <w:bCs/>
          <w:sz w:val="24"/>
          <w:szCs w:val="24"/>
        </w:rPr>
        <w:t>NPGOfd</w:t>
      </w:r>
      <w:proofErr w:type="spellEnd"/>
      <w:r w:rsidRPr="00460DF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460DF7">
        <w:rPr>
          <w:rFonts w:ascii="Times New Roman" w:hAnsi="Times New Roman" w:cs="Times New Roman"/>
          <w:b/>
          <w:bCs/>
          <w:sz w:val="24"/>
          <w:szCs w:val="24"/>
        </w:rPr>
        <w:t>PDOfd</w:t>
      </w:r>
      <w:proofErr w:type="spellEnd"/>
      <w:r w:rsidRPr="00460DF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460DF7">
        <w:rPr>
          <w:rFonts w:ascii="Times New Roman" w:hAnsi="Times New Roman" w:cs="Times New Roman"/>
          <w:b/>
          <w:bCs/>
          <w:sz w:val="24"/>
          <w:szCs w:val="24"/>
        </w:rPr>
        <w:t>SOIfd</w:t>
      </w:r>
      <w:proofErr w:type="spellEnd"/>
      <w:r w:rsidRPr="00460DF7">
        <w:rPr>
          <w:rFonts w:ascii="Times New Roman" w:hAnsi="Times New Roman" w:cs="Times New Roman"/>
          <w:b/>
          <w:bCs/>
          <w:sz w:val="24"/>
          <w:szCs w:val="24"/>
        </w:rPr>
        <w:t>).</w:t>
      </w:r>
      <w:r w:rsidRPr="00460DF7">
        <w:rPr>
          <w:rFonts w:ascii="Times New Roman" w:hAnsi="Times New Roman" w:cs="Times New Roman"/>
          <w:sz w:val="24"/>
          <w:szCs w:val="24"/>
        </w:rPr>
        <w:t xml:space="preserve"> The first row represents the optimal embedding dimensions of climate indices at the state space level; the second row represents the identification and quantification of nonlinearity of climate indices.</w:t>
      </w:r>
    </w:p>
    <w:p w14:paraId="0359E545" w14:textId="77777777" w:rsidR="008E6162" w:rsidRPr="00460DF7" w:rsidRDefault="008E6162" w:rsidP="008E6162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BD479B" w14:textId="77777777" w:rsidR="008E6162" w:rsidRPr="00460DF7" w:rsidRDefault="008E6162" w:rsidP="008E6162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0DF7">
        <w:rPr>
          <w:noProof/>
        </w:rPr>
        <w:drawing>
          <wp:inline distT="0" distB="0" distL="0" distR="0" wp14:anchorId="74AC7E8F" wp14:editId="18802159">
            <wp:extent cx="5278120" cy="17595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0E059" w14:textId="77777777" w:rsidR="008E6162" w:rsidRPr="00460DF7" w:rsidRDefault="008E6162" w:rsidP="008E6162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60DF7">
        <w:rPr>
          <w:rFonts w:ascii="Times New Roman" w:hAnsi="Times New Roman" w:cs="Times New Roman"/>
          <w:b/>
          <w:bCs/>
          <w:sz w:val="24"/>
          <w:szCs w:val="24"/>
        </w:rPr>
        <w:t xml:space="preserve">Figure S6. The CCM results between </w:t>
      </w:r>
      <w:proofErr w:type="spellStart"/>
      <w:r w:rsidRPr="00460DF7">
        <w:rPr>
          <w:rFonts w:ascii="Times New Roman" w:hAnsi="Times New Roman" w:cs="Times New Roman"/>
          <w:b/>
          <w:bCs/>
          <w:sz w:val="24"/>
          <w:szCs w:val="24"/>
        </w:rPr>
        <w:t>CPUEda</w:t>
      </w:r>
      <w:proofErr w:type="spellEnd"/>
      <w:r w:rsidRPr="00460DF7">
        <w:rPr>
          <w:rFonts w:ascii="Times New Roman" w:hAnsi="Times New Roman" w:cs="Times New Roman"/>
          <w:b/>
          <w:bCs/>
          <w:sz w:val="24"/>
          <w:szCs w:val="24"/>
        </w:rPr>
        <w:t xml:space="preserve"> and climate indices (</w:t>
      </w:r>
      <w:proofErr w:type="spellStart"/>
      <w:r w:rsidRPr="00460DF7">
        <w:rPr>
          <w:rFonts w:ascii="Times New Roman" w:hAnsi="Times New Roman" w:cs="Times New Roman"/>
          <w:b/>
          <w:bCs/>
          <w:sz w:val="24"/>
          <w:szCs w:val="24"/>
        </w:rPr>
        <w:t>NPGOfd</w:t>
      </w:r>
      <w:proofErr w:type="spellEnd"/>
      <w:r w:rsidRPr="00460DF7">
        <w:rPr>
          <w:rFonts w:ascii="Times New Roman" w:hAnsi="Times New Roman" w:cs="Times New Roman"/>
          <w:b/>
          <w:bCs/>
          <w:sz w:val="24"/>
          <w:szCs w:val="24"/>
        </w:rPr>
        <w:t xml:space="preserve">, ONI, </w:t>
      </w:r>
      <w:proofErr w:type="spellStart"/>
      <w:r w:rsidRPr="00460DF7">
        <w:rPr>
          <w:rFonts w:ascii="Times New Roman" w:hAnsi="Times New Roman" w:cs="Times New Roman"/>
          <w:b/>
          <w:bCs/>
          <w:sz w:val="24"/>
          <w:szCs w:val="24"/>
        </w:rPr>
        <w:t>PDOfd</w:t>
      </w:r>
      <w:proofErr w:type="spellEnd"/>
      <w:r w:rsidRPr="00460DF7">
        <w:rPr>
          <w:rFonts w:ascii="Times New Roman" w:hAnsi="Times New Roman" w:cs="Times New Roman"/>
          <w:b/>
          <w:bCs/>
          <w:sz w:val="24"/>
          <w:szCs w:val="24"/>
        </w:rPr>
        <w:t>).</w:t>
      </w:r>
      <w:r w:rsidRPr="00460DF7">
        <w:rPr>
          <w:rFonts w:ascii="Times New Roman" w:hAnsi="Times New Roman" w:cs="Times New Roman"/>
          <w:sz w:val="24"/>
          <w:szCs w:val="24"/>
        </w:rPr>
        <w:t xml:space="preserve"> Blue lines represent the climate indices effect on CPUE.</w:t>
      </w:r>
    </w:p>
    <w:p w14:paraId="175B8469" w14:textId="77777777" w:rsidR="008E6162" w:rsidRPr="00460DF7" w:rsidRDefault="008E6162" w:rsidP="008E6162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F36DF6" w14:textId="77777777" w:rsidR="008E6162" w:rsidRPr="00460DF7" w:rsidRDefault="008E6162" w:rsidP="008E6162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0DF7">
        <w:rPr>
          <w:noProof/>
        </w:rPr>
        <w:lastRenderedPageBreak/>
        <w:drawing>
          <wp:inline distT="0" distB="0" distL="0" distR="0" wp14:anchorId="068C0E4E" wp14:editId="460D77F0">
            <wp:extent cx="5278120" cy="42760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E4A97" w14:textId="77777777" w:rsidR="008E6162" w:rsidRPr="00460DF7" w:rsidRDefault="008E6162" w:rsidP="008E6162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0DF7">
        <w:rPr>
          <w:rFonts w:ascii="Times New Roman" w:hAnsi="Times New Roman" w:cs="Times New Roman"/>
          <w:b/>
          <w:bCs/>
          <w:sz w:val="24"/>
          <w:szCs w:val="24"/>
        </w:rPr>
        <w:t>Figure S7. Graphical residuals exploration results for the model during the first era (1972</w:t>
      </w:r>
      <w:r w:rsidRPr="00460DF7">
        <w:rPr>
          <w:rFonts w:ascii="Times New Roman" w:eastAsia="宋体" w:hAnsi="Times New Roman" w:cs="Times New Roman"/>
          <w:b/>
          <w:bCs/>
          <w:sz w:val="24"/>
          <w:szCs w:val="24"/>
        </w:rPr>
        <w:t>−</w:t>
      </w:r>
      <w:r w:rsidRPr="00460DF7">
        <w:rPr>
          <w:rFonts w:ascii="Times New Roman" w:hAnsi="Times New Roman" w:cs="Times New Roman"/>
          <w:b/>
          <w:bCs/>
          <w:sz w:val="24"/>
          <w:szCs w:val="24"/>
        </w:rPr>
        <w:t>1991)</w:t>
      </w:r>
    </w:p>
    <w:p w14:paraId="32103CA0" w14:textId="77777777" w:rsidR="008E6162" w:rsidRPr="00460DF7" w:rsidRDefault="008E6162" w:rsidP="008E6162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F2A1B0" w14:textId="77777777" w:rsidR="008E6162" w:rsidRPr="00460DF7" w:rsidRDefault="008E6162" w:rsidP="008E6162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0DF7">
        <w:rPr>
          <w:noProof/>
        </w:rPr>
        <w:lastRenderedPageBreak/>
        <w:drawing>
          <wp:inline distT="0" distB="0" distL="0" distR="0" wp14:anchorId="0DBF1579" wp14:editId="76A769EB">
            <wp:extent cx="5278120" cy="42760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1B56D" w14:textId="77777777" w:rsidR="008E6162" w:rsidRPr="00460DF7" w:rsidRDefault="008E6162" w:rsidP="008E6162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0DF7">
        <w:rPr>
          <w:rFonts w:ascii="Times New Roman" w:hAnsi="Times New Roman" w:cs="Times New Roman"/>
          <w:b/>
          <w:bCs/>
          <w:sz w:val="24"/>
          <w:szCs w:val="24"/>
        </w:rPr>
        <w:t>Figure S8. Graphical residuals exploration results for the model during the second era (1992</w:t>
      </w:r>
      <w:r w:rsidRPr="00460DF7">
        <w:rPr>
          <w:rFonts w:ascii="Times New Roman" w:eastAsia="宋体" w:hAnsi="Times New Roman" w:cs="Times New Roman"/>
          <w:b/>
          <w:bCs/>
          <w:sz w:val="24"/>
          <w:szCs w:val="24"/>
        </w:rPr>
        <w:t>–</w:t>
      </w:r>
      <w:r w:rsidRPr="00460DF7">
        <w:rPr>
          <w:rFonts w:ascii="Times New Roman" w:hAnsi="Times New Roman" w:cs="Times New Roman"/>
          <w:b/>
          <w:bCs/>
          <w:sz w:val="24"/>
          <w:szCs w:val="24"/>
        </w:rPr>
        <w:t>2019)</w:t>
      </w:r>
    </w:p>
    <w:bookmarkEnd w:id="1"/>
    <w:p w14:paraId="540A044B" w14:textId="77777777" w:rsidR="008E6162" w:rsidRPr="00460DF7" w:rsidRDefault="008E6162" w:rsidP="008E6162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538817" w14:textId="77777777" w:rsidR="008E6162" w:rsidRPr="00460DF7" w:rsidRDefault="008E6162" w:rsidP="008E6162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104439773"/>
      <w:r w:rsidRPr="00460DF7">
        <w:rPr>
          <w:rFonts w:ascii="Times New Roman" w:hAnsi="Times New Roman" w:cs="Times New Roman"/>
          <w:b/>
          <w:bCs/>
          <w:sz w:val="24"/>
          <w:szCs w:val="24"/>
        </w:rPr>
        <w:t xml:space="preserve">Table S1. Linear Correlations between SKJ </w:t>
      </w:r>
      <w:proofErr w:type="spellStart"/>
      <w:r w:rsidRPr="00460DF7">
        <w:rPr>
          <w:rFonts w:ascii="Times New Roman" w:hAnsi="Times New Roman" w:cs="Times New Roman"/>
          <w:b/>
          <w:bCs/>
          <w:sz w:val="24"/>
          <w:szCs w:val="24"/>
        </w:rPr>
        <w:t>CPUEda</w:t>
      </w:r>
      <w:proofErr w:type="spellEnd"/>
      <w:r w:rsidRPr="00460DF7">
        <w:rPr>
          <w:rFonts w:ascii="Times New Roman" w:hAnsi="Times New Roman" w:cs="Times New Roman"/>
          <w:b/>
          <w:bCs/>
          <w:sz w:val="24"/>
          <w:szCs w:val="24"/>
        </w:rPr>
        <w:t xml:space="preserve"> and climate indices during 1972</w:t>
      </w:r>
      <w:r w:rsidRPr="00460DF7">
        <w:rPr>
          <w:rFonts w:ascii="Times New Roman" w:eastAsia="宋体" w:hAnsi="Times New Roman" w:cs="Times New Roman"/>
          <w:b/>
          <w:bCs/>
          <w:sz w:val="24"/>
          <w:szCs w:val="24"/>
        </w:rPr>
        <w:t>–</w:t>
      </w:r>
      <w:r w:rsidRPr="00460DF7">
        <w:rPr>
          <w:rFonts w:ascii="Times New Roman" w:hAnsi="Times New Roman" w:cs="Times New Roman"/>
          <w:b/>
          <w:bCs/>
          <w:sz w:val="24"/>
          <w:szCs w:val="24"/>
        </w:rPr>
        <w:t xml:space="preserve">2019. 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4"/>
        <w:gridCol w:w="2706"/>
        <w:gridCol w:w="2627"/>
      </w:tblGrid>
      <w:tr w:rsidR="008E6162" w:rsidRPr="00460DF7" w14:paraId="451D0EE6" w14:textId="77777777" w:rsidTr="008C4570">
        <w:trPr>
          <w:cantSplit/>
          <w:jc w:val="center"/>
        </w:trPr>
        <w:tc>
          <w:tcPr>
            <w:tcW w:w="288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298A1D6" w14:textId="77777777" w:rsidR="008E6162" w:rsidRPr="00460DF7" w:rsidRDefault="008E6162" w:rsidP="008C457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60DF7">
              <w:rPr>
                <w:rFonts w:ascii="Times New Roman" w:hAnsi="Times New Roman" w:cs="Times New Roman"/>
                <w:b/>
                <w:bCs/>
                <w:szCs w:val="21"/>
              </w:rPr>
              <w:t xml:space="preserve">Climate indices correlated with </w:t>
            </w:r>
            <w:proofErr w:type="spellStart"/>
            <w:r w:rsidRPr="00460DF7">
              <w:rPr>
                <w:rFonts w:ascii="Times New Roman" w:hAnsi="Times New Roman" w:cs="Times New Roman"/>
                <w:b/>
                <w:bCs/>
                <w:szCs w:val="21"/>
              </w:rPr>
              <w:t>CPUEda</w:t>
            </w:r>
            <w:proofErr w:type="spellEnd"/>
          </w:p>
        </w:tc>
        <w:tc>
          <w:tcPr>
            <w:tcW w:w="270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4857386" w14:textId="77777777" w:rsidR="008E6162" w:rsidRPr="00460DF7" w:rsidRDefault="008E6162" w:rsidP="008C457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60DF7">
              <w:rPr>
                <w:rFonts w:ascii="Times New Roman" w:hAnsi="Times New Roman" w:cs="Times New Roman"/>
                <w:b/>
                <w:bCs/>
                <w:szCs w:val="21"/>
              </w:rPr>
              <w:t>r</w:t>
            </w:r>
          </w:p>
        </w:tc>
        <w:tc>
          <w:tcPr>
            <w:tcW w:w="262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EAD9AEB" w14:textId="77777777" w:rsidR="008E6162" w:rsidRPr="00460DF7" w:rsidRDefault="008E6162" w:rsidP="008C457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60DF7">
              <w:rPr>
                <w:rFonts w:ascii="Times New Roman" w:eastAsia="等线" w:hAnsi="Times New Roman" w:cs="Times New Roman"/>
                <w:b/>
                <w:bCs/>
                <w:szCs w:val="21"/>
              </w:rPr>
              <w:t>ρ</w:t>
            </w:r>
          </w:p>
        </w:tc>
      </w:tr>
      <w:tr w:rsidR="008E6162" w:rsidRPr="00460DF7" w14:paraId="5511E559" w14:textId="77777777" w:rsidTr="008C4570">
        <w:trPr>
          <w:cantSplit/>
          <w:jc w:val="center"/>
        </w:trPr>
        <w:tc>
          <w:tcPr>
            <w:tcW w:w="2884" w:type="dxa"/>
            <w:tcBorders>
              <w:top w:val="single" w:sz="18" w:space="0" w:color="auto"/>
            </w:tcBorders>
            <w:vAlign w:val="center"/>
          </w:tcPr>
          <w:p w14:paraId="06D16C1E" w14:textId="77777777" w:rsidR="008E6162" w:rsidRPr="00460DF7" w:rsidRDefault="008E6162" w:rsidP="008C457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60DF7">
              <w:rPr>
                <w:rFonts w:ascii="Times New Roman" w:hAnsi="Times New Roman" w:cs="Times New Roman"/>
                <w:b/>
                <w:bCs/>
                <w:szCs w:val="21"/>
              </w:rPr>
              <w:t>NPGO</w:t>
            </w:r>
          </w:p>
        </w:tc>
        <w:tc>
          <w:tcPr>
            <w:tcW w:w="2706" w:type="dxa"/>
            <w:tcBorders>
              <w:top w:val="single" w:sz="18" w:space="0" w:color="auto"/>
            </w:tcBorders>
            <w:vAlign w:val="center"/>
          </w:tcPr>
          <w:p w14:paraId="2B2D7738" w14:textId="77777777" w:rsidR="008E6162" w:rsidRPr="00460DF7" w:rsidRDefault="008E6162" w:rsidP="008C457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60DF7">
              <w:rPr>
                <w:rFonts w:ascii="Times New Roman" w:hAnsi="Times New Roman" w:cs="Times New Roman"/>
                <w:b/>
                <w:bCs/>
                <w:szCs w:val="21"/>
              </w:rPr>
              <w:t>−0.118*</w:t>
            </w:r>
          </w:p>
        </w:tc>
        <w:tc>
          <w:tcPr>
            <w:tcW w:w="2627" w:type="dxa"/>
            <w:tcBorders>
              <w:top w:val="single" w:sz="18" w:space="0" w:color="auto"/>
            </w:tcBorders>
            <w:vAlign w:val="center"/>
          </w:tcPr>
          <w:p w14:paraId="0A435B4A" w14:textId="77777777" w:rsidR="008E6162" w:rsidRPr="00460DF7" w:rsidRDefault="008E6162" w:rsidP="008C457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60DF7">
              <w:rPr>
                <w:rFonts w:ascii="Times New Roman" w:hAnsi="Times New Roman" w:cs="Times New Roman"/>
                <w:b/>
                <w:bCs/>
                <w:szCs w:val="21"/>
              </w:rPr>
              <w:t>&lt;0.05</w:t>
            </w:r>
          </w:p>
        </w:tc>
      </w:tr>
      <w:tr w:rsidR="008E6162" w:rsidRPr="00460DF7" w14:paraId="606161D8" w14:textId="77777777" w:rsidTr="008C4570">
        <w:trPr>
          <w:cantSplit/>
          <w:jc w:val="center"/>
        </w:trPr>
        <w:tc>
          <w:tcPr>
            <w:tcW w:w="2884" w:type="dxa"/>
            <w:vAlign w:val="center"/>
          </w:tcPr>
          <w:p w14:paraId="2A985B67" w14:textId="77777777" w:rsidR="008E6162" w:rsidRPr="00460DF7" w:rsidRDefault="008E6162" w:rsidP="008C457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460DF7">
              <w:rPr>
                <w:rFonts w:ascii="Times New Roman" w:hAnsi="Times New Roman" w:cs="Times New Roman"/>
                <w:szCs w:val="21"/>
              </w:rPr>
              <w:t>ONI</w:t>
            </w:r>
          </w:p>
        </w:tc>
        <w:tc>
          <w:tcPr>
            <w:tcW w:w="2706" w:type="dxa"/>
            <w:vAlign w:val="center"/>
          </w:tcPr>
          <w:p w14:paraId="31F7509E" w14:textId="77777777" w:rsidR="008E6162" w:rsidRPr="00460DF7" w:rsidRDefault="008E6162" w:rsidP="008C457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460DF7">
              <w:rPr>
                <w:rFonts w:ascii="Times New Roman" w:hAnsi="Times New Roman" w:cs="Times New Roman"/>
                <w:szCs w:val="21"/>
              </w:rPr>
              <w:t>−0.019</w:t>
            </w:r>
          </w:p>
        </w:tc>
        <w:tc>
          <w:tcPr>
            <w:tcW w:w="2627" w:type="dxa"/>
            <w:vAlign w:val="center"/>
          </w:tcPr>
          <w:p w14:paraId="77DC7AD6" w14:textId="77777777" w:rsidR="008E6162" w:rsidRPr="00460DF7" w:rsidRDefault="008E6162" w:rsidP="008C457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460DF7">
              <w:rPr>
                <w:rFonts w:ascii="Times New Roman" w:hAnsi="Times New Roman" w:cs="Times New Roman"/>
                <w:szCs w:val="21"/>
              </w:rPr>
              <w:t>&gt;0.05</w:t>
            </w:r>
          </w:p>
        </w:tc>
      </w:tr>
      <w:tr w:rsidR="008E6162" w:rsidRPr="00460DF7" w14:paraId="70020723" w14:textId="77777777" w:rsidTr="008C4570">
        <w:trPr>
          <w:cantSplit/>
          <w:jc w:val="center"/>
        </w:trPr>
        <w:tc>
          <w:tcPr>
            <w:tcW w:w="2884" w:type="dxa"/>
            <w:vAlign w:val="center"/>
          </w:tcPr>
          <w:p w14:paraId="12F39049" w14:textId="77777777" w:rsidR="008E6162" w:rsidRPr="00460DF7" w:rsidRDefault="008E6162" w:rsidP="008C457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460DF7">
              <w:rPr>
                <w:rFonts w:ascii="Times New Roman" w:hAnsi="Times New Roman" w:cs="Times New Roman"/>
                <w:szCs w:val="21"/>
              </w:rPr>
              <w:t>PDO</w:t>
            </w:r>
          </w:p>
        </w:tc>
        <w:tc>
          <w:tcPr>
            <w:tcW w:w="2706" w:type="dxa"/>
            <w:vAlign w:val="center"/>
          </w:tcPr>
          <w:p w14:paraId="24F2FAD1" w14:textId="77777777" w:rsidR="008E6162" w:rsidRPr="00460DF7" w:rsidRDefault="008E6162" w:rsidP="008C457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460DF7">
              <w:rPr>
                <w:rFonts w:ascii="Times New Roman" w:hAnsi="Times New Roman" w:cs="Times New Roman"/>
                <w:szCs w:val="21"/>
              </w:rPr>
              <w:t>0.080</w:t>
            </w:r>
          </w:p>
        </w:tc>
        <w:tc>
          <w:tcPr>
            <w:tcW w:w="2627" w:type="dxa"/>
            <w:vAlign w:val="center"/>
          </w:tcPr>
          <w:p w14:paraId="188CE38B" w14:textId="77777777" w:rsidR="008E6162" w:rsidRPr="00460DF7" w:rsidRDefault="008E6162" w:rsidP="008C457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460DF7">
              <w:rPr>
                <w:rFonts w:ascii="Times New Roman" w:hAnsi="Times New Roman" w:cs="Times New Roman"/>
                <w:szCs w:val="21"/>
              </w:rPr>
              <w:t>&gt;0.05</w:t>
            </w:r>
          </w:p>
        </w:tc>
      </w:tr>
      <w:tr w:rsidR="008E6162" w:rsidRPr="00460DF7" w14:paraId="53EDC418" w14:textId="77777777" w:rsidTr="008C4570">
        <w:trPr>
          <w:cantSplit/>
          <w:jc w:val="center"/>
        </w:trPr>
        <w:tc>
          <w:tcPr>
            <w:tcW w:w="2884" w:type="dxa"/>
            <w:vAlign w:val="center"/>
          </w:tcPr>
          <w:p w14:paraId="18D8BA09" w14:textId="77777777" w:rsidR="008E6162" w:rsidRPr="00460DF7" w:rsidRDefault="008E6162" w:rsidP="008C457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460DF7">
              <w:rPr>
                <w:rFonts w:ascii="Times New Roman" w:hAnsi="Times New Roman" w:cs="Times New Roman"/>
                <w:szCs w:val="21"/>
              </w:rPr>
              <w:t>SOI</w:t>
            </w:r>
          </w:p>
        </w:tc>
        <w:tc>
          <w:tcPr>
            <w:tcW w:w="2706" w:type="dxa"/>
            <w:vAlign w:val="center"/>
          </w:tcPr>
          <w:p w14:paraId="4D65A989" w14:textId="77777777" w:rsidR="008E6162" w:rsidRPr="00460DF7" w:rsidRDefault="008E6162" w:rsidP="008C457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460DF7">
              <w:rPr>
                <w:rFonts w:ascii="Times New Roman" w:hAnsi="Times New Roman" w:cs="Times New Roman"/>
                <w:szCs w:val="21"/>
              </w:rPr>
              <w:t>−0.036</w:t>
            </w:r>
          </w:p>
        </w:tc>
        <w:tc>
          <w:tcPr>
            <w:tcW w:w="2627" w:type="dxa"/>
            <w:vAlign w:val="center"/>
          </w:tcPr>
          <w:p w14:paraId="5025C46F" w14:textId="77777777" w:rsidR="008E6162" w:rsidRPr="00460DF7" w:rsidRDefault="008E6162" w:rsidP="008C457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460DF7">
              <w:rPr>
                <w:rFonts w:ascii="Times New Roman" w:hAnsi="Times New Roman" w:cs="Times New Roman"/>
                <w:szCs w:val="21"/>
              </w:rPr>
              <w:t>&gt;0.05</w:t>
            </w:r>
          </w:p>
        </w:tc>
      </w:tr>
      <w:tr w:rsidR="008E6162" w:rsidRPr="00460DF7" w14:paraId="34A1CF24" w14:textId="77777777" w:rsidTr="008C4570">
        <w:trPr>
          <w:cantSplit/>
          <w:jc w:val="center"/>
        </w:trPr>
        <w:tc>
          <w:tcPr>
            <w:tcW w:w="2884" w:type="dxa"/>
            <w:tcBorders>
              <w:bottom w:val="single" w:sz="18" w:space="0" w:color="auto"/>
            </w:tcBorders>
            <w:vAlign w:val="center"/>
          </w:tcPr>
          <w:p w14:paraId="6388AA87" w14:textId="77777777" w:rsidR="008E6162" w:rsidRPr="00460DF7" w:rsidRDefault="008E6162" w:rsidP="008C457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460DF7">
              <w:rPr>
                <w:rFonts w:ascii="Times New Roman" w:hAnsi="Times New Roman" w:cs="Times New Roman"/>
                <w:szCs w:val="21"/>
              </w:rPr>
              <w:t>AMO</w:t>
            </w:r>
          </w:p>
        </w:tc>
        <w:tc>
          <w:tcPr>
            <w:tcW w:w="2706" w:type="dxa"/>
            <w:tcBorders>
              <w:bottom w:val="single" w:sz="18" w:space="0" w:color="auto"/>
            </w:tcBorders>
            <w:vAlign w:val="center"/>
          </w:tcPr>
          <w:p w14:paraId="0D02E6C5" w14:textId="77777777" w:rsidR="008E6162" w:rsidRPr="00460DF7" w:rsidRDefault="008E6162" w:rsidP="008C457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460DF7">
              <w:rPr>
                <w:rFonts w:ascii="Times New Roman" w:hAnsi="Times New Roman" w:cs="Times New Roman"/>
                <w:szCs w:val="21"/>
              </w:rPr>
              <w:t>−0.004</w:t>
            </w:r>
          </w:p>
        </w:tc>
        <w:tc>
          <w:tcPr>
            <w:tcW w:w="2627" w:type="dxa"/>
            <w:tcBorders>
              <w:bottom w:val="single" w:sz="18" w:space="0" w:color="auto"/>
            </w:tcBorders>
            <w:vAlign w:val="center"/>
          </w:tcPr>
          <w:p w14:paraId="435BD25B" w14:textId="77777777" w:rsidR="008E6162" w:rsidRPr="00460DF7" w:rsidRDefault="008E6162" w:rsidP="008C457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460DF7">
              <w:rPr>
                <w:rFonts w:ascii="Times New Roman" w:hAnsi="Times New Roman" w:cs="Times New Roman"/>
                <w:szCs w:val="21"/>
              </w:rPr>
              <w:t>&gt;0.05</w:t>
            </w:r>
          </w:p>
        </w:tc>
      </w:tr>
    </w:tbl>
    <w:p w14:paraId="3E946900" w14:textId="77777777" w:rsidR="008E6162" w:rsidRPr="0093472D" w:rsidRDefault="008E6162" w:rsidP="008E616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60DF7">
        <w:rPr>
          <w:rFonts w:ascii="Times New Roman" w:hAnsi="Times New Roman" w:cs="Times New Roman"/>
          <w:sz w:val="24"/>
          <w:szCs w:val="24"/>
        </w:rPr>
        <w:t xml:space="preserve">* </w:t>
      </w:r>
      <w:proofErr w:type="gramStart"/>
      <w:r w:rsidRPr="00460DF7">
        <w:rPr>
          <w:rFonts w:ascii="Times New Roman" w:hAnsi="Times New Roman" w:cs="Times New Roman"/>
          <w:sz w:val="24"/>
          <w:szCs w:val="24"/>
        </w:rPr>
        <w:t>means</w:t>
      </w:r>
      <w:proofErr w:type="gramEnd"/>
      <w:r w:rsidRPr="00460DF7">
        <w:rPr>
          <w:rFonts w:ascii="Times New Roman" w:hAnsi="Times New Roman" w:cs="Times New Roman"/>
          <w:sz w:val="24"/>
          <w:szCs w:val="24"/>
        </w:rPr>
        <w:t xml:space="preserve"> coefficients significant at 0.05.</w:t>
      </w:r>
      <w:bookmarkEnd w:id="0"/>
      <w:bookmarkEnd w:id="3"/>
    </w:p>
    <w:p w14:paraId="7980CB56" w14:textId="77777777" w:rsidR="008F6EDF" w:rsidRPr="008E6162" w:rsidRDefault="008F6EDF" w:rsidP="008E6162"/>
    <w:sectPr w:rsidR="008F6EDF" w:rsidRPr="008E6162" w:rsidSect="008E6162">
      <w:footerReference w:type="default" r:id="rId14"/>
      <w:pgSz w:w="11906" w:h="16838"/>
      <w:pgMar w:top="1440" w:right="1797" w:bottom="1440" w:left="1797" w:header="851" w:footer="992" w:gutter="0"/>
      <w:cols w:space="425"/>
      <w:docGrid w:type="lines" w:linePitch="3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6AAE6" w14:textId="77777777" w:rsidR="00F22276" w:rsidRDefault="00F22276" w:rsidP="008E6162">
      <w:r>
        <w:separator/>
      </w:r>
    </w:p>
  </w:endnote>
  <w:endnote w:type="continuationSeparator" w:id="0">
    <w:p w14:paraId="596F9939" w14:textId="77777777" w:rsidR="00F22276" w:rsidRDefault="00F22276" w:rsidP="008E6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73369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974799" w14:textId="77777777" w:rsidR="000E06C9" w:rsidRDefault="00F22276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9A2695C" w14:textId="77777777" w:rsidR="000E06C9" w:rsidRDefault="00F2227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9CCCA" w14:textId="77777777" w:rsidR="00F22276" w:rsidRDefault="00F22276" w:rsidP="008E6162">
      <w:r>
        <w:separator/>
      </w:r>
    </w:p>
  </w:footnote>
  <w:footnote w:type="continuationSeparator" w:id="0">
    <w:p w14:paraId="40FB4BE5" w14:textId="77777777" w:rsidR="00F22276" w:rsidRDefault="00F22276" w:rsidP="008E61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20"/>
  <w:drawingGridHorizontalSpacing w:val="105"/>
  <w:drawingGridVerticalSpacing w:val="174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A3F"/>
    <w:rsid w:val="004F7D14"/>
    <w:rsid w:val="006C3A3F"/>
    <w:rsid w:val="008E6162"/>
    <w:rsid w:val="008F6EDF"/>
    <w:rsid w:val="00DD4431"/>
    <w:rsid w:val="00F22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4197AA"/>
  <w15:chartTrackingRefBased/>
  <w15:docId w15:val="{EA4ECEF1-BC06-4F5B-BC68-06894C0DF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616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61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616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E61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E6162"/>
    <w:rPr>
      <w:sz w:val="18"/>
      <w:szCs w:val="18"/>
    </w:rPr>
  </w:style>
  <w:style w:type="table" w:styleId="a7">
    <w:name w:val="Table Grid"/>
    <w:basedOn w:val="a1"/>
    <w:uiPriority w:val="39"/>
    <w:rsid w:val="008E61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line number"/>
    <w:basedOn w:val="a0"/>
    <w:uiPriority w:val="99"/>
    <w:semiHidden/>
    <w:unhideWhenUsed/>
    <w:rsid w:val="008E61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199</Words>
  <Characters>1139</Characters>
  <Application>Microsoft Office Word</Application>
  <DocSecurity>0</DocSecurity>
  <Lines>9</Lines>
  <Paragraphs>2</Paragraphs>
  <ScaleCrop>false</ScaleCrop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 yun</dc:creator>
  <cp:keywords/>
  <dc:description/>
  <cp:lastModifiedBy>hou yun</cp:lastModifiedBy>
  <cp:revision>2</cp:revision>
  <dcterms:created xsi:type="dcterms:W3CDTF">2022-06-21T05:50:00Z</dcterms:created>
  <dcterms:modified xsi:type="dcterms:W3CDTF">2022-06-21T06:35:00Z</dcterms:modified>
</cp:coreProperties>
</file>