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F4B" w:rsidRPr="00B2513C" w:rsidRDefault="00741F4B" w:rsidP="00741F4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513C">
        <w:rPr>
          <w:rFonts w:ascii="Times New Roman" w:hAnsi="Times New Roman" w:cs="Times New Roman"/>
          <w:sz w:val="28"/>
          <w:szCs w:val="28"/>
        </w:rPr>
        <w:t>Supplementary Tables</w:t>
      </w:r>
    </w:p>
    <w:p w:rsidR="00741F4B" w:rsidRPr="00B2513C" w:rsidRDefault="00741F4B" w:rsidP="00741F4B">
      <w:pPr>
        <w:spacing w:line="360" w:lineRule="auto"/>
        <w:rPr>
          <w:rFonts w:ascii="Times New Roman" w:hAnsi="Times New Roman"/>
          <w:b/>
          <w:szCs w:val="21"/>
        </w:rPr>
      </w:pPr>
      <w:r w:rsidRPr="00B2513C">
        <w:rPr>
          <w:rFonts w:ascii="Times New Roman" w:hAnsi="Times New Roman"/>
          <w:b/>
          <w:szCs w:val="21"/>
        </w:rPr>
        <w:t>Table S1. All the identified genes of the key modules associated with sepsis/se-ARDS</w:t>
      </w:r>
    </w:p>
    <w:tbl>
      <w:tblPr>
        <w:tblW w:w="9020" w:type="dxa"/>
        <w:tblInd w:w="-284" w:type="dxa"/>
        <w:tblLook w:val="04A0" w:firstRow="1" w:lastRow="0" w:firstColumn="1" w:lastColumn="0" w:noHBand="0" w:noVBand="1"/>
      </w:tblPr>
      <w:tblGrid>
        <w:gridCol w:w="1560"/>
        <w:gridCol w:w="7460"/>
      </w:tblGrid>
      <w:tr w:rsidR="00741F4B" w:rsidRPr="00B2513C" w:rsidTr="00B30490">
        <w:trPr>
          <w:trHeight w:val="490"/>
        </w:trPr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8D235A">
            <w:pPr>
              <w:spacing w:line="360" w:lineRule="auto"/>
              <w:rPr>
                <w:rFonts w:ascii="Times New Roman" w:eastAsia="等线" w:hAnsi="Times New Roman"/>
                <w:szCs w:val="21"/>
              </w:rPr>
            </w:pPr>
            <w:r w:rsidRPr="00B2513C">
              <w:rPr>
                <w:rFonts w:ascii="Times New Roman" w:eastAsia="等线" w:hAnsi="Times New Roman"/>
                <w:szCs w:val="21"/>
              </w:rPr>
              <w:t>Key module</w:t>
            </w:r>
          </w:p>
        </w:tc>
        <w:tc>
          <w:tcPr>
            <w:tcW w:w="74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B51869">
            <w:pPr>
              <w:spacing w:line="240" w:lineRule="auto"/>
              <w:jc w:val="center"/>
              <w:rPr>
                <w:rFonts w:ascii="Times New Roman" w:eastAsia="等线" w:hAnsi="Times New Roman"/>
                <w:szCs w:val="21"/>
              </w:rPr>
            </w:pPr>
            <w:r w:rsidRPr="00B2513C">
              <w:rPr>
                <w:rFonts w:ascii="Times New Roman" w:eastAsia="等线" w:hAnsi="Times New Roman"/>
                <w:szCs w:val="21"/>
              </w:rPr>
              <w:t>Modu</w:t>
            </w:r>
            <w:bookmarkStart w:id="0" w:name="_GoBack"/>
            <w:bookmarkEnd w:id="0"/>
            <w:r w:rsidRPr="00B2513C">
              <w:rPr>
                <w:rFonts w:ascii="Times New Roman" w:eastAsia="等线" w:hAnsi="Times New Roman"/>
                <w:szCs w:val="21"/>
              </w:rPr>
              <w:t>lar genes</w:t>
            </w:r>
          </w:p>
        </w:tc>
      </w:tr>
      <w:tr w:rsidR="00741F4B" w:rsidRPr="00B2513C" w:rsidTr="00B30490">
        <w:trPr>
          <w:trHeight w:val="720"/>
        </w:trPr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B51869">
            <w:pPr>
              <w:spacing w:line="240" w:lineRule="auto"/>
              <w:jc w:val="both"/>
              <w:rPr>
                <w:rFonts w:ascii="Times New Roman" w:eastAsia="等线" w:hAnsi="Times New Roman"/>
                <w:szCs w:val="21"/>
              </w:rPr>
            </w:pPr>
            <w:r w:rsidRPr="00B2513C">
              <w:rPr>
                <w:rFonts w:ascii="Times New Roman" w:eastAsia="等线" w:hAnsi="Times New Roman"/>
                <w:szCs w:val="21"/>
              </w:rPr>
              <w:t>Magenta (263)</w:t>
            </w:r>
          </w:p>
        </w:tc>
        <w:tc>
          <w:tcPr>
            <w:tcW w:w="7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B51869">
            <w:pPr>
              <w:spacing w:line="240" w:lineRule="auto"/>
              <w:jc w:val="both"/>
              <w:rPr>
                <w:rFonts w:ascii="Times New Roman" w:eastAsia="等线" w:hAnsi="Times New Roman"/>
                <w:i/>
                <w:sz w:val="18"/>
                <w:szCs w:val="18"/>
              </w:rPr>
            </w:pPr>
            <w:r w:rsidRPr="00B2513C">
              <w:rPr>
                <w:rFonts w:ascii="Times New Roman" w:hAnsi="Times New Roman"/>
                <w:i/>
                <w:sz w:val="18"/>
                <w:szCs w:val="18"/>
              </w:rPr>
              <w:t>ACAA1, ACAP1, ACPP, ACTN4, ADORA2A, ALDOA, ANPEP, ANXA5, APBB1IP, APCDD1, PLP2, ARF5, ARPC1A, ARPC1B, ARPC4, ATL3, ATOX1, ATXN7L3, BAT5, BCKDK, BLOC1S1, BMX, BRI3, C14orf131, C17orf60, C17orf62, C19orf59, C1orf122, C1orf162, C22orf9, C2orf25, C3AR1, C5orf32, C9orf103, C9orf167, C9orf89, C9orf95, CA4, CACNA1E, CAPNS1, CD14, CD177, CD300LF, CD44, CD63, CD82, CDA, CEACAM3, CEBPA, CKAP4, CNPY3, COG7, COTL1, CST7, CTSA, CTSC, CTSD, CYP1B1, DBNL, DDAH2, DHCR7, DHRS1, DHRS7B, DHRS9, DNM2, EI24, EMILIN2, EMR1, ENO1, EXOC3, EXOSC4, F12, F5, FAM160A2, FAM89A, FBXW2, FCER1G, FERMT3, FES, FIG4, FKBP15, FKBP1A, FLJ22662, FLOT1, FLVCR2, FSTL3, G6PD, GAPDH, GBA, GGT1, GLA, GLT25D1, GM2A, GNA15, GNG5, GPR137B, GPR84, GRB2, GRK6, GRN, GSTO1, GUSB, GYG1, H2AFJ, HAMP, HAVCR2, HCK, HIF1AN, HINT3</w:t>
            </w:r>
            <w:r w:rsidRPr="00B2513C">
              <w:rPr>
                <w:rFonts w:ascii="Times New Roman" w:hAnsi="Times New Roman" w:hint="eastAsia"/>
                <w:i/>
                <w:sz w:val="18"/>
                <w:szCs w:val="18"/>
              </w:rPr>
              <w:t>,</w:t>
            </w:r>
            <w:r w:rsidRPr="00B2513C">
              <w:rPr>
                <w:rFonts w:ascii="Times New Roman" w:hAnsi="Times New Roman"/>
                <w:i/>
                <w:sz w:val="18"/>
                <w:szCs w:val="18"/>
              </w:rPr>
              <w:t xml:space="preserve"> HIST1H2BD, HIST1H2BK, HIST2H2AA3, HIST2H2AA4, HIST2H2AC, HIST2H2BE, HK3, HP, IER3, IFI30, IFITM1</w:t>
            </w:r>
            <w:r w:rsidRPr="00B2513C">
              <w:rPr>
                <w:rFonts w:ascii="Times New Roman" w:hAnsi="Times New Roman" w:hint="eastAsia"/>
                <w:i/>
                <w:sz w:val="18"/>
                <w:szCs w:val="18"/>
              </w:rPr>
              <w:t>,</w:t>
            </w:r>
            <w:r w:rsidRPr="00B2513C">
              <w:rPr>
                <w:rFonts w:ascii="Times New Roman" w:hAnsi="Times New Roman"/>
                <w:i/>
                <w:sz w:val="18"/>
                <w:szCs w:val="18"/>
              </w:rPr>
              <w:t xml:space="preserve"> IGFBP7, IL17RA, IL1RN, ITGA7, KIAA2013, LAMC1, LDHA, LILRA3, LILRA5, LILRA6, LOC100130520, LOC100130707, LOC100130904, LOC100132717, LOC100133875, LOC255809, LOC391075, LOC440043, LOC440731, LOC606724, LOC642408, LOC642489, LOC644237, LOC644774, LOC644914, LOC648984, LOC651143, LOC653506, LOC653888, LOC723972, LOC728188, LOC728226, LOC728519, LOC728666, LOC729816, LOC730358, LOC731528, LOC732007, LRPAP1, LTA4H, LTB4R, LTBR, METRNL, METTL7B, MMADHC, MMP8, MMP9, MSRA, MSRB2, MTF1, MYO1F, NAPRT1, NAT15, NCKAP1L, NEDD8, NLRC4, NME6, OPLAH, ORM1, OSCAR, OXER1, PADI4, PDSS1, PEX13, PFKFB3, PGAM1, PGD, PGK1, PHCA, PKM2, PLAC8, PLP2, PLSCR1, PNPLA6, POR, PPM1M, PRKAG1, PRMT2, PSMB3, PTGR1, PTK2B, PTPN1, PTPN6, PUS3, PYCARD, RBMS1, RETN, RGL4, RGS19, RNASE2, RPA1, RPS6KA5, S100A12, S100A4, S100A6, S100P, S1PR4, SASH3, SBNO2, SCPEP1, SEC23B, SERPINB1, SERPINB8, SETD8, SGMS2, SGSH, SH2B2, SH3BGRL3, SIGLEC5, SIGLEC9, SIRT7, SLC2A3, SMPDL3A, SP100, SRA1, STX10, STXBP2, SYTL1, TCN2, TDRD9, TIMP1, TKT, TMEM120A, TMEM14B, TNFRSF10D, TOR1A, TPST2, TSPO, TYROBP, UBA1, UBE1, UBTD1, UCK1, UPP1, VAMP3, VAT1, VAV1, VSTM1, VWA5A, WSB1, ZDHHC12, ZDHHC19, ZNF438</w:t>
            </w:r>
          </w:p>
        </w:tc>
      </w:tr>
      <w:tr w:rsidR="00741F4B" w:rsidRPr="00B2513C" w:rsidTr="00B30490">
        <w:trPr>
          <w:trHeight w:val="700"/>
        </w:trPr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8D235A">
            <w:pPr>
              <w:spacing w:line="360" w:lineRule="auto"/>
              <w:rPr>
                <w:rFonts w:ascii="Times New Roman" w:eastAsia="等线" w:hAnsi="Times New Roman"/>
                <w:szCs w:val="21"/>
              </w:rPr>
            </w:pPr>
            <w:r w:rsidRPr="00B2513C">
              <w:rPr>
                <w:rFonts w:ascii="Times New Roman" w:eastAsia="等线" w:hAnsi="Times New Roman"/>
                <w:szCs w:val="21"/>
              </w:rPr>
              <w:t>Midnight blue (121)</w:t>
            </w:r>
          </w:p>
        </w:tc>
        <w:tc>
          <w:tcPr>
            <w:tcW w:w="746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B51869">
            <w:pPr>
              <w:spacing w:line="240" w:lineRule="auto"/>
              <w:jc w:val="both"/>
              <w:rPr>
                <w:rFonts w:ascii="Times New Roman" w:eastAsia="等线" w:hAnsi="Times New Roman"/>
                <w:i/>
                <w:sz w:val="18"/>
                <w:szCs w:val="18"/>
              </w:rPr>
            </w:pPr>
            <w:r w:rsidRPr="00B2513C">
              <w:rPr>
                <w:rFonts w:ascii="Times New Roman" w:hAnsi="Times New Roman"/>
                <w:i/>
                <w:sz w:val="18"/>
                <w:szCs w:val="18"/>
              </w:rPr>
              <w:t>AFG3L2, ANRIL, ARL2BP, ASPM, ATAD2, ATP1A1, AURKA, AURKB, AZU1, BIRC5, BOLA3, BPI, C13orf34, C16orf75, C3orf26, C6orf173, CAMP, CCNA2, CCNB1, CCNB2, CCNF, CD24, CDC20, CDC45L, CDCA3, CDCA5, CDKN3, CDT1, CEACAM6, CEACAM8, CEBPE, CENPE, CKAP2, CKS1B, CKS2, COL17A1, CPNE3, CTSG, DDIT4, DEFA4, DNAJC9, DTL, ELANE, EPDR1, FBXO5, FEN1, GINS2, HIST1H1C, HMGN2, HMMR, KIF20A, KIF20B, KLF9, KNTC1, LCN2, LDLR, LOC100134379, LOC148137, LOC148915, LOC283392, LOC647000, LOC650412, LOC653061, LOC653600, LOC730534, LTF, LXN, MCM2, MCM6, MCM7, MELK, MGST3, MPO, MS4A3, MYB, NCAPG, NEK2, NNMT, NUSAP1, OIP5, PCCB, PIF1, PIR, PIWIL4, POLE2, PRC1, PRTN3, PTPN20, PTTG1, PTTG3P, QSOX2, RFC4, RNASE3, RRM1, SCD, SGOL2, SLC11A2, SLC27A2, SLC2A5, SPDYE1, SUSD3, TACSTD2, TCN1, TFF3, THBS4, TIMELESS, TIMM23, TK1, TMEM14C, TOP2A, TRIP13, TRMT5, TSC22D3, TUBA1B, TUBA1C, TYMS, UBE2C, UBE2T, UHRF1, WDR51A, ZBTB16</w:t>
            </w:r>
          </w:p>
        </w:tc>
      </w:tr>
    </w:tbl>
    <w:p w:rsidR="00741F4B" w:rsidRPr="00B2513C" w:rsidRDefault="00741F4B" w:rsidP="00741F4B">
      <w:pPr>
        <w:spacing w:line="360" w:lineRule="auto"/>
        <w:rPr>
          <w:rFonts w:ascii="Times New Roman" w:hAnsi="Times New Roman"/>
          <w:b/>
          <w:szCs w:val="21"/>
        </w:rPr>
      </w:pPr>
    </w:p>
    <w:p w:rsidR="00741F4B" w:rsidRPr="00B2513C" w:rsidRDefault="00741F4B" w:rsidP="00741F4B">
      <w:pPr>
        <w:spacing w:line="360" w:lineRule="auto"/>
        <w:rPr>
          <w:rFonts w:ascii="Times New Roman" w:hAnsi="Times New Roman"/>
          <w:b/>
          <w:szCs w:val="21"/>
        </w:rPr>
      </w:pPr>
      <w:r w:rsidRPr="00B2513C">
        <w:rPr>
          <w:rFonts w:ascii="Times New Roman" w:hAnsi="Times New Roman"/>
          <w:b/>
          <w:szCs w:val="21"/>
        </w:rPr>
        <w:t>Table S2. Hub genes of the key modules associated with sepsis/se-ARDS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1843"/>
        <w:gridCol w:w="7513"/>
      </w:tblGrid>
      <w:tr w:rsidR="00741F4B" w:rsidRPr="00B2513C" w:rsidTr="008D235A">
        <w:trPr>
          <w:trHeight w:val="490"/>
        </w:trPr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8D235A">
            <w:pPr>
              <w:spacing w:line="360" w:lineRule="auto"/>
              <w:rPr>
                <w:rFonts w:ascii="Times New Roman" w:eastAsia="等线" w:hAnsi="Times New Roman"/>
                <w:szCs w:val="21"/>
              </w:rPr>
            </w:pPr>
            <w:r w:rsidRPr="00B2513C">
              <w:rPr>
                <w:rFonts w:ascii="Times New Roman" w:eastAsia="等线" w:hAnsi="Times New Roman"/>
                <w:szCs w:val="21"/>
              </w:rPr>
              <w:t>Key module</w:t>
            </w:r>
          </w:p>
        </w:tc>
        <w:tc>
          <w:tcPr>
            <w:tcW w:w="75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8D235A">
            <w:pPr>
              <w:spacing w:line="360" w:lineRule="auto"/>
              <w:jc w:val="center"/>
              <w:rPr>
                <w:rFonts w:ascii="Times New Roman" w:eastAsia="等线" w:hAnsi="Times New Roman"/>
                <w:szCs w:val="21"/>
              </w:rPr>
            </w:pPr>
            <w:r w:rsidRPr="00B2513C">
              <w:rPr>
                <w:rFonts w:ascii="Times New Roman" w:eastAsia="等线" w:hAnsi="Times New Roman"/>
                <w:szCs w:val="21"/>
              </w:rPr>
              <w:t>Hub genes</w:t>
            </w:r>
          </w:p>
        </w:tc>
      </w:tr>
      <w:tr w:rsidR="00741F4B" w:rsidRPr="00B2513C" w:rsidTr="008D235A">
        <w:trPr>
          <w:trHeight w:val="720"/>
        </w:trPr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8D235A">
            <w:pPr>
              <w:spacing w:line="360" w:lineRule="auto"/>
              <w:rPr>
                <w:rFonts w:ascii="Times New Roman" w:eastAsia="等线" w:hAnsi="Times New Roman"/>
                <w:szCs w:val="21"/>
              </w:rPr>
            </w:pPr>
            <w:r w:rsidRPr="00B2513C">
              <w:rPr>
                <w:rFonts w:ascii="Times New Roman" w:eastAsia="等线" w:hAnsi="Times New Roman"/>
                <w:szCs w:val="21"/>
              </w:rPr>
              <w:t>Magenta (17)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8D235A">
            <w:pPr>
              <w:spacing w:line="360" w:lineRule="auto"/>
              <w:rPr>
                <w:rFonts w:ascii="Times New Roman" w:eastAsia="等线" w:hAnsi="Times New Roman"/>
                <w:i/>
                <w:szCs w:val="21"/>
              </w:rPr>
            </w:pPr>
            <w:r w:rsidRPr="00B2513C">
              <w:rPr>
                <w:rFonts w:ascii="Times New Roman" w:eastAsia="等线" w:hAnsi="Times New Roman"/>
                <w:i/>
                <w:szCs w:val="21"/>
              </w:rPr>
              <w:t>C19orf59, DDAH2, EXOSC4, FCER1G, FLOT1, GBA, GPR84, GYG1, HK3, LTB4R, OSCAR, PGD, RGL4, SIGLEC9, TDRD9, TSPO, UBTD1</w:t>
            </w:r>
          </w:p>
        </w:tc>
      </w:tr>
      <w:tr w:rsidR="00741F4B" w:rsidRPr="00B2513C" w:rsidTr="008D235A">
        <w:trPr>
          <w:trHeight w:val="700"/>
        </w:trPr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8D235A">
            <w:pPr>
              <w:spacing w:line="360" w:lineRule="auto"/>
              <w:rPr>
                <w:rFonts w:ascii="Times New Roman" w:eastAsia="等线" w:hAnsi="Times New Roman"/>
                <w:szCs w:val="21"/>
              </w:rPr>
            </w:pPr>
            <w:r w:rsidRPr="00B2513C">
              <w:rPr>
                <w:rFonts w:ascii="Times New Roman" w:eastAsia="等线" w:hAnsi="Times New Roman"/>
                <w:szCs w:val="21"/>
              </w:rPr>
              <w:t>Midnight blue (19)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4B" w:rsidRPr="00B2513C" w:rsidRDefault="00741F4B" w:rsidP="008D235A">
            <w:pPr>
              <w:spacing w:line="360" w:lineRule="auto"/>
              <w:rPr>
                <w:rFonts w:ascii="Times New Roman" w:eastAsia="等线" w:hAnsi="Times New Roman"/>
                <w:i/>
                <w:szCs w:val="21"/>
              </w:rPr>
            </w:pPr>
            <w:r w:rsidRPr="00B2513C">
              <w:rPr>
                <w:rFonts w:ascii="Times New Roman" w:eastAsia="等线" w:hAnsi="Times New Roman"/>
                <w:i/>
                <w:szCs w:val="21"/>
              </w:rPr>
              <w:t>AURKA, AURKB, CCNA2, CCNB2, CCNF, CDC20, CDCA5, CDKN3, CKS1B, CKS2, HMMR, NUSAP1, PRC1, PTTG1, PTTG3P, TPX2, TYMS, UBE2C, UBE2T</w:t>
            </w:r>
          </w:p>
        </w:tc>
      </w:tr>
    </w:tbl>
    <w:p w:rsidR="00741F4B" w:rsidRDefault="00741F4B" w:rsidP="00741F4B">
      <w:pPr>
        <w:spacing w:line="360" w:lineRule="auto"/>
        <w:rPr>
          <w:rFonts w:ascii="Times New Roman" w:hAnsi="Times New Roman"/>
          <w:szCs w:val="21"/>
        </w:rPr>
      </w:pPr>
    </w:p>
    <w:p w:rsidR="00A462CB" w:rsidRPr="00B2513C" w:rsidRDefault="00A462CB" w:rsidP="00A462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03205848"/>
      <w:r w:rsidRPr="00B2513C">
        <w:rPr>
          <w:rFonts w:ascii="Times New Roman" w:hAnsi="Times New Roman" w:cs="Times New Roman"/>
          <w:sz w:val="28"/>
          <w:szCs w:val="28"/>
        </w:rPr>
        <w:t>Supplementary Figures</w:t>
      </w:r>
      <w:bookmarkEnd w:id="1"/>
    </w:p>
    <w:p w:rsidR="00A462CB" w:rsidRPr="00B2513C" w:rsidRDefault="00A462CB" w:rsidP="00A462CB">
      <w:pPr>
        <w:spacing w:line="360" w:lineRule="auto"/>
        <w:rPr>
          <w:rFonts w:ascii="Times New Roman" w:hAnsi="Times New Roman"/>
          <w:b/>
        </w:rPr>
      </w:pPr>
      <w:r w:rsidRPr="00B2513C">
        <w:rPr>
          <w:noProof/>
        </w:rPr>
        <w:drawing>
          <wp:inline distT="0" distB="0" distL="0" distR="0" wp14:anchorId="15617B4C" wp14:editId="57C3C316">
            <wp:extent cx="3059430" cy="4994275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  <w:b/>
        </w:rPr>
      </w:pPr>
      <w:r w:rsidRPr="00B2513C">
        <w:rPr>
          <w:rFonts w:ascii="Times New Roman" w:hAnsi="Times New Roman"/>
          <w:b/>
        </w:rPr>
        <w:t>Figure S1. Construction of weighted gene co-expression networks for sepsis/se-ARDS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  <w:bCs/>
          <w:szCs w:val="21"/>
        </w:rPr>
      </w:pPr>
      <w:r w:rsidRPr="00B2513C">
        <w:rPr>
          <w:rFonts w:ascii="Times New Roman" w:hAnsi="Times New Roman"/>
        </w:rPr>
        <w:lastRenderedPageBreak/>
        <w:t xml:space="preserve">(A) Cluster dendrogram of sepsis/se-ARDS samples with </w:t>
      </w:r>
      <w:r w:rsidRPr="00B2513C">
        <w:rPr>
          <w:rFonts w:ascii="Times New Roman" w:hAnsi="Times New Roman"/>
          <w:bCs/>
          <w:szCs w:val="21"/>
        </w:rPr>
        <w:t>outliers</w:t>
      </w:r>
      <w:r w:rsidRPr="00B2513C">
        <w:rPr>
          <w:rFonts w:ascii="Times New Roman" w:hAnsi="Times New Roman"/>
        </w:rPr>
        <w:t>. Scale-free topology model of the scale independence (B) and mean connectivity (C) under different soft-thresholding powers. (D)</w:t>
      </w:r>
      <w:r w:rsidRPr="00B2513C">
        <w:rPr>
          <w:rFonts w:ascii="Source Sans Pro" w:hAnsi="Source Sans Pro"/>
          <w:sz w:val="23"/>
          <w:szCs w:val="23"/>
          <w:shd w:val="clear" w:color="auto" w:fill="FFFFFF"/>
        </w:rPr>
        <w:t xml:space="preserve"> </w:t>
      </w:r>
      <w:r w:rsidRPr="00B2513C">
        <w:rPr>
          <w:rFonts w:ascii="Times New Roman" w:hAnsi="Times New Roman"/>
        </w:rPr>
        <w:t>Hierarchical clustering dendrogram and</w:t>
      </w:r>
      <w:r w:rsidRPr="00B2513C">
        <w:rPr>
          <w:rFonts w:ascii="Times New Roman" w:hAnsi="Times New Roman"/>
          <w:bCs/>
          <w:szCs w:val="21"/>
        </w:rPr>
        <w:t xml:space="preserve"> eigengene network heatmap</w:t>
      </w:r>
      <w:r w:rsidRPr="00B2513C">
        <w:rPr>
          <w:rFonts w:ascii="Times New Roman" w:hAnsi="Times New Roman"/>
        </w:rPr>
        <w:t xml:space="preserve"> of the corresponding</w:t>
      </w:r>
      <w:r w:rsidRPr="00B2513C">
        <w:rPr>
          <w:rFonts w:ascii="Times New Roman" w:hAnsi="Times New Roman"/>
          <w:bCs/>
          <w:szCs w:val="21"/>
        </w:rPr>
        <w:t xml:space="preserve"> modules.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  <w:bCs/>
          <w:szCs w:val="21"/>
        </w:rPr>
      </w:pPr>
    </w:p>
    <w:p w:rsidR="00A462CB" w:rsidRPr="00B2513C" w:rsidRDefault="00A462CB" w:rsidP="00A462CB">
      <w:pPr>
        <w:spacing w:line="360" w:lineRule="auto"/>
        <w:rPr>
          <w:rFonts w:ascii="Times New Roman" w:hAnsi="Times New Roman"/>
          <w:bCs/>
          <w:szCs w:val="21"/>
        </w:rPr>
      </w:pPr>
      <w:r w:rsidRPr="00B2513C">
        <w:rPr>
          <w:noProof/>
        </w:rPr>
        <w:lastRenderedPageBreak/>
        <w:drawing>
          <wp:inline distT="0" distB="0" distL="0" distR="0" wp14:anchorId="0C2010D7" wp14:editId="4532C685">
            <wp:extent cx="5274310" cy="762734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  <w:b/>
        </w:rPr>
      </w:pPr>
      <w:r w:rsidRPr="00B2513C">
        <w:rPr>
          <w:rFonts w:ascii="Times New Roman" w:hAnsi="Times New Roman"/>
          <w:b/>
        </w:rPr>
        <w:t xml:space="preserve">Figure S2. Analysis of </w:t>
      </w:r>
      <w:r w:rsidRPr="00B2513C">
        <w:rPr>
          <w:rFonts w:ascii="Times New Roman" w:hAnsi="Times New Roman"/>
          <w:b/>
          <w:bCs/>
          <w:szCs w:val="21"/>
        </w:rPr>
        <w:t>gene significance (GS) and intramodular connectivity</w:t>
      </w:r>
      <w:r w:rsidRPr="00B2513C">
        <w:rPr>
          <w:rFonts w:ascii="Times New Roman" w:hAnsi="Times New Roman"/>
          <w:b/>
        </w:rPr>
        <w:t xml:space="preserve"> of sepsis/se-ARDS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</w:rPr>
      </w:pPr>
      <w:r w:rsidRPr="00B2513C">
        <w:rPr>
          <w:rFonts w:ascii="Times New Roman" w:hAnsi="Times New Roman"/>
        </w:rPr>
        <w:t>R</w:t>
      </w:r>
      <w:r w:rsidRPr="00B2513C">
        <w:rPr>
          <w:rFonts w:ascii="Times New Roman" w:hAnsi="Times New Roman"/>
          <w:bCs/>
          <w:szCs w:val="21"/>
        </w:rPr>
        <w:t xml:space="preserve">elationship between GS and intramodular connectivity of </w:t>
      </w:r>
      <w:r w:rsidRPr="00B2513C">
        <w:rPr>
          <w:rFonts w:ascii="Times New Roman" w:hAnsi="Times New Roman" w:hint="eastAsia"/>
        </w:rPr>
        <w:t>(</w:t>
      </w:r>
      <w:r w:rsidRPr="00B2513C">
        <w:rPr>
          <w:rFonts w:ascii="Times New Roman" w:hAnsi="Times New Roman"/>
        </w:rPr>
        <w:t>A) control, (B) sepsis, and (C) se-ARDS groups.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</w:rPr>
      </w:pPr>
    </w:p>
    <w:p w:rsidR="00A462CB" w:rsidRPr="00B2513C" w:rsidRDefault="00A462CB" w:rsidP="00A462CB">
      <w:pPr>
        <w:spacing w:line="360" w:lineRule="auto"/>
        <w:rPr>
          <w:rFonts w:ascii="Times New Roman" w:hAnsi="Times New Roman"/>
        </w:rPr>
      </w:pPr>
      <w:r w:rsidRPr="00B2513C">
        <w:rPr>
          <w:noProof/>
        </w:rPr>
        <w:lastRenderedPageBreak/>
        <w:drawing>
          <wp:inline distT="0" distB="0" distL="0" distR="0" wp14:anchorId="47F6C1EB" wp14:editId="607A39E6">
            <wp:extent cx="5274310" cy="545712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  <w:b/>
          <w:bCs/>
          <w:szCs w:val="21"/>
        </w:rPr>
      </w:pPr>
      <w:r w:rsidRPr="00B2513C">
        <w:rPr>
          <w:rFonts w:ascii="Times New Roman" w:hAnsi="Times New Roman"/>
          <w:b/>
          <w:bCs/>
          <w:szCs w:val="21"/>
        </w:rPr>
        <w:t xml:space="preserve">Figure S3. Expressions of the modular genes </w:t>
      </w:r>
      <w:r w:rsidRPr="00B2513C">
        <w:rPr>
          <w:rFonts w:ascii="Times New Roman" w:hAnsi="Times New Roman"/>
          <w:b/>
        </w:rPr>
        <w:t>for sepsis/se-ARDS</w:t>
      </w:r>
      <w:r w:rsidRPr="00B2513C">
        <w:rPr>
          <w:rFonts w:ascii="Times New Roman" w:hAnsi="Times New Roman"/>
          <w:b/>
          <w:bCs/>
          <w:szCs w:val="21"/>
        </w:rPr>
        <w:t xml:space="preserve"> 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  <w:bCs/>
          <w:szCs w:val="21"/>
        </w:rPr>
      </w:pPr>
      <w:r w:rsidRPr="00B2513C">
        <w:rPr>
          <w:rFonts w:ascii="Times New Roman" w:hAnsi="Times New Roman"/>
          <w:bCs/>
          <w:szCs w:val="21"/>
        </w:rPr>
        <w:t>The heatmaps of the involved genes among all the samples in the identified magenta (A) and midnight blue (B) modules.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  <w:bCs/>
          <w:szCs w:val="21"/>
        </w:rPr>
      </w:pPr>
    </w:p>
    <w:p w:rsidR="00A462CB" w:rsidRPr="00B2513C" w:rsidRDefault="00A462CB" w:rsidP="00A462CB">
      <w:pPr>
        <w:spacing w:line="360" w:lineRule="auto"/>
        <w:rPr>
          <w:rFonts w:ascii="Times New Roman" w:hAnsi="Times New Roman"/>
          <w:bCs/>
          <w:szCs w:val="21"/>
        </w:rPr>
      </w:pPr>
      <w:r w:rsidRPr="00B2513C">
        <w:rPr>
          <w:noProof/>
        </w:rPr>
        <w:lastRenderedPageBreak/>
        <w:drawing>
          <wp:inline distT="0" distB="0" distL="0" distR="0" wp14:anchorId="4C0C0B1D" wp14:editId="05133A38">
            <wp:extent cx="5274310" cy="7120396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  <w:b/>
        </w:rPr>
      </w:pPr>
      <w:r w:rsidRPr="00B2513C">
        <w:rPr>
          <w:rFonts w:ascii="Times New Roman" w:hAnsi="Times New Roman"/>
          <w:b/>
        </w:rPr>
        <w:t>Figure S4. GO-based biological function and KEGG pathways enriched in sepsis/se-ARDS based on modular genes. 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</w:rPr>
      </w:pPr>
      <w:r w:rsidRPr="00B2513C">
        <w:rPr>
          <w:rFonts w:ascii="Times New Roman" w:hAnsi="Times New Roman"/>
          <w:bCs/>
          <w:szCs w:val="21"/>
        </w:rPr>
        <w:t>GSVA-based downregulation (left) and upregulation (right) of (A) GO and</w:t>
      </w:r>
      <w:r w:rsidRPr="00B2513C">
        <w:rPr>
          <w:rFonts w:ascii="Times New Roman" w:hAnsi="Times New Roman"/>
          <w:szCs w:val="21"/>
          <w:shd w:val="clear" w:color="auto" w:fill="FFFFFF"/>
        </w:rPr>
        <w:t xml:space="preserve"> (B)</w:t>
      </w:r>
      <w:r w:rsidRPr="00B2513C">
        <w:rPr>
          <w:rFonts w:ascii="Times New Roman" w:hAnsi="Times New Roman"/>
          <w:bCs/>
          <w:szCs w:val="21"/>
        </w:rPr>
        <w:t xml:space="preserve"> KEGG </w:t>
      </w:r>
      <w:r w:rsidRPr="00B2513C">
        <w:rPr>
          <w:rFonts w:ascii="Times New Roman" w:hAnsi="Times New Roman"/>
          <w:szCs w:val="21"/>
          <w:shd w:val="clear" w:color="auto" w:fill="FFFFFF"/>
        </w:rPr>
        <w:t xml:space="preserve">enrichment of the modular genes. (C) KEGG </w:t>
      </w:r>
      <w:r w:rsidRPr="00B2513C">
        <w:rPr>
          <w:rFonts w:ascii="Times New Roman" w:hAnsi="Times New Roman"/>
        </w:rPr>
        <w:t>pathway enrichment analysis of DAVID. (D) GSVA</w:t>
      </w:r>
      <w:r w:rsidRPr="00B2513C">
        <w:rPr>
          <w:rFonts w:ascii="Times New Roman" w:hAnsi="Times New Roman"/>
          <w:bCs/>
          <w:szCs w:val="21"/>
        </w:rPr>
        <w:t>-based</w:t>
      </w:r>
      <w:r w:rsidRPr="00B2513C">
        <w:rPr>
          <w:rFonts w:ascii="Times New Roman" w:hAnsi="Times New Roman"/>
        </w:rPr>
        <w:t xml:space="preserve"> analysis of biological function</w:t>
      </w:r>
      <w:r w:rsidRPr="00B2513C">
        <w:rPr>
          <w:rFonts w:ascii="Times New Roman" w:hAnsi="Times New Roman"/>
          <w:bCs/>
          <w:szCs w:val="21"/>
        </w:rPr>
        <w:t xml:space="preserve"> </w:t>
      </w:r>
      <w:r w:rsidRPr="00B2513C">
        <w:rPr>
          <w:rFonts w:ascii="Times New Roman" w:hAnsi="Times New Roman"/>
        </w:rPr>
        <w:t>enrichment by bar-plot.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</w:rPr>
      </w:pPr>
    </w:p>
    <w:p w:rsidR="00A462CB" w:rsidRPr="00B2513C" w:rsidRDefault="00A462CB" w:rsidP="00A462CB">
      <w:pPr>
        <w:spacing w:line="360" w:lineRule="auto"/>
        <w:rPr>
          <w:rFonts w:ascii="Times New Roman" w:hAnsi="Times New Roman"/>
        </w:rPr>
      </w:pPr>
      <w:r w:rsidRPr="00B2513C">
        <w:rPr>
          <w:noProof/>
        </w:rPr>
        <w:lastRenderedPageBreak/>
        <w:drawing>
          <wp:inline distT="0" distB="0" distL="0" distR="0" wp14:anchorId="4DAD3249" wp14:editId="086F005A">
            <wp:extent cx="5274310" cy="545732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  <w:b/>
        </w:rPr>
      </w:pPr>
      <w:r w:rsidRPr="00B2513C">
        <w:rPr>
          <w:rFonts w:ascii="Times New Roman" w:hAnsi="Times New Roman"/>
          <w:b/>
        </w:rPr>
        <w:t>Figure S5. Functional and pathway enrichment analyses of the hub genes of sepsis/se-ARDS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</w:rPr>
      </w:pPr>
      <w:r w:rsidRPr="00B2513C">
        <w:rPr>
          <w:rFonts w:ascii="Times New Roman" w:hAnsi="Times New Roman"/>
          <w:bCs/>
        </w:rPr>
        <w:t>(A)</w:t>
      </w:r>
      <w:r w:rsidRPr="00B2513C">
        <w:rPr>
          <w:rFonts w:ascii="Times New Roman" w:hAnsi="Times New Roman"/>
        </w:rPr>
        <w:t xml:space="preserve"> GSVA</w:t>
      </w:r>
      <w:r w:rsidRPr="00B2513C">
        <w:rPr>
          <w:rFonts w:ascii="Times New Roman" w:hAnsi="Times New Roman"/>
          <w:bCs/>
        </w:rPr>
        <w:t>-based</w:t>
      </w:r>
      <w:r w:rsidRPr="00B2513C">
        <w:rPr>
          <w:rFonts w:ascii="Times New Roman" w:hAnsi="Times New Roman"/>
        </w:rPr>
        <w:t xml:space="preserve"> analysis of biological function</w:t>
      </w:r>
      <w:r w:rsidRPr="00B2513C">
        <w:rPr>
          <w:rFonts w:ascii="Times New Roman" w:hAnsi="Times New Roman"/>
          <w:bCs/>
        </w:rPr>
        <w:t xml:space="preserve"> </w:t>
      </w:r>
      <w:r w:rsidRPr="00B2513C">
        <w:rPr>
          <w:rFonts w:ascii="Times New Roman" w:hAnsi="Times New Roman"/>
        </w:rPr>
        <w:t>enrichment</w:t>
      </w:r>
      <w:r w:rsidRPr="00B2513C">
        <w:rPr>
          <w:rFonts w:ascii="Times New Roman" w:hAnsi="Times New Roman"/>
          <w:bCs/>
        </w:rPr>
        <w:t xml:space="preserve"> by bubble plot. (B)</w:t>
      </w:r>
      <w:r w:rsidRPr="00B2513C">
        <w:rPr>
          <w:rFonts w:ascii="Times New Roman" w:hAnsi="Times New Roman"/>
        </w:rPr>
        <w:t xml:space="preserve"> GSVA</w:t>
      </w:r>
      <w:r w:rsidRPr="00B2513C">
        <w:rPr>
          <w:rFonts w:ascii="Times New Roman" w:hAnsi="Times New Roman"/>
          <w:bCs/>
        </w:rPr>
        <w:t>-based</w:t>
      </w:r>
      <w:r w:rsidRPr="00B2513C">
        <w:rPr>
          <w:rFonts w:ascii="Times New Roman" w:hAnsi="Times New Roman"/>
        </w:rPr>
        <w:t xml:space="preserve"> analysis of KEGG pathway enrichment by bar-plot.</w:t>
      </w:r>
    </w:p>
    <w:p w:rsidR="00A462CB" w:rsidRPr="00B2513C" w:rsidRDefault="00A462CB" w:rsidP="00A462CB">
      <w:pPr>
        <w:spacing w:line="360" w:lineRule="auto"/>
        <w:rPr>
          <w:rFonts w:ascii="Times New Roman" w:hAnsi="Times New Roman"/>
        </w:rPr>
      </w:pPr>
    </w:p>
    <w:p w:rsidR="00A462CB" w:rsidRPr="00B2513C" w:rsidRDefault="00A462CB" w:rsidP="00A462CB">
      <w:pPr>
        <w:spacing w:line="360" w:lineRule="auto"/>
        <w:rPr>
          <w:rFonts w:ascii="Times New Roman" w:hAnsi="Times New Roman"/>
        </w:rPr>
      </w:pPr>
      <w:r w:rsidRPr="00B2513C">
        <w:rPr>
          <w:noProof/>
        </w:rPr>
        <w:lastRenderedPageBreak/>
        <w:drawing>
          <wp:inline distT="0" distB="0" distL="0" distR="0" wp14:anchorId="256D2A67" wp14:editId="6800839D">
            <wp:extent cx="5274310" cy="3977399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B" w:rsidRPr="00B2513C" w:rsidRDefault="00A462CB" w:rsidP="00A462CB">
      <w:pPr>
        <w:spacing w:line="360" w:lineRule="auto"/>
        <w:rPr>
          <w:rFonts w:ascii="Times New Roman" w:eastAsia="等线" w:hAnsi="Times New Roman"/>
          <w:b/>
        </w:rPr>
      </w:pPr>
      <w:r w:rsidRPr="00B2513C">
        <w:rPr>
          <w:rFonts w:ascii="Times New Roman" w:eastAsia="等线" w:hAnsi="Times New Roman"/>
          <w:b/>
        </w:rPr>
        <w:t>Figure S6. Expressions of the four marker genes in external cohorts of GSE28750 and GSE57065</w:t>
      </w:r>
    </w:p>
    <w:p w:rsidR="00A462CB" w:rsidRPr="00B2513C" w:rsidRDefault="00A462CB" w:rsidP="00A462CB">
      <w:pPr>
        <w:spacing w:line="360" w:lineRule="auto"/>
        <w:rPr>
          <w:rFonts w:ascii="Times New Roman" w:eastAsia="等线" w:hAnsi="Times New Roman"/>
        </w:rPr>
      </w:pPr>
      <w:r w:rsidRPr="00B2513C">
        <w:rPr>
          <w:rFonts w:ascii="Times New Roman" w:eastAsia="等线" w:hAnsi="Times New Roman"/>
        </w:rPr>
        <w:t>The comparisons of gene expressions of</w:t>
      </w:r>
      <w:r w:rsidRPr="00B2513C">
        <w:rPr>
          <w:rFonts w:ascii="Times New Roman" w:hAnsi="Times New Roman"/>
          <w:i/>
          <w:iCs/>
          <w:szCs w:val="21"/>
        </w:rPr>
        <w:t xml:space="preserve"> SIGLEC9 </w:t>
      </w:r>
      <w:r w:rsidRPr="00B2513C">
        <w:rPr>
          <w:rFonts w:ascii="Times New Roman" w:hAnsi="Times New Roman"/>
          <w:iCs/>
          <w:szCs w:val="21"/>
        </w:rPr>
        <w:t>(A)</w:t>
      </w:r>
      <w:r w:rsidRPr="00B2513C">
        <w:rPr>
          <w:rFonts w:ascii="Times New Roman" w:hAnsi="Times New Roman"/>
          <w:szCs w:val="21"/>
        </w:rPr>
        <w:t xml:space="preserve">, </w:t>
      </w:r>
      <w:r w:rsidRPr="00B2513C">
        <w:rPr>
          <w:rFonts w:ascii="Times New Roman" w:hAnsi="Times New Roman"/>
          <w:i/>
          <w:iCs/>
          <w:szCs w:val="21"/>
        </w:rPr>
        <w:t xml:space="preserve">TSPO </w:t>
      </w:r>
      <w:r w:rsidRPr="00B2513C">
        <w:rPr>
          <w:rFonts w:ascii="Times New Roman" w:hAnsi="Times New Roman"/>
          <w:iCs/>
          <w:szCs w:val="21"/>
        </w:rPr>
        <w:t>(B)</w:t>
      </w:r>
      <w:r w:rsidRPr="00B2513C">
        <w:rPr>
          <w:rFonts w:ascii="Times New Roman" w:hAnsi="Times New Roman"/>
          <w:szCs w:val="21"/>
        </w:rPr>
        <w:t xml:space="preserve">, </w:t>
      </w:r>
      <w:r w:rsidRPr="00B2513C">
        <w:rPr>
          <w:rFonts w:ascii="Times New Roman" w:hAnsi="Times New Roman"/>
          <w:i/>
          <w:iCs/>
          <w:szCs w:val="21"/>
        </w:rPr>
        <w:t xml:space="preserve">CKS1B </w:t>
      </w:r>
      <w:r w:rsidRPr="00B2513C">
        <w:rPr>
          <w:rFonts w:ascii="Times New Roman" w:hAnsi="Times New Roman"/>
          <w:iCs/>
          <w:szCs w:val="21"/>
        </w:rPr>
        <w:t>(C)</w:t>
      </w:r>
      <w:r w:rsidRPr="00B2513C">
        <w:rPr>
          <w:rFonts w:ascii="Times New Roman" w:hAnsi="Times New Roman"/>
          <w:szCs w:val="21"/>
        </w:rPr>
        <w:t xml:space="preserve">, and </w:t>
      </w:r>
      <w:r w:rsidRPr="00B2513C">
        <w:rPr>
          <w:rFonts w:ascii="Times New Roman" w:hAnsi="Times New Roman"/>
          <w:i/>
          <w:iCs/>
          <w:szCs w:val="21"/>
        </w:rPr>
        <w:t xml:space="preserve">PTTG3P </w:t>
      </w:r>
      <w:r w:rsidRPr="00B2513C">
        <w:rPr>
          <w:rFonts w:ascii="Times New Roman" w:hAnsi="Times New Roman"/>
          <w:iCs/>
          <w:szCs w:val="21"/>
        </w:rPr>
        <w:t>(D)</w:t>
      </w:r>
      <w:r w:rsidRPr="00B2513C">
        <w:rPr>
          <w:rFonts w:ascii="Times New Roman" w:eastAsia="等线" w:hAnsi="Times New Roman"/>
        </w:rPr>
        <w:t xml:space="preserve"> between groups of control and sepsis patients</w:t>
      </w:r>
      <w:r w:rsidRPr="00B2513C">
        <w:rPr>
          <w:rFonts w:ascii="Times New Roman" w:eastAsia="等线" w:hAnsi="Times New Roman"/>
          <w:szCs w:val="21"/>
        </w:rPr>
        <w:t xml:space="preserve"> in GSE28750 and GSE57065</w:t>
      </w:r>
      <w:r w:rsidRPr="00B2513C">
        <w:rPr>
          <w:rFonts w:ascii="Times New Roman" w:eastAsia="等线" w:hAnsi="Times New Roman"/>
        </w:rPr>
        <w:t>.</w:t>
      </w:r>
    </w:p>
    <w:p w:rsidR="00A462CB" w:rsidRPr="00B2513C" w:rsidRDefault="00A462CB" w:rsidP="00A462CB">
      <w:pPr>
        <w:spacing w:line="360" w:lineRule="auto"/>
        <w:rPr>
          <w:rFonts w:ascii="Times New Roman" w:eastAsia="等线" w:hAnsi="Times New Roman"/>
        </w:rPr>
      </w:pPr>
    </w:p>
    <w:p w:rsidR="00A462CB" w:rsidRPr="00B2513C" w:rsidRDefault="00A462CB" w:rsidP="00A462CB">
      <w:pPr>
        <w:spacing w:line="360" w:lineRule="auto"/>
        <w:rPr>
          <w:rFonts w:ascii="Times New Roman" w:eastAsia="等线" w:hAnsi="Times New Roman"/>
        </w:rPr>
      </w:pPr>
      <w:r w:rsidRPr="00B2513C">
        <w:rPr>
          <w:noProof/>
        </w:rPr>
        <w:lastRenderedPageBreak/>
        <w:drawing>
          <wp:inline distT="0" distB="0" distL="0" distR="0" wp14:anchorId="76C601D6" wp14:editId="25416CD9">
            <wp:extent cx="5274310" cy="9346898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B" w:rsidRPr="00B2513C" w:rsidRDefault="00A462CB" w:rsidP="00A462CB">
      <w:pPr>
        <w:spacing w:line="360" w:lineRule="auto"/>
        <w:rPr>
          <w:rFonts w:ascii="Times New Roman" w:eastAsia="等线" w:hAnsi="Times New Roman"/>
          <w:b/>
        </w:rPr>
      </w:pPr>
      <w:r w:rsidRPr="00B2513C">
        <w:rPr>
          <w:rFonts w:ascii="Times New Roman" w:eastAsia="等线" w:hAnsi="Times New Roman"/>
          <w:b/>
        </w:rPr>
        <w:lastRenderedPageBreak/>
        <w:t>Figure S7. Profile of infiltrating immune cells</w:t>
      </w:r>
    </w:p>
    <w:p w:rsidR="00A462CB" w:rsidRPr="00B2513C" w:rsidRDefault="00A462CB" w:rsidP="00A462CB">
      <w:pPr>
        <w:spacing w:line="360" w:lineRule="auto"/>
        <w:rPr>
          <w:rFonts w:ascii="Times New Roman" w:eastAsia="等线" w:hAnsi="Times New Roman"/>
          <w:szCs w:val="21"/>
        </w:rPr>
      </w:pPr>
      <w:r w:rsidRPr="00B2513C">
        <w:rPr>
          <w:rFonts w:ascii="Times New Roman" w:eastAsia="等线" w:hAnsi="Times New Roman"/>
        </w:rPr>
        <w:t>(A) Relative</w:t>
      </w:r>
      <w:r w:rsidRPr="00B2513C">
        <w:rPr>
          <w:rFonts w:ascii="PalatinoLinotype" w:eastAsia="等线" w:hAnsi="PalatinoLinotype" w:cs="PalatinoLinotype"/>
          <w:sz w:val="18"/>
          <w:szCs w:val="18"/>
        </w:rPr>
        <w:t xml:space="preserve"> </w:t>
      </w:r>
      <w:r w:rsidRPr="00B2513C">
        <w:rPr>
          <w:rFonts w:ascii="Times New Roman" w:eastAsia="等线" w:hAnsi="Times New Roman"/>
        </w:rPr>
        <w:t>proportions of the 22</w:t>
      </w:r>
      <w:r w:rsidRPr="00B2513C">
        <w:rPr>
          <w:rFonts w:ascii="Times New Roman" w:eastAsia="等线" w:hAnsi="Times New Roman"/>
          <w:bCs/>
          <w:szCs w:val="21"/>
        </w:rPr>
        <w:t xml:space="preserve"> types of infiltrating immune cells among all the samples. (B) Violin plots of the remaining</w:t>
      </w:r>
      <w:r w:rsidRPr="00B2513C">
        <w:rPr>
          <w:rFonts w:ascii="Times New Roman" w:eastAsia="等线" w:hAnsi="Times New Roman"/>
        </w:rPr>
        <w:t xml:space="preserve"> </w:t>
      </w:r>
      <w:r w:rsidRPr="00B2513C">
        <w:rPr>
          <w:rFonts w:ascii="Times New Roman" w:eastAsia="等线" w:hAnsi="Times New Roman"/>
          <w:bCs/>
          <w:szCs w:val="21"/>
        </w:rPr>
        <w:t xml:space="preserve">infiltrating </w:t>
      </w:r>
      <w:r w:rsidRPr="00B2513C">
        <w:rPr>
          <w:rFonts w:ascii="Times New Roman" w:eastAsia="等线" w:hAnsi="Times New Roman"/>
        </w:rPr>
        <w:t>immune cells without significant difference between groups</w:t>
      </w:r>
      <w:r w:rsidRPr="00B2513C">
        <w:rPr>
          <w:rFonts w:ascii="Times New Roman" w:eastAsia="等线" w:hAnsi="Times New Roman"/>
          <w:szCs w:val="21"/>
        </w:rPr>
        <w:t xml:space="preserve"> in GSE32707</w:t>
      </w:r>
      <w:r w:rsidRPr="00B2513C">
        <w:rPr>
          <w:rFonts w:ascii="Times New Roman" w:eastAsia="等线" w:hAnsi="Times New Roman"/>
        </w:rPr>
        <w:t>.</w:t>
      </w:r>
      <w:r w:rsidRPr="00B2513C">
        <w:rPr>
          <w:rFonts w:ascii="Times New Roman" w:eastAsia="等线" w:hAnsi="Times New Roman"/>
          <w:b/>
          <w:bCs/>
          <w:szCs w:val="21"/>
        </w:rPr>
        <w:t xml:space="preserve"> </w:t>
      </w:r>
      <w:r w:rsidRPr="00B2513C">
        <w:rPr>
          <w:rFonts w:ascii="Times New Roman" w:eastAsia="等线" w:hAnsi="Times New Roman"/>
          <w:bCs/>
          <w:szCs w:val="21"/>
        </w:rPr>
        <w:t xml:space="preserve">Violin plots of the fractions of 22 types of infiltrating immune cells between control and </w:t>
      </w:r>
      <w:r w:rsidRPr="00B2513C">
        <w:rPr>
          <w:rFonts w:ascii="Times New Roman" w:eastAsia="等线" w:hAnsi="Times New Roman"/>
          <w:szCs w:val="21"/>
        </w:rPr>
        <w:t>sepsis groups in GSE28750 (C) and GSE57065 (D).</w:t>
      </w:r>
    </w:p>
    <w:p w:rsidR="00A462CB" w:rsidRPr="00B2513C" w:rsidRDefault="00A462CB" w:rsidP="00A462CB">
      <w:pPr>
        <w:spacing w:line="360" w:lineRule="auto"/>
        <w:rPr>
          <w:rFonts w:ascii="Times New Roman" w:eastAsia="等线" w:hAnsi="Times New Roman"/>
        </w:rPr>
      </w:pPr>
    </w:p>
    <w:p w:rsidR="00A462CB" w:rsidRPr="00B2513C" w:rsidRDefault="00A462CB" w:rsidP="00A462CB">
      <w:pPr>
        <w:spacing w:line="360" w:lineRule="auto"/>
        <w:rPr>
          <w:rFonts w:ascii="Times New Roman" w:eastAsia="等线" w:hAnsi="Times New Roman"/>
        </w:rPr>
      </w:pPr>
      <w:r w:rsidRPr="00B2513C">
        <w:rPr>
          <w:noProof/>
        </w:rPr>
        <w:lastRenderedPageBreak/>
        <w:drawing>
          <wp:inline distT="0" distB="0" distL="0" distR="0" wp14:anchorId="59F98F48" wp14:editId="55FA9DD0">
            <wp:extent cx="5274310" cy="813655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B" w:rsidRPr="00B2513C" w:rsidRDefault="00A462CB" w:rsidP="00A462CB">
      <w:pPr>
        <w:spacing w:line="360" w:lineRule="auto"/>
        <w:rPr>
          <w:rFonts w:ascii="Times New Roman" w:eastAsia="等线" w:hAnsi="Times New Roman"/>
          <w:b/>
        </w:rPr>
      </w:pPr>
      <w:r w:rsidRPr="00B2513C">
        <w:rPr>
          <w:rFonts w:ascii="Times New Roman" w:eastAsia="等线" w:hAnsi="Times New Roman"/>
          <w:b/>
        </w:rPr>
        <w:t>Figure S8. Correlation of</w:t>
      </w:r>
      <w:r w:rsidRPr="00B2513C">
        <w:rPr>
          <w:rFonts w:ascii="Times New Roman" w:eastAsia="等线" w:hAnsi="Times New Roman"/>
          <w:b/>
          <w:szCs w:val="21"/>
        </w:rPr>
        <w:t xml:space="preserve"> </w:t>
      </w:r>
      <w:r w:rsidRPr="00B2513C">
        <w:rPr>
          <w:rFonts w:ascii="Times New Roman" w:eastAsia="等线" w:hAnsi="Times New Roman"/>
          <w:b/>
        </w:rPr>
        <w:t>the four biomarkers with the infiltration of specific immune cells</w:t>
      </w:r>
    </w:p>
    <w:p w:rsidR="00A462CB" w:rsidRDefault="00A462CB" w:rsidP="00A462CB">
      <w:pPr>
        <w:spacing w:line="360" w:lineRule="auto"/>
        <w:rPr>
          <w:rFonts w:ascii="Times New Roman" w:eastAsia="等线" w:hAnsi="Times New Roman"/>
          <w:bCs/>
          <w:szCs w:val="21"/>
        </w:rPr>
      </w:pPr>
      <w:r w:rsidRPr="00B2513C">
        <w:rPr>
          <w:rFonts w:ascii="Times New Roman" w:eastAsia="等线" w:hAnsi="Times New Roman"/>
        </w:rPr>
        <w:lastRenderedPageBreak/>
        <w:t xml:space="preserve">Correlation analysis of </w:t>
      </w:r>
      <w:r w:rsidRPr="00B2513C">
        <w:rPr>
          <w:rFonts w:ascii="Times New Roman" w:eastAsia="等线" w:hAnsi="Times New Roman"/>
          <w:i/>
          <w:szCs w:val="21"/>
        </w:rPr>
        <w:t>SIGLEC9</w:t>
      </w:r>
      <w:r w:rsidRPr="00B2513C">
        <w:rPr>
          <w:rFonts w:ascii="Times New Roman" w:eastAsia="等线" w:hAnsi="Times New Roman"/>
          <w:szCs w:val="21"/>
        </w:rPr>
        <w:t xml:space="preserve"> with</w:t>
      </w:r>
      <w:r w:rsidRPr="00B2513C">
        <w:rPr>
          <w:rFonts w:ascii="Times New Roman" w:eastAsia="等线" w:hAnsi="Times New Roman"/>
          <w:bCs/>
          <w:szCs w:val="21"/>
        </w:rPr>
        <w:t xml:space="preserve"> (A) neutrophil</w:t>
      </w:r>
      <w:r w:rsidRPr="00B2513C">
        <w:rPr>
          <w:rFonts w:ascii="Times New Roman" w:eastAsia="等线" w:hAnsi="Times New Roman"/>
          <w:szCs w:val="21"/>
        </w:rPr>
        <w:t xml:space="preserve"> </w:t>
      </w:r>
      <w:r w:rsidRPr="00B2513C">
        <w:rPr>
          <w:rFonts w:ascii="Times New Roman" w:eastAsia="等线" w:hAnsi="Times New Roman"/>
          <w:bCs/>
          <w:szCs w:val="21"/>
        </w:rPr>
        <w:t>and (B) monocyte infiltration.</w:t>
      </w:r>
      <w:r w:rsidRPr="00B2513C">
        <w:rPr>
          <w:rFonts w:ascii="Times New Roman" w:eastAsia="等线" w:hAnsi="Times New Roman"/>
        </w:rPr>
        <w:t xml:space="preserve"> Correlation analysis of</w:t>
      </w:r>
      <w:r w:rsidRPr="00B2513C">
        <w:rPr>
          <w:rFonts w:ascii="Times New Roman" w:eastAsia="等线" w:hAnsi="Times New Roman"/>
          <w:i/>
        </w:rPr>
        <w:t xml:space="preserve"> </w:t>
      </w:r>
      <w:r w:rsidRPr="00B2513C">
        <w:rPr>
          <w:rFonts w:ascii="Times New Roman" w:eastAsia="等线" w:hAnsi="Times New Roman"/>
          <w:i/>
          <w:szCs w:val="21"/>
        </w:rPr>
        <w:t>TSPO</w:t>
      </w:r>
      <w:r w:rsidRPr="00B2513C">
        <w:rPr>
          <w:rFonts w:ascii="Times New Roman" w:eastAsia="等线" w:hAnsi="Times New Roman"/>
          <w:szCs w:val="21"/>
        </w:rPr>
        <w:t xml:space="preserve"> with</w:t>
      </w:r>
      <w:r w:rsidRPr="00B2513C">
        <w:rPr>
          <w:rFonts w:ascii="Times New Roman" w:eastAsia="等线" w:hAnsi="Times New Roman"/>
          <w:bCs/>
          <w:szCs w:val="21"/>
        </w:rPr>
        <w:t xml:space="preserve"> (C)</w:t>
      </w:r>
      <w:r w:rsidRPr="00B2513C">
        <w:rPr>
          <w:rFonts w:ascii="Times New Roman" w:eastAsia="等线" w:hAnsi="Times New Roman"/>
          <w:szCs w:val="21"/>
        </w:rPr>
        <w:t xml:space="preserve"> </w:t>
      </w:r>
      <w:r w:rsidRPr="00B2513C">
        <w:rPr>
          <w:rFonts w:ascii="Times New Roman" w:eastAsia="等线" w:hAnsi="Times New Roman"/>
          <w:bCs/>
          <w:szCs w:val="21"/>
        </w:rPr>
        <w:t>neutrophil and (D) monocyte infiltration.</w:t>
      </w:r>
      <w:r w:rsidRPr="00B2513C">
        <w:rPr>
          <w:rFonts w:ascii="Times New Roman" w:eastAsia="等线" w:hAnsi="Times New Roman"/>
        </w:rPr>
        <w:t xml:space="preserve"> Correlation analysis of</w:t>
      </w:r>
      <w:r w:rsidRPr="00B2513C">
        <w:rPr>
          <w:rFonts w:ascii="Times New Roman" w:eastAsia="等线" w:hAnsi="Times New Roman"/>
          <w:i/>
        </w:rPr>
        <w:t xml:space="preserve"> </w:t>
      </w:r>
      <w:r w:rsidRPr="00B2513C">
        <w:rPr>
          <w:rFonts w:ascii="Times New Roman" w:eastAsia="等线" w:hAnsi="Times New Roman"/>
          <w:i/>
          <w:szCs w:val="21"/>
        </w:rPr>
        <w:t>CKS1B</w:t>
      </w:r>
      <w:r w:rsidRPr="00B2513C">
        <w:rPr>
          <w:rFonts w:ascii="Times New Roman" w:eastAsia="等线" w:hAnsi="Times New Roman"/>
          <w:szCs w:val="21"/>
        </w:rPr>
        <w:t xml:space="preserve"> with</w:t>
      </w:r>
      <w:r w:rsidRPr="00B2513C">
        <w:rPr>
          <w:rFonts w:ascii="Times New Roman" w:eastAsia="等线" w:hAnsi="Times New Roman"/>
          <w:bCs/>
          <w:szCs w:val="21"/>
        </w:rPr>
        <w:t xml:space="preserve"> (E)</w:t>
      </w:r>
      <w:r w:rsidRPr="00B2513C">
        <w:rPr>
          <w:rFonts w:ascii="Times New Roman" w:eastAsia="等线" w:hAnsi="Times New Roman"/>
          <w:szCs w:val="21"/>
        </w:rPr>
        <w:t xml:space="preserve"> </w:t>
      </w:r>
      <w:r w:rsidRPr="00B2513C">
        <w:rPr>
          <w:rFonts w:ascii="Times New Roman" w:eastAsia="等线" w:hAnsi="Times New Roman"/>
          <w:bCs/>
          <w:szCs w:val="21"/>
        </w:rPr>
        <w:t>neutrophil and (F) monocyte infiltration.</w:t>
      </w:r>
      <w:r w:rsidRPr="00B2513C">
        <w:rPr>
          <w:rFonts w:ascii="Times New Roman" w:eastAsia="等线" w:hAnsi="Times New Roman"/>
        </w:rPr>
        <w:t xml:space="preserve"> Correlation analysis of</w:t>
      </w:r>
      <w:r w:rsidRPr="00B2513C">
        <w:rPr>
          <w:rFonts w:ascii="Times New Roman" w:eastAsia="等线" w:hAnsi="Times New Roman"/>
          <w:i/>
        </w:rPr>
        <w:t xml:space="preserve"> </w:t>
      </w:r>
      <w:r w:rsidRPr="00B2513C">
        <w:rPr>
          <w:rFonts w:ascii="Times New Roman" w:eastAsia="等线" w:hAnsi="Times New Roman"/>
          <w:i/>
          <w:szCs w:val="21"/>
        </w:rPr>
        <w:t>PTTG3P</w:t>
      </w:r>
      <w:r w:rsidRPr="00B2513C">
        <w:rPr>
          <w:rFonts w:ascii="Times New Roman" w:eastAsia="等线" w:hAnsi="Times New Roman"/>
          <w:szCs w:val="21"/>
        </w:rPr>
        <w:t xml:space="preserve"> with</w:t>
      </w:r>
      <w:r w:rsidRPr="00B2513C">
        <w:rPr>
          <w:rFonts w:ascii="Times New Roman" w:eastAsia="等线" w:hAnsi="Times New Roman"/>
          <w:bCs/>
          <w:szCs w:val="21"/>
        </w:rPr>
        <w:t xml:space="preserve"> (G)</w:t>
      </w:r>
      <w:r w:rsidRPr="00B2513C">
        <w:rPr>
          <w:rFonts w:ascii="Times New Roman" w:eastAsia="等线" w:hAnsi="Times New Roman"/>
          <w:szCs w:val="21"/>
        </w:rPr>
        <w:t xml:space="preserve"> </w:t>
      </w:r>
      <w:r w:rsidRPr="00B2513C">
        <w:rPr>
          <w:rFonts w:ascii="Times New Roman" w:eastAsia="等线" w:hAnsi="Times New Roman"/>
          <w:bCs/>
          <w:szCs w:val="21"/>
        </w:rPr>
        <w:t>neutrophil and (H) monocyte infiltration.</w:t>
      </w:r>
    </w:p>
    <w:p w:rsidR="00A462CB" w:rsidRDefault="00A462CB" w:rsidP="00A462CB">
      <w:pPr>
        <w:spacing w:line="360" w:lineRule="auto"/>
        <w:rPr>
          <w:rFonts w:ascii="Times New Roman" w:eastAsia="等线" w:hAnsi="Times New Roman" w:hint="eastAsia"/>
          <w:bCs/>
          <w:szCs w:val="21"/>
        </w:rPr>
      </w:pPr>
    </w:p>
    <w:p w:rsidR="00A462CB" w:rsidRDefault="00A462CB" w:rsidP="00A462CB">
      <w:pPr>
        <w:spacing w:line="360" w:lineRule="auto"/>
        <w:rPr>
          <w:rFonts w:ascii="Times New Roman" w:eastAsia="等线" w:hAnsi="Times New Roman" w:hint="eastAsia"/>
          <w:bCs/>
          <w:szCs w:val="21"/>
        </w:rPr>
        <w:sectPr w:rsidR="00A462CB" w:rsidSect="00826AD9">
          <w:headerReference w:type="even" r:id="rId14"/>
          <w:headerReference w:type="defaul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05495" w:rsidRPr="008F1862" w:rsidRDefault="00105495" w:rsidP="008F1862">
      <w:pPr>
        <w:jc w:val="both"/>
        <w:rPr>
          <w:rFonts w:ascii="Times New Roman" w:hAnsi="Times New Roman"/>
          <w:sz w:val="21"/>
          <w:szCs w:val="21"/>
        </w:rPr>
      </w:pPr>
    </w:p>
    <w:sectPr w:rsidR="00105495" w:rsidRPr="008F18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22F" w:rsidRDefault="00A1722F" w:rsidP="003B4D7C">
      <w:pPr>
        <w:spacing w:line="240" w:lineRule="auto"/>
      </w:pPr>
      <w:r>
        <w:separator/>
      </w:r>
    </w:p>
  </w:endnote>
  <w:endnote w:type="continuationSeparator" w:id="0">
    <w:p w:rsidR="00A1722F" w:rsidRDefault="00A1722F" w:rsidP="003B4D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PalatinoLinotype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22F" w:rsidRDefault="00A1722F" w:rsidP="003B4D7C">
      <w:pPr>
        <w:spacing w:line="240" w:lineRule="auto"/>
      </w:pPr>
      <w:r>
        <w:separator/>
      </w:r>
    </w:p>
  </w:footnote>
  <w:footnote w:type="continuationSeparator" w:id="0">
    <w:p w:rsidR="00A1722F" w:rsidRDefault="00A1722F" w:rsidP="003B4D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2CB" w:rsidRDefault="00A462CB" w:rsidP="001D2408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2CB" w:rsidRDefault="00A462CB" w:rsidP="001D2408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62"/>
    <w:rsid w:val="000723D3"/>
    <w:rsid w:val="000849D0"/>
    <w:rsid w:val="000F0978"/>
    <w:rsid w:val="001002A1"/>
    <w:rsid w:val="00105495"/>
    <w:rsid w:val="0024340C"/>
    <w:rsid w:val="003B4D7C"/>
    <w:rsid w:val="00440DED"/>
    <w:rsid w:val="004A2679"/>
    <w:rsid w:val="00560BBD"/>
    <w:rsid w:val="005E4F4A"/>
    <w:rsid w:val="00633B72"/>
    <w:rsid w:val="007226E1"/>
    <w:rsid w:val="00741F4B"/>
    <w:rsid w:val="00797BA1"/>
    <w:rsid w:val="008F1862"/>
    <w:rsid w:val="0092296E"/>
    <w:rsid w:val="00A1722F"/>
    <w:rsid w:val="00A462CB"/>
    <w:rsid w:val="00B30490"/>
    <w:rsid w:val="00B51869"/>
    <w:rsid w:val="00B747AB"/>
    <w:rsid w:val="00DD5946"/>
    <w:rsid w:val="00ED7A48"/>
    <w:rsid w:val="00F4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25E4A"/>
  <w15:chartTrackingRefBased/>
  <w15:docId w15:val="{F586194B-D32B-439F-9010-8A61F6CA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1862"/>
    <w:pPr>
      <w:spacing w:line="480" w:lineRule="auto"/>
    </w:pPr>
    <w:rPr>
      <w:rFonts w:ascii="Arial" w:hAnsi="Arial" w:cs="Times New Roman"/>
      <w:kern w:val="0"/>
      <w:sz w:val="2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4D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B4D7C"/>
    <w:rPr>
      <w:rFonts w:ascii="Arial" w:hAnsi="Arial" w:cs="Times New Roman"/>
      <w:kern w:val="0"/>
      <w:sz w:val="18"/>
      <w:szCs w:val="18"/>
      <w:lang w:eastAsia="en-US"/>
    </w:rPr>
  </w:style>
  <w:style w:type="paragraph" w:styleId="a5">
    <w:name w:val="footer"/>
    <w:basedOn w:val="a"/>
    <w:link w:val="a6"/>
    <w:uiPriority w:val="99"/>
    <w:unhideWhenUsed/>
    <w:rsid w:val="003B4D7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B4D7C"/>
    <w:rPr>
      <w:rFonts w:ascii="Arial" w:hAnsi="Arial" w:cs="Times New Roman"/>
      <w:kern w:val="0"/>
      <w:sz w:val="18"/>
      <w:szCs w:val="18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741F4B"/>
    <w:pPr>
      <w:widowControl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customStyle="1" w:styleId="a8">
    <w:name w:val="标题 字符"/>
    <w:basedOn w:val="a0"/>
    <w:link w:val="a7"/>
    <w:uiPriority w:val="10"/>
    <w:rsid w:val="00741F4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882</Words>
  <Characters>5032</Characters>
  <Application>Microsoft Office Word</Application>
  <DocSecurity>0</DocSecurity>
  <Lines>41</Lines>
  <Paragraphs>11</Paragraphs>
  <ScaleCrop>false</ScaleCrop>
  <Company/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86159</dc:creator>
  <cp:keywords/>
  <dc:description/>
  <cp:lastModifiedBy>86159</cp:lastModifiedBy>
  <cp:revision>2</cp:revision>
  <dcterms:created xsi:type="dcterms:W3CDTF">2022-05-11T16:03:00Z</dcterms:created>
  <dcterms:modified xsi:type="dcterms:W3CDTF">2022-05-11T16:03:00Z</dcterms:modified>
</cp:coreProperties>
</file>