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C1078A" w:rsidRDefault="00654E8F" w:rsidP="00C1078A">
      <w:pPr>
        <w:pStyle w:val="SupplementaryMaterial"/>
      </w:pPr>
      <w:r w:rsidRPr="00C1078A">
        <w:t>Supplementary Material</w:t>
      </w:r>
    </w:p>
    <w:p w14:paraId="1C12E6C5" w14:textId="5BA35CEC" w:rsidR="000A19BC" w:rsidRPr="00FB01B2" w:rsidRDefault="00654E8F" w:rsidP="00FB01B2">
      <w:pPr>
        <w:pStyle w:val="berschrift1"/>
        <w:spacing w:before="120"/>
        <w:jc w:val="both"/>
      </w:pPr>
      <w:r w:rsidRPr="00FB01B2">
        <w:t xml:space="preserve">Supplementary </w:t>
      </w:r>
      <w:r w:rsidR="000A19BC" w:rsidRPr="00FB01B2">
        <w:t>Figures</w:t>
      </w:r>
    </w:p>
    <w:p w14:paraId="1C2BE158" w14:textId="77777777" w:rsidR="000A19BC" w:rsidRPr="00FB01B2" w:rsidRDefault="000A19BC" w:rsidP="00FB01B2">
      <w:pPr>
        <w:jc w:val="both"/>
        <w:rPr>
          <w:rFonts w:cs="Times New Roman"/>
          <w:szCs w:val="24"/>
        </w:rPr>
      </w:pPr>
    </w:p>
    <w:p w14:paraId="5A70B546" w14:textId="0826D849" w:rsidR="000A19BC" w:rsidRPr="00FB01B2" w:rsidRDefault="000A19BC" w:rsidP="00FB01B2">
      <w:pPr>
        <w:jc w:val="both"/>
        <w:rPr>
          <w:rFonts w:cs="Times New Roman"/>
          <w:b/>
          <w:bCs/>
          <w:szCs w:val="24"/>
        </w:rPr>
      </w:pPr>
      <w:r w:rsidRPr="00FB01B2">
        <w:rPr>
          <w:rFonts w:cs="Times New Roman"/>
          <w:noProof/>
          <w:szCs w:val="24"/>
        </w:rPr>
        <w:drawing>
          <wp:inline distT="0" distB="0" distL="0" distR="0" wp14:anchorId="6EE56B64" wp14:editId="2A0E7838">
            <wp:extent cx="5758180" cy="414655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8180" cy="4146550"/>
                    </a:xfrm>
                    <a:prstGeom prst="rect">
                      <a:avLst/>
                    </a:prstGeom>
                    <a:noFill/>
                    <a:ln>
                      <a:noFill/>
                    </a:ln>
                  </pic:spPr>
                </pic:pic>
              </a:graphicData>
            </a:graphic>
          </wp:inline>
        </w:drawing>
      </w:r>
    </w:p>
    <w:p w14:paraId="30E72322" w14:textId="77777777" w:rsidR="000A19BC" w:rsidRPr="00FB01B2" w:rsidRDefault="000A19BC" w:rsidP="00FB01B2">
      <w:pPr>
        <w:jc w:val="both"/>
        <w:rPr>
          <w:rFonts w:cs="Times New Roman"/>
          <w:b/>
          <w:bCs/>
          <w:szCs w:val="24"/>
        </w:rPr>
      </w:pPr>
    </w:p>
    <w:p w14:paraId="2E3BADFD" w14:textId="77777777" w:rsidR="000A19BC" w:rsidRPr="00FB01B2" w:rsidRDefault="000A19BC" w:rsidP="00FB01B2">
      <w:pPr>
        <w:jc w:val="both"/>
        <w:rPr>
          <w:rFonts w:cs="Times New Roman"/>
          <w:szCs w:val="24"/>
        </w:rPr>
      </w:pPr>
      <w:r w:rsidRPr="00FB01B2">
        <w:rPr>
          <w:rFonts w:cs="Times New Roman"/>
          <w:b/>
          <w:bCs/>
          <w:szCs w:val="24"/>
        </w:rPr>
        <w:t xml:space="preserve">Figure S1: </w:t>
      </w:r>
      <w:r w:rsidRPr="00FB01B2">
        <w:rPr>
          <w:rFonts w:cs="Times New Roman"/>
          <w:szCs w:val="24"/>
        </w:rPr>
        <w:t xml:space="preserve">Venn diagrams showing overlaps between treatments of induced (A,B) or repressed (C,D) genes of two </w:t>
      </w:r>
      <w:r w:rsidRPr="00FB01B2">
        <w:rPr>
          <w:rFonts w:cs="Times New Roman"/>
          <w:i/>
          <w:iCs/>
          <w:szCs w:val="24"/>
        </w:rPr>
        <w:t>Brassica napus</w:t>
      </w:r>
      <w:r w:rsidRPr="00FB01B2">
        <w:rPr>
          <w:rFonts w:cs="Times New Roman"/>
          <w:szCs w:val="24"/>
        </w:rPr>
        <w:t xml:space="preserve"> cultivars (Avatar, Zhongshuang 9) in hydroponics after 4 and 24 h of root hypoxia, compared with aerated controls. </w:t>
      </w:r>
      <w:r w:rsidRPr="00FB01B2">
        <w:rPr>
          <w:rFonts w:cs="Times New Roman"/>
          <w:b/>
          <w:bCs/>
          <w:szCs w:val="24"/>
        </w:rPr>
        <w:t>(A,C)</w:t>
      </w:r>
      <w:r w:rsidRPr="00FB01B2">
        <w:rPr>
          <w:rFonts w:cs="Times New Roman"/>
          <w:szCs w:val="24"/>
        </w:rPr>
        <w:t xml:space="preserve"> Common response in Avatar; </w:t>
      </w:r>
      <w:r w:rsidRPr="00FB01B2">
        <w:rPr>
          <w:rFonts w:cs="Times New Roman"/>
          <w:b/>
          <w:bCs/>
          <w:szCs w:val="24"/>
        </w:rPr>
        <w:t>(B,D)</w:t>
      </w:r>
      <w:r w:rsidRPr="00FB01B2">
        <w:rPr>
          <w:rFonts w:cs="Times New Roman"/>
          <w:szCs w:val="24"/>
        </w:rPr>
        <w:t xml:space="preserve"> Common response in Zhongshuang 9. R, root; L, leaf.</w:t>
      </w:r>
    </w:p>
    <w:p w14:paraId="428E8632" w14:textId="77777777" w:rsidR="000A19BC" w:rsidRPr="00FB01B2" w:rsidRDefault="000A19BC" w:rsidP="00FB01B2">
      <w:pPr>
        <w:jc w:val="both"/>
        <w:rPr>
          <w:rFonts w:cs="Times New Roman"/>
          <w:szCs w:val="24"/>
        </w:rPr>
      </w:pPr>
    </w:p>
    <w:p w14:paraId="70BF0A59" w14:textId="77777777" w:rsidR="000A19BC" w:rsidRPr="00FB01B2" w:rsidRDefault="000A19BC" w:rsidP="00FB01B2">
      <w:pPr>
        <w:rPr>
          <w:rFonts w:cs="Times New Roman"/>
          <w:b/>
          <w:szCs w:val="24"/>
        </w:rPr>
      </w:pPr>
    </w:p>
    <w:p w14:paraId="6BFCDE88" w14:textId="4558FC2C" w:rsidR="000A19BC" w:rsidRPr="00FB01B2" w:rsidRDefault="000A19BC" w:rsidP="00FB01B2">
      <w:pPr>
        <w:jc w:val="both"/>
        <w:rPr>
          <w:rFonts w:cs="Times New Roman"/>
          <w:bCs/>
          <w:szCs w:val="24"/>
        </w:rPr>
      </w:pPr>
      <w:r w:rsidRPr="00FB01B2">
        <w:rPr>
          <w:rFonts w:cs="Times New Roman"/>
          <w:noProof/>
          <w:szCs w:val="24"/>
        </w:rPr>
        <w:lastRenderedPageBreak/>
        <w:drawing>
          <wp:anchor distT="0" distB="0" distL="114300" distR="114300" simplePos="0" relativeHeight="251659264" behindDoc="0" locked="0" layoutInCell="1" allowOverlap="1" wp14:anchorId="58CBAA16" wp14:editId="0B574618">
            <wp:simplePos x="0" y="0"/>
            <wp:positionH relativeFrom="margin">
              <wp:align>left</wp:align>
            </wp:positionH>
            <wp:positionV relativeFrom="paragraph">
              <wp:posOffset>70</wp:posOffset>
            </wp:positionV>
            <wp:extent cx="3326400" cy="8132400"/>
            <wp:effectExtent l="0" t="0" r="7620" b="254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6400" cy="813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01B2">
        <w:rPr>
          <w:rFonts w:cs="Times New Roman"/>
          <w:b/>
          <w:szCs w:val="24"/>
        </w:rPr>
        <w:t xml:space="preserve">Figure S2: </w:t>
      </w:r>
      <w:r w:rsidRPr="00FB01B2">
        <w:rPr>
          <w:rFonts w:cs="Times New Roman"/>
          <w:bCs/>
          <w:szCs w:val="24"/>
        </w:rPr>
        <w:t xml:space="preserve">Heatmap of hypoxia core-response genes (Mustroph et al. 2009) from the </w:t>
      </w:r>
      <w:r w:rsidRPr="00FB01B2">
        <w:rPr>
          <w:rFonts w:cs="Times New Roman"/>
          <w:bCs/>
          <w:i/>
          <w:iCs/>
          <w:szCs w:val="24"/>
        </w:rPr>
        <w:t>Brassica napus</w:t>
      </w:r>
      <w:r w:rsidRPr="00FB01B2">
        <w:rPr>
          <w:rFonts w:cs="Times New Roman"/>
          <w:bCs/>
          <w:szCs w:val="24"/>
        </w:rPr>
        <w:t xml:space="preserve"> expression data. Values are signal-log ratios (SLR) of  root-zone hypoxia vs. aerated control. AV, Avatar; ZS, Zhongshuang 9. The color intensity reflects the SLR values (blue, -3; yellow, +3). Crossed cells represent values that are not significant (FDR &gt; 0.01). All expressed </w:t>
      </w:r>
      <w:r w:rsidRPr="00FB01B2">
        <w:rPr>
          <w:rFonts w:cs="Times New Roman"/>
          <w:bCs/>
          <w:i/>
          <w:iCs/>
          <w:szCs w:val="24"/>
        </w:rPr>
        <w:t>B. napus</w:t>
      </w:r>
      <w:r w:rsidRPr="00FB01B2">
        <w:rPr>
          <w:rFonts w:cs="Times New Roman"/>
          <w:bCs/>
          <w:szCs w:val="24"/>
        </w:rPr>
        <w:t xml:space="preserve"> transcripts for each Arabidopsis gene are shown.</w:t>
      </w:r>
    </w:p>
    <w:p w14:paraId="5EF1FE51" w14:textId="77777777" w:rsidR="000A19BC" w:rsidRPr="00FB01B2" w:rsidRDefault="000A19BC" w:rsidP="00FB01B2">
      <w:pPr>
        <w:jc w:val="both"/>
        <w:rPr>
          <w:rFonts w:cs="Times New Roman"/>
          <w:b/>
          <w:szCs w:val="24"/>
        </w:rPr>
      </w:pPr>
    </w:p>
    <w:p w14:paraId="04B64D76" w14:textId="77777777" w:rsidR="000A19BC" w:rsidRPr="00FB01B2" w:rsidRDefault="000A19BC" w:rsidP="00FB01B2">
      <w:pPr>
        <w:jc w:val="both"/>
        <w:rPr>
          <w:rFonts w:cs="Times New Roman"/>
          <w:b/>
          <w:szCs w:val="24"/>
        </w:rPr>
      </w:pPr>
      <w:r w:rsidRPr="00FB01B2">
        <w:rPr>
          <w:rFonts w:cs="Times New Roman"/>
          <w:b/>
          <w:szCs w:val="24"/>
        </w:rPr>
        <w:br w:type="page"/>
      </w:r>
    </w:p>
    <w:p w14:paraId="60C647C9" w14:textId="68CBC031" w:rsidR="000A19BC" w:rsidRPr="00FB01B2" w:rsidRDefault="000A19BC" w:rsidP="00FB01B2">
      <w:pPr>
        <w:rPr>
          <w:rFonts w:cs="Times New Roman"/>
          <w:b/>
          <w:szCs w:val="24"/>
        </w:rPr>
      </w:pPr>
      <w:r w:rsidRPr="00FB01B2">
        <w:rPr>
          <w:rFonts w:cs="Times New Roman"/>
          <w:noProof/>
          <w:szCs w:val="24"/>
        </w:rPr>
        <w:lastRenderedPageBreak/>
        <w:drawing>
          <wp:anchor distT="0" distB="0" distL="114300" distR="114300" simplePos="0" relativeHeight="251660288" behindDoc="0" locked="0" layoutInCell="1" allowOverlap="1" wp14:anchorId="1848E596" wp14:editId="5D7BF905">
            <wp:simplePos x="0" y="0"/>
            <wp:positionH relativeFrom="margin">
              <wp:align>left</wp:align>
            </wp:positionH>
            <wp:positionV relativeFrom="paragraph">
              <wp:posOffset>0</wp:posOffset>
            </wp:positionV>
            <wp:extent cx="3326400" cy="8496000"/>
            <wp:effectExtent l="0" t="0" r="7620" b="635"/>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6400" cy="84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01B2">
        <w:rPr>
          <w:rFonts w:cs="Times New Roman"/>
          <w:b/>
          <w:szCs w:val="24"/>
        </w:rPr>
        <w:tab/>
        <w:t xml:space="preserve">Figure S2, </w:t>
      </w:r>
      <w:r w:rsidRPr="00FB01B2">
        <w:rPr>
          <w:rFonts w:cs="Times New Roman"/>
          <w:bCs/>
          <w:szCs w:val="24"/>
        </w:rPr>
        <w:t>continued</w:t>
      </w:r>
    </w:p>
    <w:p w14:paraId="31BCD265" w14:textId="77777777" w:rsidR="000A19BC" w:rsidRPr="00FB01B2" w:rsidRDefault="000A19BC" w:rsidP="00FB01B2">
      <w:pPr>
        <w:jc w:val="both"/>
        <w:rPr>
          <w:rFonts w:cs="Times New Roman"/>
          <w:szCs w:val="24"/>
        </w:rPr>
      </w:pPr>
    </w:p>
    <w:p w14:paraId="33E04781" w14:textId="77777777" w:rsidR="000A19BC" w:rsidRPr="00FB01B2" w:rsidRDefault="000A19BC" w:rsidP="00FB01B2">
      <w:pPr>
        <w:jc w:val="both"/>
        <w:rPr>
          <w:rFonts w:cs="Times New Roman"/>
          <w:szCs w:val="24"/>
        </w:rPr>
      </w:pPr>
    </w:p>
    <w:p w14:paraId="3E23FF66" w14:textId="77B16704" w:rsidR="000A19BC" w:rsidRPr="00FB01B2" w:rsidRDefault="000A19BC" w:rsidP="00FB01B2">
      <w:pPr>
        <w:jc w:val="both"/>
        <w:rPr>
          <w:rFonts w:cs="Times New Roman"/>
          <w:b/>
          <w:bCs/>
          <w:szCs w:val="24"/>
        </w:rPr>
      </w:pPr>
      <w:r w:rsidRPr="00FB01B2">
        <w:rPr>
          <w:rFonts w:cs="Times New Roman"/>
          <w:szCs w:val="24"/>
        </w:rPr>
        <w:br w:type="page"/>
      </w:r>
      <w:r w:rsidRPr="00FB01B2">
        <w:rPr>
          <w:rFonts w:cs="Times New Roman"/>
          <w:noProof/>
          <w:szCs w:val="24"/>
        </w:rPr>
        <w:lastRenderedPageBreak/>
        <w:drawing>
          <wp:inline distT="0" distB="0" distL="0" distR="0" wp14:anchorId="7255C4AD" wp14:editId="5DED67BB">
            <wp:extent cx="5314315" cy="3594100"/>
            <wp:effectExtent l="0" t="0" r="635" b="635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1" cstate="print">
                      <a:extLst>
                        <a:ext uri="{28A0092B-C50C-407E-A947-70E740481C1C}">
                          <a14:useLocalDpi xmlns:a14="http://schemas.microsoft.com/office/drawing/2010/main" val="0"/>
                        </a:ext>
                      </a:extLst>
                    </a:blip>
                    <a:srcRect l="7701" t="7718" b="7155"/>
                    <a:stretch>
                      <a:fillRect/>
                    </a:stretch>
                  </pic:blipFill>
                  <pic:spPr bwMode="auto">
                    <a:xfrm>
                      <a:off x="0" y="0"/>
                      <a:ext cx="5314315" cy="3594100"/>
                    </a:xfrm>
                    <a:prstGeom prst="rect">
                      <a:avLst/>
                    </a:prstGeom>
                    <a:noFill/>
                    <a:ln>
                      <a:noFill/>
                    </a:ln>
                  </pic:spPr>
                </pic:pic>
              </a:graphicData>
            </a:graphic>
          </wp:inline>
        </w:drawing>
      </w:r>
    </w:p>
    <w:p w14:paraId="0609B63D" w14:textId="77777777" w:rsidR="000A19BC" w:rsidRPr="00FB01B2" w:rsidRDefault="000A19BC" w:rsidP="00FB01B2">
      <w:pPr>
        <w:jc w:val="both"/>
        <w:rPr>
          <w:rFonts w:cs="Times New Roman"/>
          <w:szCs w:val="24"/>
        </w:rPr>
      </w:pPr>
      <w:r w:rsidRPr="00FB01B2">
        <w:rPr>
          <w:rFonts w:cs="Times New Roman"/>
          <w:b/>
          <w:bCs/>
          <w:szCs w:val="24"/>
        </w:rPr>
        <w:t xml:space="preserve">Figure S3: </w:t>
      </w:r>
      <w:r w:rsidRPr="00FB01B2">
        <w:rPr>
          <w:rFonts w:cs="Times New Roman"/>
          <w:szCs w:val="24"/>
        </w:rPr>
        <w:t>ADH activity [nmol * mg prot</w:t>
      </w:r>
      <w:r w:rsidRPr="00FB01B2">
        <w:rPr>
          <w:rFonts w:cs="Times New Roman"/>
          <w:szCs w:val="24"/>
          <w:vertAlign w:val="superscript"/>
        </w:rPr>
        <w:t>-1</w:t>
      </w:r>
      <w:r w:rsidRPr="00FB01B2">
        <w:rPr>
          <w:rFonts w:cs="Times New Roman"/>
          <w:szCs w:val="24"/>
        </w:rPr>
        <w:t xml:space="preserve"> * min</w:t>
      </w:r>
      <w:r w:rsidRPr="00FB01B2">
        <w:rPr>
          <w:rFonts w:cs="Times New Roman"/>
          <w:szCs w:val="24"/>
          <w:vertAlign w:val="superscript"/>
        </w:rPr>
        <w:t>-1</w:t>
      </w:r>
      <w:r w:rsidRPr="00FB01B2">
        <w:rPr>
          <w:rFonts w:cs="Times New Roman"/>
          <w:szCs w:val="24"/>
        </w:rPr>
        <w:t xml:space="preserve">] in roots of two </w:t>
      </w:r>
      <w:r w:rsidRPr="00FB01B2">
        <w:rPr>
          <w:rFonts w:cs="Times New Roman"/>
          <w:i/>
          <w:iCs/>
          <w:szCs w:val="24"/>
        </w:rPr>
        <w:t>Brassica napus</w:t>
      </w:r>
      <w:r w:rsidRPr="00FB01B2">
        <w:rPr>
          <w:rFonts w:cs="Times New Roman"/>
          <w:szCs w:val="24"/>
        </w:rPr>
        <w:t xml:space="preserve"> cultivars (Avatar - blue, Zhongshuang 9 - red) in hydroponics after 4 and 24 hours of root hypoxia (</w:t>
      </w:r>
      <w:proofErr w:type="spellStart"/>
      <w:r w:rsidRPr="00FB01B2">
        <w:rPr>
          <w:rFonts w:cs="Times New Roman"/>
          <w:szCs w:val="24"/>
        </w:rPr>
        <w:t>Hyp</w:t>
      </w:r>
      <w:proofErr w:type="spellEnd"/>
      <w:r w:rsidRPr="00FB01B2">
        <w:rPr>
          <w:rFonts w:cs="Times New Roman"/>
          <w:szCs w:val="24"/>
        </w:rPr>
        <w:t xml:space="preserve">), compared with aerated controls (C). At the time of the treatment start, plants were 15 days old. Values of 4 to 6 replicates are presented in box plots with medians and first and third quartile (http://shiny.chemgrid.org/boxplotr/). Single activity values are shown with circles. </w:t>
      </w:r>
      <w:proofErr w:type="spellStart"/>
      <w:r w:rsidRPr="00FB01B2">
        <w:rPr>
          <w:rFonts w:cs="Times New Roman"/>
          <w:szCs w:val="24"/>
        </w:rPr>
        <w:t>n.s</w:t>
      </w:r>
      <w:proofErr w:type="spellEnd"/>
      <w:r w:rsidRPr="00FB01B2">
        <w:rPr>
          <w:rFonts w:cs="Times New Roman"/>
          <w:szCs w:val="24"/>
        </w:rPr>
        <w:t>., no significant differences were found between the two genotypes at any time point (ANOVA, P &lt; 0.05).</w:t>
      </w:r>
    </w:p>
    <w:p w14:paraId="3DA0EEE5" w14:textId="77777777" w:rsidR="000A19BC" w:rsidRPr="00FB01B2" w:rsidRDefault="000A19BC" w:rsidP="00FB01B2">
      <w:pPr>
        <w:jc w:val="both"/>
        <w:rPr>
          <w:rFonts w:cs="Times New Roman"/>
          <w:szCs w:val="24"/>
        </w:rPr>
      </w:pPr>
    </w:p>
    <w:p w14:paraId="61F98B86" w14:textId="77777777" w:rsidR="000A19BC" w:rsidRPr="00FB01B2" w:rsidRDefault="000A19BC" w:rsidP="00FB01B2">
      <w:pPr>
        <w:jc w:val="both"/>
        <w:rPr>
          <w:rFonts w:cs="Times New Roman"/>
          <w:b/>
          <w:bCs/>
          <w:szCs w:val="24"/>
        </w:rPr>
      </w:pPr>
      <w:r w:rsidRPr="00FB01B2">
        <w:rPr>
          <w:rFonts w:cs="Times New Roman"/>
          <w:b/>
          <w:bCs/>
          <w:szCs w:val="24"/>
        </w:rPr>
        <w:br w:type="page"/>
      </w:r>
    </w:p>
    <w:p w14:paraId="3D6A86B2" w14:textId="7A1A14C8" w:rsidR="000A19BC" w:rsidRPr="00FB01B2" w:rsidRDefault="000A19BC" w:rsidP="00FB01B2">
      <w:pPr>
        <w:jc w:val="both"/>
        <w:rPr>
          <w:rFonts w:cs="Times New Roman"/>
          <w:b/>
          <w:bCs/>
          <w:szCs w:val="24"/>
        </w:rPr>
      </w:pPr>
      <w:r w:rsidRPr="00FB01B2">
        <w:rPr>
          <w:rFonts w:cs="Times New Roman"/>
          <w:noProof/>
          <w:szCs w:val="24"/>
        </w:rPr>
        <w:lastRenderedPageBreak/>
        <w:drawing>
          <wp:inline distT="0" distB="0" distL="0" distR="0" wp14:anchorId="5F6709AC" wp14:editId="11D38175">
            <wp:extent cx="5622290" cy="534162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2290" cy="5341620"/>
                    </a:xfrm>
                    <a:prstGeom prst="rect">
                      <a:avLst/>
                    </a:prstGeom>
                    <a:noFill/>
                    <a:ln>
                      <a:noFill/>
                    </a:ln>
                  </pic:spPr>
                </pic:pic>
              </a:graphicData>
            </a:graphic>
          </wp:inline>
        </w:drawing>
      </w:r>
    </w:p>
    <w:p w14:paraId="3ABE2D89" w14:textId="77777777" w:rsidR="000A19BC" w:rsidRPr="00FB01B2" w:rsidRDefault="000A19BC" w:rsidP="00FB01B2">
      <w:pPr>
        <w:jc w:val="both"/>
        <w:rPr>
          <w:rFonts w:cs="Times New Roman"/>
          <w:b/>
          <w:bCs/>
          <w:szCs w:val="24"/>
        </w:rPr>
      </w:pPr>
    </w:p>
    <w:p w14:paraId="2CE5B690" w14:textId="77777777" w:rsidR="000A19BC" w:rsidRPr="00FB01B2" w:rsidRDefault="000A19BC" w:rsidP="00FB01B2">
      <w:pPr>
        <w:jc w:val="both"/>
        <w:rPr>
          <w:rFonts w:cs="Times New Roman"/>
          <w:szCs w:val="24"/>
        </w:rPr>
      </w:pPr>
      <w:r w:rsidRPr="00FB01B2">
        <w:rPr>
          <w:rFonts w:cs="Times New Roman"/>
          <w:b/>
          <w:bCs/>
          <w:szCs w:val="24"/>
        </w:rPr>
        <w:t xml:space="preserve">Figure S4: </w:t>
      </w:r>
      <w:r w:rsidRPr="00FB01B2">
        <w:rPr>
          <w:rFonts w:cs="Times New Roman"/>
          <w:szCs w:val="24"/>
        </w:rPr>
        <w:t xml:space="preserve">Comparison of the hypoxic response in this work with two other publications (Zou et al., 2013a; Zou et al., 2015). Venn diagrams show overlaps between treatments of induced </w:t>
      </w:r>
      <w:r w:rsidRPr="00FB01B2">
        <w:rPr>
          <w:rFonts w:cs="Times New Roman"/>
          <w:b/>
          <w:bCs/>
          <w:szCs w:val="24"/>
        </w:rPr>
        <w:t>(A,B)</w:t>
      </w:r>
      <w:r w:rsidRPr="00FB01B2">
        <w:rPr>
          <w:rFonts w:cs="Times New Roman"/>
          <w:szCs w:val="24"/>
        </w:rPr>
        <w:t xml:space="preserve"> or repressed </w:t>
      </w:r>
      <w:r w:rsidRPr="00FB01B2">
        <w:rPr>
          <w:rFonts w:cs="Times New Roman"/>
          <w:b/>
          <w:bCs/>
          <w:szCs w:val="24"/>
        </w:rPr>
        <w:t>(C,D)</w:t>
      </w:r>
      <w:r w:rsidRPr="00FB01B2">
        <w:rPr>
          <w:rFonts w:cs="Times New Roman"/>
          <w:szCs w:val="24"/>
        </w:rPr>
        <w:t xml:space="preserve"> genes after 4 h (A,C) and 24 h (B,D) of root hypoxia, compared with aerated controls. Data for 12 h of Zhongshuang 9 are from Zou et al. (2013a), data for 12 h of GH01 are from Zou et al. (2015). R, root.</w:t>
      </w:r>
    </w:p>
    <w:p w14:paraId="03998B55" w14:textId="77777777" w:rsidR="000A19BC" w:rsidRPr="00FB01B2" w:rsidRDefault="000A19BC" w:rsidP="00FB01B2">
      <w:pPr>
        <w:jc w:val="both"/>
        <w:rPr>
          <w:rFonts w:cs="Times New Roman"/>
          <w:szCs w:val="24"/>
        </w:rPr>
      </w:pPr>
    </w:p>
    <w:p w14:paraId="3482E743" w14:textId="77777777" w:rsidR="000A19BC" w:rsidRPr="00FB01B2" w:rsidRDefault="000A19BC" w:rsidP="00FB01B2">
      <w:pPr>
        <w:jc w:val="both"/>
        <w:rPr>
          <w:rFonts w:cs="Times New Roman"/>
          <w:szCs w:val="24"/>
        </w:rPr>
      </w:pPr>
      <w:r w:rsidRPr="00FB01B2">
        <w:rPr>
          <w:rFonts w:cs="Times New Roman"/>
          <w:szCs w:val="24"/>
        </w:rPr>
        <w:br w:type="page"/>
      </w:r>
    </w:p>
    <w:p w14:paraId="1CEED5B3" w14:textId="6608906F" w:rsidR="000A19BC" w:rsidRPr="00FB01B2" w:rsidRDefault="000A19BC" w:rsidP="00FB01B2">
      <w:pPr>
        <w:jc w:val="both"/>
        <w:rPr>
          <w:rFonts w:cs="Times New Roman"/>
          <w:szCs w:val="24"/>
        </w:rPr>
      </w:pPr>
      <w:r w:rsidRPr="00FB01B2">
        <w:rPr>
          <w:rFonts w:cs="Times New Roman"/>
          <w:noProof/>
          <w:szCs w:val="24"/>
        </w:rPr>
        <w:lastRenderedPageBreak/>
        <w:drawing>
          <wp:inline distT="0" distB="0" distL="0" distR="0" wp14:anchorId="0EEAE9D3" wp14:editId="2E3C9ABA">
            <wp:extent cx="5758180" cy="537781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8180" cy="5377815"/>
                    </a:xfrm>
                    <a:prstGeom prst="rect">
                      <a:avLst/>
                    </a:prstGeom>
                    <a:noFill/>
                    <a:ln>
                      <a:noFill/>
                    </a:ln>
                  </pic:spPr>
                </pic:pic>
              </a:graphicData>
            </a:graphic>
          </wp:inline>
        </w:drawing>
      </w:r>
    </w:p>
    <w:p w14:paraId="1188FE22" w14:textId="77777777" w:rsidR="000A19BC" w:rsidRPr="00FB01B2" w:rsidRDefault="000A19BC" w:rsidP="00FB01B2">
      <w:pPr>
        <w:jc w:val="both"/>
        <w:rPr>
          <w:rFonts w:cs="Times New Roman"/>
          <w:szCs w:val="24"/>
        </w:rPr>
      </w:pPr>
      <w:r w:rsidRPr="00FB01B2">
        <w:rPr>
          <w:rFonts w:cs="Times New Roman"/>
          <w:b/>
          <w:bCs/>
          <w:szCs w:val="24"/>
        </w:rPr>
        <w:t xml:space="preserve">Figure S5: </w:t>
      </w:r>
      <w:r w:rsidRPr="00FB01B2">
        <w:rPr>
          <w:rFonts w:cs="Times New Roman"/>
          <w:szCs w:val="24"/>
        </w:rPr>
        <w:t xml:space="preserve">Comparison of the hypoxic response in this work (filtered genes set) with two other publications (Zou et al., 2013a; Zou et al., 2015). Venn diagrams show overlaps between treatments of induced </w:t>
      </w:r>
      <w:r w:rsidRPr="00FB01B2">
        <w:rPr>
          <w:rFonts w:cs="Times New Roman"/>
          <w:b/>
          <w:bCs/>
          <w:szCs w:val="24"/>
        </w:rPr>
        <w:t>(A,B)</w:t>
      </w:r>
      <w:r w:rsidRPr="00FB01B2">
        <w:rPr>
          <w:rFonts w:cs="Times New Roman"/>
          <w:szCs w:val="24"/>
        </w:rPr>
        <w:t xml:space="preserve"> or repressed </w:t>
      </w:r>
      <w:r w:rsidRPr="00FB01B2">
        <w:rPr>
          <w:rFonts w:cs="Times New Roman"/>
          <w:b/>
          <w:bCs/>
          <w:szCs w:val="24"/>
        </w:rPr>
        <w:t>(C,D)</w:t>
      </w:r>
      <w:r w:rsidRPr="00FB01B2">
        <w:rPr>
          <w:rFonts w:cs="Times New Roman"/>
          <w:szCs w:val="24"/>
        </w:rPr>
        <w:t xml:space="preserve"> genes after 4 h (A,C) and 24 h (B,D) of root hypoxia, compared with aerated controls. In contrast to Fig. S2, only transcripts with expression data for all three datasets were considered. Data for 12 h of Zhongshuang 9 are from Zou et al. (2013a), data for 12 h of GH01 are from Zou et al. (2015). R, root.</w:t>
      </w:r>
    </w:p>
    <w:p w14:paraId="4F8A2A7A" w14:textId="77777777" w:rsidR="000A19BC" w:rsidRPr="00FB01B2" w:rsidRDefault="000A19BC" w:rsidP="00FB01B2">
      <w:pPr>
        <w:jc w:val="both"/>
        <w:rPr>
          <w:rFonts w:cs="Times New Roman"/>
          <w:b/>
          <w:bCs/>
          <w:szCs w:val="24"/>
        </w:rPr>
      </w:pPr>
      <w:r w:rsidRPr="00FB01B2">
        <w:rPr>
          <w:rFonts w:cs="Times New Roman"/>
          <w:b/>
          <w:bCs/>
          <w:szCs w:val="24"/>
        </w:rPr>
        <w:br w:type="page"/>
      </w:r>
    </w:p>
    <w:p w14:paraId="028C7925" w14:textId="0FC01EC6" w:rsidR="000A19BC" w:rsidRPr="00FB01B2" w:rsidRDefault="000A19BC" w:rsidP="00FB01B2">
      <w:pPr>
        <w:jc w:val="both"/>
        <w:rPr>
          <w:rFonts w:cs="Times New Roman"/>
          <w:b/>
          <w:bCs/>
          <w:szCs w:val="24"/>
        </w:rPr>
      </w:pPr>
      <w:r w:rsidRPr="00FB01B2">
        <w:rPr>
          <w:rFonts w:cs="Times New Roman"/>
          <w:noProof/>
          <w:szCs w:val="24"/>
        </w:rPr>
        <w:lastRenderedPageBreak/>
        <w:drawing>
          <wp:inline distT="0" distB="0" distL="0" distR="0" wp14:anchorId="6518EB10" wp14:editId="1D4589B1">
            <wp:extent cx="5767070" cy="411924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7070" cy="4119245"/>
                    </a:xfrm>
                    <a:prstGeom prst="rect">
                      <a:avLst/>
                    </a:prstGeom>
                    <a:noFill/>
                    <a:ln>
                      <a:noFill/>
                    </a:ln>
                  </pic:spPr>
                </pic:pic>
              </a:graphicData>
            </a:graphic>
          </wp:inline>
        </w:drawing>
      </w:r>
    </w:p>
    <w:p w14:paraId="6210265A" w14:textId="77777777" w:rsidR="000A19BC" w:rsidRPr="00FB01B2" w:rsidRDefault="000A19BC" w:rsidP="00FB01B2">
      <w:pPr>
        <w:jc w:val="both"/>
        <w:rPr>
          <w:rFonts w:cs="Times New Roman"/>
          <w:b/>
          <w:bCs/>
          <w:szCs w:val="24"/>
        </w:rPr>
      </w:pPr>
    </w:p>
    <w:p w14:paraId="209C4775" w14:textId="77777777" w:rsidR="000A19BC" w:rsidRPr="00FB01B2" w:rsidRDefault="000A19BC" w:rsidP="00FB01B2">
      <w:pPr>
        <w:jc w:val="both"/>
        <w:rPr>
          <w:rFonts w:cs="Times New Roman"/>
          <w:szCs w:val="24"/>
        </w:rPr>
      </w:pPr>
      <w:r w:rsidRPr="00FB01B2">
        <w:rPr>
          <w:rFonts w:cs="Times New Roman"/>
          <w:b/>
          <w:bCs/>
          <w:szCs w:val="24"/>
        </w:rPr>
        <w:t xml:space="preserve">Figure S6: </w:t>
      </w:r>
      <w:r w:rsidRPr="00FB01B2">
        <w:rPr>
          <w:rFonts w:cs="Times New Roman"/>
          <w:szCs w:val="24"/>
        </w:rPr>
        <w:t xml:space="preserve">Venn diagrams showing overlaps between treatments in this study and in our earlier study on full submergence (sub, Wittig et al., 2021, labelled with green color). Venn diagrams show overlaps between treatments of induced </w:t>
      </w:r>
      <w:r w:rsidRPr="00FB01B2">
        <w:rPr>
          <w:rFonts w:cs="Times New Roman"/>
          <w:b/>
          <w:bCs/>
          <w:szCs w:val="24"/>
        </w:rPr>
        <w:t>(A,B)</w:t>
      </w:r>
      <w:r w:rsidRPr="00FB01B2">
        <w:rPr>
          <w:rFonts w:cs="Times New Roman"/>
          <w:szCs w:val="24"/>
        </w:rPr>
        <w:t xml:space="preserve"> or repressed </w:t>
      </w:r>
      <w:r w:rsidRPr="00FB01B2">
        <w:rPr>
          <w:rFonts w:cs="Times New Roman"/>
          <w:b/>
          <w:bCs/>
          <w:szCs w:val="24"/>
        </w:rPr>
        <w:t>(C,D)</w:t>
      </w:r>
      <w:r w:rsidRPr="00FB01B2">
        <w:rPr>
          <w:rFonts w:cs="Times New Roman"/>
          <w:szCs w:val="24"/>
        </w:rPr>
        <w:t xml:space="preserve"> genes. (A,C) Common response in Avatar; (B,D) Common response in Zhongshuang 9. R, root; L, leaf.</w:t>
      </w:r>
    </w:p>
    <w:p w14:paraId="266E082E" w14:textId="77777777" w:rsidR="000A19BC" w:rsidRPr="00FB01B2" w:rsidRDefault="000A19BC" w:rsidP="00FB01B2">
      <w:pPr>
        <w:jc w:val="both"/>
        <w:rPr>
          <w:rFonts w:cs="Times New Roman"/>
          <w:szCs w:val="24"/>
        </w:rPr>
      </w:pPr>
    </w:p>
    <w:p w14:paraId="663C9AC9" w14:textId="77777777" w:rsidR="000A19BC" w:rsidRPr="00FB01B2" w:rsidRDefault="000A19BC" w:rsidP="00FB01B2">
      <w:pPr>
        <w:jc w:val="both"/>
        <w:rPr>
          <w:rFonts w:cs="Times New Roman"/>
          <w:b/>
          <w:bCs/>
          <w:szCs w:val="24"/>
        </w:rPr>
      </w:pPr>
      <w:r w:rsidRPr="00FB01B2">
        <w:rPr>
          <w:rFonts w:cs="Times New Roman"/>
          <w:b/>
          <w:bCs/>
          <w:szCs w:val="24"/>
        </w:rPr>
        <w:br w:type="page"/>
      </w:r>
    </w:p>
    <w:p w14:paraId="3E0AF533" w14:textId="4F034E79" w:rsidR="000A19BC" w:rsidRPr="00FB01B2" w:rsidRDefault="000A19BC" w:rsidP="00FB01B2">
      <w:pPr>
        <w:jc w:val="both"/>
        <w:rPr>
          <w:rFonts w:cs="Times New Roman"/>
          <w:b/>
          <w:bCs/>
          <w:szCs w:val="24"/>
        </w:rPr>
      </w:pPr>
      <w:r w:rsidRPr="00FB01B2">
        <w:rPr>
          <w:rFonts w:cs="Times New Roman"/>
          <w:noProof/>
          <w:szCs w:val="24"/>
        </w:rPr>
        <w:lastRenderedPageBreak/>
        <w:drawing>
          <wp:inline distT="0" distB="0" distL="0" distR="0" wp14:anchorId="07FEB37C" wp14:editId="21C649A0">
            <wp:extent cx="5767070" cy="484378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7070" cy="4843780"/>
                    </a:xfrm>
                    <a:prstGeom prst="rect">
                      <a:avLst/>
                    </a:prstGeom>
                    <a:noFill/>
                    <a:ln>
                      <a:noFill/>
                    </a:ln>
                  </pic:spPr>
                </pic:pic>
              </a:graphicData>
            </a:graphic>
          </wp:inline>
        </w:drawing>
      </w:r>
    </w:p>
    <w:p w14:paraId="456D79BF" w14:textId="77777777" w:rsidR="000A19BC" w:rsidRPr="00FB01B2" w:rsidRDefault="000A19BC" w:rsidP="00FB01B2">
      <w:pPr>
        <w:jc w:val="both"/>
        <w:rPr>
          <w:rFonts w:cs="Times New Roman"/>
          <w:b/>
          <w:bCs/>
          <w:szCs w:val="24"/>
        </w:rPr>
      </w:pPr>
    </w:p>
    <w:p w14:paraId="13E47486" w14:textId="77777777" w:rsidR="000A19BC" w:rsidRPr="00FB01B2" w:rsidRDefault="000A19BC" w:rsidP="00FB01B2">
      <w:pPr>
        <w:jc w:val="both"/>
        <w:rPr>
          <w:rFonts w:cs="Times New Roman"/>
          <w:szCs w:val="24"/>
        </w:rPr>
      </w:pPr>
      <w:r w:rsidRPr="00FB01B2">
        <w:rPr>
          <w:rFonts w:cs="Times New Roman"/>
          <w:b/>
          <w:bCs/>
          <w:szCs w:val="24"/>
        </w:rPr>
        <w:t xml:space="preserve">Figure S7: </w:t>
      </w:r>
      <w:r w:rsidRPr="00FB01B2">
        <w:rPr>
          <w:rFonts w:cs="Times New Roman"/>
          <w:szCs w:val="24"/>
        </w:rPr>
        <w:t xml:space="preserve">Venn diagrams showing overlaps of genotype-specific genes in a direct comparison between the two </w:t>
      </w:r>
      <w:r w:rsidRPr="00FB01B2">
        <w:rPr>
          <w:rFonts w:cs="Times New Roman"/>
          <w:i/>
          <w:iCs/>
          <w:szCs w:val="24"/>
        </w:rPr>
        <w:t>Brassica napus</w:t>
      </w:r>
      <w:r w:rsidRPr="00FB01B2">
        <w:rPr>
          <w:rFonts w:cs="Times New Roman"/>
          <w:szCs w:val="24"/>
        </w:rPr>
        <w:t xml:space="preserve"> cultivars Avatar and Zhongshuang 9. Data from our earlier study on submergence were also included here (Wittig et al., 2021, labelled with green color). </w:t>
      </w:r>
      <w:r w:rsidRPr="00FB01B2">
        <w:rPr>
          <w:rFonts w:cs="Times New Roman"/>
          <w:b/>
          <w:bCs/>
          <w:szCs w:val="24"/>
        </w:rPr>
        <w:t>(A)</w:t>
      </w:r>
      <w:r w:rsidRPr="00FB01B2">
        <w:rPr>
          <w:rFonts w:cs="Times New Roman"/>
          <w:szCs w:val="24"/>
        </w:rPr>
        <w:t xml:space="preserve"> Genes with higher expression level in Avatar compared with Zhongshuang 9 in root samples; </w:t>
      </w:r>
      <w:r w:rsidRPr="00FB01B2">
        <w:rPr>
          <w:rFonts w:cs="Times New Roman"/>
          <w:b/>
          <w:bCs/>
          <w:szCs w:val="24"/>
        </w:rPr>
        <w:t>(B)</w:t>
      </w:r>
      <w:r w:rsidRPr="00FB01B2">
        <w:rPr>
          <w:rFonts w:cs="Times New Roman"/>
          <w:szCs w:val="24"/>
        </w:rPr>
        <w:t xml:space="preserve"> Genes with higher expression level in Zhongshuang 9 compared with Avatar in root samples; </w:t>
      </w:r>
      <w:r w:rsidRPr="00FB01B2">
        <w:rPr>
          <w:rFonts w:cs="Times New Roman"/>
          <w:b/>
          <w:bCs/>
          <w:szCs w:val="24"/>
        </w:rPr>
        <w:t>(C)</w:t>
      </w:r>
      <w:r w:rsidRPr="00FB01B2">
        <w:rPr>
          <w:rFonts w:cs="Times New Roman"/>
          <w:szCs w:val="24"/>
        </w:rPr>
        <w:t xml:space="preserve"> Genes with higher expression level in Avatar compared with Zhongshuang 9 in leaf samples; </w:t>
      </w:r>
      <w:r w:rsidRPr="00FB01B2">
        <w:rPr>
          <w:rFonts w:cs="Times New Roman"/>
          <w:b/>
          <w:bCs/>
          <w:szCs w:val="24"/>
        </w:rPr>
        <w:t>(D)</w:t>
      </w:r>
      <w:r w:rsidRPr="00FB01B2">
        <w:rPr>
          <w:rFonts w:cs="Times New Roman"/>
          <w:szCs w:val="24"/>
        </w:rPr>
        <w:t xml:space="preserve"> Genes with higher expression level in Zhongshuang 9 compared with Avatar in leaf samples. Numbers with red font in C and D mark numbers of genes of unstressed leaf samples and genotype-specific genes under stress treatment, respectively. C, control; </w:t>
      </w:r>
      <w:proofErr w:type="spellStart"/>
      <w:r w:rsidRPr="00FB01B2">
        <w:rPr>
          <w:rFonts w:cs="Times New Roman"/>
          <w:szCs w:val="24"/>
        </w:rPr>
        <w:t>Hyp</w:t>
      </w:r>
      <w:proofErr w:type="spellEnd"/>
      <w:r w:rsidRPr="00FB01B2">
        <w:rPr>
          <w:rFonts w:cs="Times New Roman"/>
          <w:szCs w:val="24"/>
        </w:rPr>
        <w:t>, root hypoxia; SUB, full submergence.</w:t>
      </w:r>
    </w:p>
    <w:p w14:paraId="3E56EDE1" w14:textId="77777777" w:rsidR="000A19BC" w:rsidRPr="00FB01B2" w:rsidRDefault="000A19BC" w:rsidP="00FB01B2">
      <w:pPr>
        <w:jc w:val="both"/>
        <w:rPr>
          <w:rFonts w:cs="Times New Roman"/>
          <w:b/>
          <w:bCs/>
          <w:szCs w:val="24"/>
        </w:rPr>
      </w:pPr>
    </w:p>
    <w:p w14:paraId="27F0A93B" w14:textId="4793CF00" w:rsidR="000A19BC" w:rsidRPr="00FB01B2" w:rsidRDefault="000A19BC" w:rsidP="00FB01B2">
      <w:pPr>
        <w:jc w:val="both"/>
        <w:rPr>
          <w:rFonts w:cs="Times New Roman"/>
          <w:b/>
          <w:bCs/>
          <w:szCs w:val="24"/>
        </w:rPr>
      </w:pPr>
      <w:r w:rsidRPr="00FB01B2">
        <w:rPr>
          <w:rFonts w:cs="Times New Roman"/>
          <w:b/>
          <w:bCs/>
          <w:szCs w:val="24"/>
        </w:rPr>
        <w:br w:type="page"/>
      </w:r>
      <w:r w:rsidRPr="00FB01B2">
        <w:rPr>
          <w:rFonts w:cs="Times New Roman"/>
          <w:noProof/>
          <w:szCs w:val="24"/>
        </w:rPr>
        <w:lastRenderedPageBreak/>
        <w:drawing>
          <wp:inline distT="0" distB="0" distL="0" distR="0" wp14:anchorId="51385A63" wp14:editId="499DD8D2">
            <wp:extent cx="5758180" cy="232664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8180" cy="2326640"/>
                    </a:xfrm>
                    <a:prstGeom prst="rect">
                      <a:avLst/>
                    </a:prstGeom>
                    <a:noFill/>
                    <a:ln>
                      <a:noFill/>
                    </a:ln>
                  </pic:spPr>
                </pic:pic>
              </a:graphicData>
            </a:graphic>
          </wp:inline>
        </w:drawing>
      </w:r>
    </w:p>
    <w:p w14:paraId="569903C4" w14:textId="77777777" w:rsidR="000A19BC" w:rsidRPr="00FB01B2" w:rsidRDefault="000A19BC" w:rsidP="00FB01B2">
      <w:pPr>
        <w:jc w:val="both"/>
        <w:rPr>
          <w:rFonts w:cs="Times New Roman"/>
          <w:b/>
          <w:bCs/>
          <w:szCs w:val="24"/>
        </w:rPr>
      </w:pPr>
    </w:p>
    <w:p w14:paraId="47324D0B" w14:textId="77777777" w:rsidR="000A19BC" w:rsidRPr="00FB01B2" w:rsidRDefault="000A19BC" w:rsidP="00FB01B2">
      <w:pPr>
        <w:jc w:val="both"/>
        <w:rPr>
          <w:rFonts w:cs="Times New Roman"/>
          <w:szCs w:val="24"/>
        </w:rPr>
      </w:pPr>
      <w:r w:rsidRPr="00FB01B2">
        <w:rPr>
          <w:rFonts w:cs="Times New Roman"/>
          <w:b/>
          <w:bCs/>
          <w:szCs w:val="24"/>
        </w:rPr>
        <w:t xml:space="preserve">Figure S8: </w:t>
      </w:r>
      <w:r w:rsidRPr="00FB01B2">
        <w:rPr>
          <w:rFonts w:cs="Times New Roman"/>
          <w:szCs w:val="24"/>
        </w:rPr>
        <w:t xml:space="preserve">Ratio of Fresh weight (FW) to dry weight (DW) from experiments shown in </w:t>
      </w:r>
      <w:r w:rsidRPr="00FB01B2">
        <w:rPr>
          <w:rFonts w:cs="Times New Roman"/>
          <w:b/>
          <w:bCs/>
          <w:szCs w:val="24"/>
        </w:rPr>
        <w:t>(A)</w:t>
      </w:r>
      <w:r w:rsidRPr="00FB01B2">
        <w:rPr>
          <w:rFonts w:cs="Times New Roman"/>
          <w:szCs w:val="24"/>
        </w:rPr>
        <w:t xml:space="preserve"> Fig. 4A and </w:t>
      </w:r>
      <w:r w:rsidRPr="00FB01B2">
        <w:rPr>
          <w:rFonts w:cs="Times New Roman"/>
          <w:b/>
          <w:bCs/>
          <w:szCs w:val="24"/>
        </w:rPr>
        <w:t>(B)</w:t>
      </w:r>
      <w:r w:rsidRPr="00FB01B2">
        <w:rPr>
          <w:rFonts w:cs="Times New Roman"/>
          <w:szCs w:val="24"/>
        </w:rPr>
        <w:t xml:space="preserve"> Fig. 6A.</w:t>
      </w:r>
    </w:p>
    <w:p w14:paraId="6FC28CD7" w14:textId="77777777" w:rsidR="000A19BC" w:rsidRPr="00FB01B2" w:rsidRDefault="000A19BC" w:rsidP="00FB01B2">
      <w:pPr>
        <w:jc w:val="both"/>
        <w:rPr>
          <w:rFonts w:cs="Times New Roman"/>
          <w:szCs w:val="24"/>
        </w:rPr>
      </w:pPr>
    </w:p>
    <w:p w14:paraId="15A1F8E3" w14:textId="5CBC13F8" w:rsidR="000A19BC" w:rsidRPr="00FB01B2" w:rsidRDefault="000A19BC" w:rsidP="00FB01B2">
      <w:pPr>
        <w:jc w:val="both"/>
        <w:rPr>
          <w:rFonts w:cs="Times New Roman"/>
          <w:b/>
          <w:bCs/>
          <w:szCs w:val="24"/>
        </w:rPr>
      </w:pPr>
      <w:r w:rsidRPr="00FB01B2">
        <w:rPr>
          <w:rFonts w:cs="Times New Roman"/>
          <w:b/>
          <w:bCs/>
          <w:szCs w:val="24"/>
        </w:rPr>
        <w:br w:type="page"/>
      </w:r>
      <w:r w:rsidRPr="00FB01B2">
        <w:rPr>
          <w:rFonts w:cs="Times New Roman"/>
          <w:b/>
          <w:bCs/>
          <w:noProof/>
          <w:szCs w:val="24"/>
        </w:rPr>
        <w:lastRenderedPageBreak/>
        <w:drawing>
          <wp:inline distT="0" distB="0" distL="0" distR="0" wp14:anchorId="3F9C6BEE" wp14:editId="672DA266">
            <wp:extent cx="5686425" cy="4508500"/>
            <wp:effectExtent l="0" t="0" r="9525" b="6350"/>
            <wp:docPr id="12" name="Grafik 1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enthält.&#10;&#10;Automatisch generierte Beschreibu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86425" cy="4508500"/>
                    </a:xfrm>
                    <a:prstGeom prst="rect">
                      <a:avLst/>
                    </a:prstGeom>
                    <a:noFill/>
                  </pic:spPr>
                </pic:pic>
              </a:graphicData>
            </a:graphic>
          </wp:inline>
        </w:drawing>
      </w:r>
    </w:p>
    <w:p w14:paraId="01D5DBC9" w14:textId="77777777" w:rsidR="000A19BC" w:rsidRPr="00FB01B2" w:rsidRDefault="000A19BC" w:rsidP="00FB01B2">
      <w:pPr>
        <w:jc w:val="both"/>
        <w:rPr>
          <w:rFonts w:cs="Times New Roman"/>
          <w:szCs w:val="24"/>
        </w:rPr>
      </w:pPr>
      <w:r w:rsidRPr="00FB01B2">
        <w:rPr>
          <w:rFonts w:cs="Times New Roman"/>
          <w:b/>
          <w:bCs/>
          <w:szCs w:val="24"/>
        </w:rPr>
        <w:t xml:space="preserve">Figure S9: </w:t>
      </w:r>
      <w:r w:rsidRPr="00FB01B2">
        <w:rPr>
          <w:rFonts w:cs="Times New Roman"/>
          <w:szCs w:val="24"/>
        </w:rPr>
        <w:t xml:space="preserve">Pictures of </w:t>
      </w:r>
      <w:r w:rsidRPr="00FB01B2">
        <w:rPr>
          <w:rFonts w:cs="Times New Roman"/>
          <w:i/>
          <w:iCs/>
          <w:szCs w:val="24"/>
        </w:rPr>
        <w:t>Brassica napus</w:t>
      </w:r>
      <w:r w:rsidRPr="00FB01B2">
        <w:rPr>
          <w:rFonts w:cs="Times New Roman"/>
          <w:szCs w:val="24"/>
        </w:rPr>
        <w:t xml:space="preserve"> plants after 14 days of waterlogging treatment on soil, one treatment with deionized water (WL, left plant on each picture), and one with 0.1% starch solution (+ starch, right plant on each picture). At the end of the treatment, plants were 29 days old. (A) Avatar; (B) Zhongshuang 9. Three representative plants from each treatment and cultivar are shown. White badge is 6 cm long.</w:t>
      </w:r>
    </w:p>
    <w:p w14:paraId="045D4DCB" w14:textId="77777777" w:rsidR="000A19BC" w:rsidRPr="00FB01B2" w:rsidRDefault="000A19BC" w:rsidP="00FB01B2">
      <w:pPr>
        <w:jc w:val="both"/>
        <w:rPr>
          <w:rFonts w:cs="Times New Roman"/>
          <w:szCs w:val="24"/>
        </w:rPr>
      </w:pPr>
    </w:p>
    <w:p w14:paraId="0A7E18D4" w14:textId="77777777" w:rsidR="000A19BC" w:rsidRPr="00FB01B2" w:rsidRDefault="000A19BC" w:rsidP="00FB01B2">
      <w:pPr>
        <w:jc w:val="both"/>
        <w:rPr>
          <w:rFonts w:cs="Times New Roman"/>
          <w:szCs w:val="24"/>
        </w:rPr>
      </w:pPr>
      <w:r w:rsidRPr="00FB01B2">
        <w:rPr>
          <w:rFonts w:cs="Times New Roman"/>
          <w:szCs w:val="24"/>
        </w:rPr>
        <w:br w:type="page"/>
      </w:r>
    </w:p>
    <w:p w14:paraId="228B2A57" w14:textId="48512F3B" w:rsidR="000A19BC" w:rsidRPr="00FB01B2" w:rsidRDefault="000A19BC" w:rsidP="00FB01B2">
      <w:pPr>
        <w:jc w:val="both"/>
        <w:rPr>
          <w:rFonts w:cs="Times New Roman"/>
          <w:b/>
          <w:bCs/>
          <w:szCs w:val="24"/>
        </w:rPr>
      </w:pPr>
      <w:r w:rsidRPr="00FB01B2">
        <w:rPr>
          <w:rFonts w:cs="Times New Roman"/>
          <w:noProof/>
          <w:szCs w:val="24"/>
        </w:rPr>
        <w:lastRenderedPageBreak/>
        <w:drawing>
          <wp:inline distT="0" distB="0" distL="0" distR="0" wp14:anchorId="169CE53C" wp14:editId="1D4056DD">
            <wp:extent cx="5758180" cy="388366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8180" cy="3883660"/>
                    </a:xfrm>
                    <a:prstGeom prst="rect">
                      <a:avLst/>
                    </a:prstGeom>
                    <a:noFill/>
                    <a:ln>
                      <a:noFill/>
                    </a:ln>
                  </pic:spPr>
                </pic:pic>
              </a:graphicData>
            </a:graphic>
          </wp:inline>
        </w:drawing>
      </w:r>
    </w:p>
    <w:p w14:paraId="4FE41211" w14:textId="77777777" w:rsidR="000A19BC" w:rsidRPr="00FB01B2" w:rsidRDefault="000A19BC" w:rsidP="00FB01B2">
      <w:pPr>
        <w:jc w:val="both"/>
        <w:rPr>
          <w:rFonts w:cs="Times New Roman"/>
          <w:szCs w:val="24"/>
        </w:rPr>
      </w:pPr>
      <w:r w:rsidRPr="00FB01B2">
        <w:rPr>
          <w:rFonts w:cs="Times New Roman"/>
          <w:b/>
          <w:bCs/>
          <w:szCs w:val="24"/>
        </w:rPr>
        <w:t xml:space="preserve">Figure S10: </w:t>
      </w:r>
      <w:r w:rsidRPr="00FB01B2">
        <w:rPr>
          <w:rFonts w:cs="Times New Roman"/>
          <w:szCs w:val="24"/>
        </w:rPr>
        <w:t xml:space="preserve">Characterization of the two types of waterlogging treatment on soil, one with deionized water (WL), and one with 0.1% starch solution (+ starch). Treatment was done with </w:t>
      </w:r>
      <w:r w:rsidRPr="00FB01B2">
        <w:rPr>
          <w:rFonts w:cs="Times New Roman"/>
          <w:i/>
          <w:iCs/>
          <w:szCs w:val="24"/>
        </w:rPr>
        <w:t>Brassica napus</w:t>
      </w:r>
      <w:r w:rsidRPr="00FB01B2">
        <w:rPr>
          <w:rFonts w:cs="Times New Roman"/>
          <w:szCs w:val="24"/>
        </w:rPr>
        <w:t xml:space="preserve"> plants for up to 14 days. At the start of treatment, plants were 15 days old. </w:t>
      </w:r>
      <w:r w:rsidRPr="00FB01B2">
        <w:rPr>
          <w:rFonts w:cs="Times New Roman"/>
          <w:b/>
          <w:bCs/>
          <w:szCs w:val="24"/>
        </w:rPr>
        <w:t>(A)</w:t>
      </w:r>
      <w:r w:rsidRPr="00FB01B2">
        <w:rPr>
          <w:rFonts w:cs="Times New Roman"/>
          <w:szCs w:val="24"/>
        </w:rPr>
        <w:t xml:space="preserve"> Oxygen content in the solution. </w:t>
      </w:r>
      <w:r w:rsidRPr="00FB01B2">
        <w:rPr>
          <w:rFonts w:cs="Times New Roman"/>
          <w:b/>
          <w:bCs/>
          <w:szCs w:val="24"/>
        </w:rPr>
        <w:t>(B)</w:t>
      </w:r>
      <w:r w:rsidRPr="00FB01B2">
        <w:rPr>
          <w:rFonts w:cs="Times New Roman"/>
          <w:szCs w:val="24"/>
        </w:rPr>
        <w:t xml:space="preserve"> Oxidation-reduction potential (ORP) in the solution. </w:t>
      </w:r>
      <w:r w:rsidRPr="00FB01B2">
        <w:rPr>
          <w:rFonts w:cs="Times New Roman"/>
          <w:b/>
          <w:bCs/>
          <w:szCs w:val="24"/>
        </w:rPr>
        <w:t>(C)</w:t>
      </w:r>
      <w:r w:rsidRPr="00FB01B2">
        <w:rPr>
          <w:rFonts w:cs="Times New Roman"/>
          <w:szCs w:val="24"/>
        </w:rPr>
        <w:t xml:space="preserve"> pH value in the solution. </w:t>
      </w:r>
      <w:r w:rsidRPr="00FB01B2">
        <w:rPr>
          <w:rFonts w:cs="Times New Roman"/>
          <w:b/>
          <w:bCs/>
          <w:szCs w:val="24"/>
        </w:rPr>
        <w:t>(D)</w:t>
      </w:r>
      <w:r w:rsidRPr="00FB01B2">
        <w:rPr>
          <w:rFonts w:cs="Times New Roman"/>
          <w:szCs w:val="24"/>
        </w:rPr>
        <w:t xml:space="preserve"> Conductivity in the solution. Data are means +/- SD of 3 treatments per type with 15 plants in each treatment. Stars indicate significant differences between water and starch solution at each time point (T-Test, * p &lt; 0.05; ** p &lt; 0.01). </w:t>
      </w:r>
    </w:p>
    <w:p w14:paraId="7B95ED8A" w14:textId="77777777" w:rsidR="000A19BC" w:rsidRPr="00FB01B2" w:rsidRDefault="000A19BC" w:rsidP="00FB01B2">
      <w:pPr>
        <w:jc w:val="both"/>
        <w:rPr>
          <w:rFonts w:cs="Times New Roman"/>
          <w:b/>
          <w:szCs w:val="24"/>
        </w:rPr>
      </w:pPr>
    </w:p>
    <w:p w14:paraId="26EECC46" w14:textId="77777777" w:rsidR="000A19BC" w:rsidRPr="00FB01B2" w:rsidRDefault="000A19BC" w:rsidP="00FB01B2">
      <w:pPr>
        <w:rPr>
          <w:rFonts w:eastAsia="Cambria" w:cs="Times New Roman"/>
          <w:b/>
          <w:szCs w:val="24"/>
        </w:rPr>
      </w:pPr>
      <w:r w:rsidRPr="00FB01B2">
        <w:rPr>
          <w:rFonts w:cs="Times New Roman"/>
          <w:szCs w:val="24"/>
        </w:rPr>
        <w:br w:type="page"/>
      </w:r>
    </w:p>
    <w:p w14:paraId="4D059444" w14:textId="4C0AA905" w:rsidR="00994A3D" w:rsidRPr="00FB01B2" w:rsidRDefault="00654E8F" w:rsidP="00FB01B2">
      <w:pPr>
        <w:pStyle w:val="berschrift1"/>
        <w:spacing w:before="120"/>
      </w:pPr>
      <w:r w:rsidRPr="00FB01B2">
        <w:lastRenderedPageBreak/>
        <w:t>Supplementary Tables</w:t>
      </w:r>
    </w:p>
    <w:p w14:paraId="2D23E0C6" w14:textId="77777777" w:rsidR="00FB01B2" w:rsidRPr="00FB01B2" w:rsidRDefault="00FB01B2" w:rsidP="00FB01B2">
      <w:pPr>
        <w:jc w:val="both"/>
        <w:rPr>
          <w:rFonts w:cs="Times New Roman"/>
          <w:bCs/>
          <w:szCs w:val="24"/>
        </w:rPr>
      </w:pPr>
      <w:r w:rsidRPr="00FB01B2">
        <w:rPr>
          <w:rFonts w:cs="Times New Roman"/>
          <w:bCs/>
          <w:szCs w:val="24"/>
        </w:rPr>
        <w:t>Please see separate Excel files</w:t>
      </w:r>
    </w:p>
    <w:p w14:paraId="5472E039" w14:textId="77777777" w:rsidR="00FB01B2" w:rsidRPr="00FB01B2" w:rsidRDefault="00FB01B2" w:rsidP="00FB01B2">
      <w:pPr>
        <w:jc w:val="both"/>
        <w:rPr>
          <w:rFonts w:cs="Times New Roman"/>
          <w:b/>
          <w:szCs w:val="24"/>
        </w:rPr>
      </w:pPr>
    </w:p>
    <w:p w14:paraId="5610D1CF" w14:textId="77777777" w:rsidR="00FB01B2" w:rsidRPr="00FB01B2" w:rsidRDefault="00FB01B2" w:rsidP="00FB01B2">
      <w:pPr>
        <w:jc w:val="both"/>
        <w:rPr>
          <w:rFonts w:cs="Times New Roman"/>
          <w:szCs w:val="24"/>
        </w:rPr>
      </w:pPr>
      <w:r w:rsidRPr="00FB01B2">
        <w:rPr>
          <w:rFonts w:cs="Times New Roman"/>
          <w:b/>
          <w:szCs w:val="24"/>
        </w:rPr>
        <w:t xml:space="preserve">Table S1: </w:t>
      </w:r>
      <w:r w:rsidRPr="00FB01B2">
        <w:rPr>
          <w:rFonts w:cs="Times New Roman"/>
          <w:szCs w:val="24"/>
        </w:rPr>
        <w:t>RNA sequencing statistics.</w:t>
      </w:r>
    </w:p>
    <w:p w14:paraId="5E4DC9A4" w14:textId="77777777" w:rsidR="00FB01B2" w:rsidRPr="00FB01B2" w:rsidRDefault="00FB01B2" w:rsidP="00FB01B2">
      <w:pPr>
        <w:jc w:val="both"/>
        <w:rPr>
          <w:rFonts w:cs="Times New Roman"/>
          <w:szCs w:val="24"/>
        </w:rPr>
      </w:pPr>
      <w:r w:rsidRPr="00FB01B2">
        <w:rPr>
          <w:rFonts w:cs="Times New Roman"/>
          <w:b/>
          <w:szCs w:val="24"/>
        </w:rPr>
        <w:t>Table S2:</w:t>
      </w:r>
      <w:r w:rsidRPr="00FB01B2">
        <w:rPr>
          <w:rFonts w:cs="Times New Roman"/>
          <w:szCs w:val="24"/>
        </w:rPr>
        <w:t xml:space="preserve"> RNA sequencing data presented in this publication.</w:t>
      </w:r>
    </w:p>
    <w:p w14:paraId="693D7171" w14:textId="77777777" w:rsidR="00FB01B2" w:rsidRPr="00FB01B2" w:rsidRDefault="00FB01B2" w:rsidP="00FB01B2">
      <w:pPr>
        <w:jc w:val="both"/>
        <w:rPr>
          <w:rFonts w:cs="Times New Roman"/>
          <w:szCs w:val="24"/>
        </w:rPr>
      </w:pPr>
      <w:r w:rsidRPr="00FB01B2">
        <w:rPr>
          <w:rFonts w:cs="Times New Roman"/>
          <w:b/>
          <w:szCs w:val="24"/>
        </w:rPr>
        <w:t>Table S3:</w:t>
      </w:r>
      <w:r w:rsidRPr="00FB01B2">
        <w:rPr>
          <w:rFonts w:cs="Times New Roman"/>
          <w:szCs w:val="24"/>
        </w:rPr>
        <w:t xml:space="preserve"> GO term enrichment analysis of differentially expressed transcripts.</w:t>
      </w:r>
    </w:p>
    <w:p w14:paraId="7535E639" w14:textId="77777777" w:rsidR="00FB01B2" w:rsidRPr="00FB01B2" w:rsidRDefault="00FB01B2" w:rsidP="00FB01B2">
      <w:pPr>
        <w:jc w:val="both"/>
        <w:rPr>
          <w:rFonts w:cs="Times New Roman"/>
          <w:szCs w:val="24"/>
        </w:rPr>
      </w:pPr>
      <w:r w:rsidRPr="00FB01B2">
        <w:rPr>
          <w:rFonts w:cs="Times New Roman"/>
          <w:b/>
          <w:szCs w:val="24"/>
        </w:rPr>
        <w:t>Table S4:</w:t>
      </w:r>
      <w:r w:rsidRPr="00FB01B2">
        <w:rPr>
          <w:rFonts w:cs="Times New Roman"/>
          <w:szCs w:val="24"/>
        </w:rPr>
        <w:t xml:space="preserve"> Statistics for enrichment of affected genes (hypergeometric distributions).</w:t>
      </w:r>
    </w:p>
    <w:p w14:paraId="2FCE014F" w14:textId="77777777" w:rsidR="00FB01B2" w:rsidRPr="00FB01B2" w:rsidRDefault="00FB01B2" w:rsidP="00FB01B2">
      <w:pPr>
        <w:jc w:val="both"/>
        <w:rPr>
          <w:rFonts w:cs="Times New Roman"/>
          <w:szCs w:val="24"/>
        </w:rPr>
      </w:pPr>
      <w:r w:rsidRPr="00FB01B2">
        <w:rPr>
          <w:rFonts w:cs="Times New Roman"/>
          <w:b/>
          <w:bCs/>
          <w:szCs w:val="24"/>
        </w:rPr>
        <w:t>Table S5:</w:t>
      </w:r>
      <w:r w:rsidRPr="00FB01B2">
        <w:rPr>
          <w:rFonts w:cs="Times New Roman"/>
          <w:szCs w:val="24"/>
        </w:rPr>
        <w:t xml:space="preserve"> Heatmaps for metabolism-related expression data.</w:t>
      </w:r>
    </w:p>
    <w:p w14:paraId="0D14FD0F" w14:textId="77777777" w:rsidR="00FB01B2" w:rsidRPr="00FB01B2" w:rsidRDefault="00FB01B2" w:rsidP="00FB01B2">
      <w:pPr>
        <w:jc w:val="both"/>
        <w:rPr>
          <w:rFonts w:cs="Times New Roman"/>
          <w:szCs w:val="24"/>
        </w:rPr>
      </w:pPr>
      <w:r w:rsidRPr="00FB01B2">
        <w:rPr>
          <w:rFonts w:cs="Times New Roman"/>
          <w:b/>
          <w:bCs/>
          <w:szCs w:val="24"/>
        </w:rPr>
        <w:t xml:space="preserve">Table S6: </w:t>
      </w:r>
      <w:r w:rsidRPr="00FB01B2">
        <w:rPr>
          <w:rFonts w:cs="Times New Roman"/>
          <w:szCs w:val="24"/>
        </w:rPr>
        <w:t>Heatmaps for hormone-related expression data.</w:t>
      </w:r>
    </w:p>
    <w:p w14:paraId="793CD541" w14:textId="77777777" w:rsidR="00FB01B2" w:rsidRPr="00FB01B2" w:rsidRDefault="00FB01B2" w:rsidP="00FB01B2">
      <w:pPr>
        <w:jc w:val="both"/>
        <w:rPr>
          <w:rFonts w:cs="Times New Roman"/>
          <w:szCs w:val="24"/>
        </w:rPr>
      </w:pPr>
      <w:r w:rsidRPr="00FB01B2">
        <w:rPr>
          <w:rFonts w:cs="Times New Roman"/>
          <w:b/>
          <w:bCs/>
          <w:szCs w:val="24"/>
        </w:rPr>
        <w:t>Table S7:</w:t>
      </w:r>
      <w:r w:rsidRPr="00FB01B2">
        <w:rPr>
          <w:rFonts w:cs="Times New Roman"/>
          <w:szCs w:val="24"/>
        </w:rPr>
        <w:t xml:space="preserve"> Comparison of the expression data from this publication to data from Guo et al. (2020) and Li et al. (2021).</w:t>
      </w:r>
    </w:p>
    <w:p w14:paraId="2DCE1048" w14:textId="77777777" w:rsidR="00FB01B2" w:rsidRPr="00FB01B2" w:rsidRDefault="00FB01B2" w:rsidP="00FB01B2">
      <w:pPr>
        <w:jc w:val="both"/>
        <w:rPr>
          <w:rFonts w:cs="Times New Roman"/>
          <w:szCs w:val="24"/>
        </w:rPr>
      </w:pPr>
      <w:r w:rsidRPr="00FB01B2">
        <w:rPr>
          <w:rFonts w:cs="Times New Roman"/>
          <w:b/>
          <w:bCs/>
          <w:szCs w:val="24"/>
        </w:rPr>
        <w:t>Table S8:</w:t>
      </w:r>
      <w:r w:rsidRPr="00FB01B2">
        <w:rPr>
          <w:rFonts w:cs="Times New Roman"/>
          <w:szCs w:val="24"/>
        </w:rPr>
        <w:t xml:space="preserve"> Expression data of candidate genes from Zou et al. (2015) and Ding et al. (2020).</w:t>
      </w:r>
    </w:p>
    <w:p w14:paraId="555362C3" w14:textId="77777777" w:rsidR="00FB01B2" w:rsidRPr="00FB01B2" w:rsidRDefault="00FB01B2" w:rsidP="00FB01B2">
      <w:pPr>
        <w:jc w:val="both"/>
        <w:rPr>
          <w:rFonts w:cs="Times New Roman"/>
          <w:szCs w:val="24"/>
        </w:rPr>
      </w:pPr>
    </w:p>
    <w:p w14:paraId="7B65BC41" w14:textId="77777777" w:rsidR="00DE23E8" w:rsidRPr="00FB01B2" w:rsidRDefault="00DE23E8" w:rsidP="00FB01B2">
      <w:pPr>
        <w:rPr>
          <w:rFonts w:cs="Times New Roman"/>
          <w:szCs w:val="24"/>
        </w:rPr>
      </w:pPr>
    </w:p>
    <w:sectPr w:rsidR="00DE23E8" w:rsidRPr="00FB01B2" w:rsidSect="0093429D">
      <w:headerReference w:type="even" r:id="rId19"/>
      <w:footerReference w:type="even" r:id="rId20"/>
      <w:footerReference w:type="default" r:id="rId21"/>
      <w:headerReference w:type="first" r:id="rId2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5C3E" w14:textId="77777777" w:rsidR="00B23027" w:rsidRDefault="00B23027" w:rsidP="00117666">
      <w:pPr>
        <w:spacing w:after="0"/>
      </w:pPr>
      <w:r>
        <w:separator/>
      </w:r>
    </w:p>
  </w:endnote>
  <w:endnote w:type="continuationSeparator" w:id="0">
    <w:p w14:paraId="34760C49" w14:textId="77777777" w:rsidR="00B23027" w:rsidRDefault="00B2302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60963" w14:textId="77777777" w:rsidR="00B23027" w:rsidRDefault="00B23027" w:rsidP="00117666">
      <w:pPr>
        <w:spacing w:after="0"/>
      </w:pPr>
      <w:r>
        <w:separator/>
      </w:r>
    </w:p>
  </w:footnote>
  <w:footnote w:type="continuationSeparator" w:id="0">
    <w:p w14:paraId="47C16C7E" w14:textId="77777777" w:rsidR="00B23027" w:rsidRDefault="00B2302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0A19BC"/>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3027"/>
    <w:rsid w:val="00B25EB8"/>
    <w:rsid w:val="00B37F4D"/>
    <w:rsid w:val="00C1078A"/>
    <w:rsid w:val="00C52A7B"/>
    <w:rsid w:val="00C56BAF"/>
    <w:rsid w:val="00C679AA"/>
    <w:rsid w:val="00C75972"/>
    <w:rsid w:val="00CD066B"/>
    <w:rsid w:val="00CE4FEE"/>
    <w:rsid w:val="00D060CF"/>
    <w:rsid w:val="00DB59C3"/>
    <w:rsid w:val="00DC259A"/>
    <w:rsid w:val="00DE23E8"/>
    <w:rsid w:val="00E00E70"/>
    <w:rsid w:val="00E52377"/>
    <w:rsid w:val="00E537AD"/>
    <w:rsid w:val="00E64E17"/>
    <w:rsid w:val="00E866C9"/>
    <w:rsid w:val="00EA3D3C"/>
    <w:rsid w:val="00EC090A"/>
    <w:rsid w:val="00ED20B5"/>
    <w:rsid w:val="00F24AEE"/>
    <w:rsid w:val="00F46900"/>
    <w:rsid w:val="00F61D89"/>
    <w:rsid w:val="00FB0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6715"/>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AB6715"/>
    <w:pPr>
      <w:numPr>
        <w:ilvl w:val="1"/>
      </w:numPr>
      <w:spacing w:after="200"/>
      <w:outlineLvl w:val="1"/>
    </w:pPr>
  </w:style>
  <w:style w:type="paragraph" w:styleId="berschrift3">
    <w:name w:val="heading 3"/>
    <w:basedOn w:val="Standard"/>
    <w:next w:val="Standard"/>
    <w:link w:val="berschrift3Zchn"/>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AB6715"/>
    <w:pPr>
      <w:numPr>
        <w:ilvl w:val="3"/>
      </w:numPr>
      <w:outlineLvl w:val="3"/>
    </w:pPr>
    <w:rPr>
      <w:iCs/>
    </w:rPr>
  </w:style>
  <w:style w:type="paragraph" w:styleId="berschrift5">
    <w:name w:val="heading 5"/>
    <w:basedOn w:val="berschrift4"/>
    <w:next w:val="Standard"/>
    <w:link w:val="berschrift5Zchn"/>
    <w:uiPriority w:val="2"/>
    <w:qFormat/>
    <w:rsid w:val="00AB6715"/>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semiHidden/>
    <w:unhideWhenUsed/>
    <w:rsid w:val="00AB6715"/>
    <w:rPr>
      <w:sz w:val="20"/>
      <w:szCs w:val="20"/>
    </w:rPr>
  </w:style>
  <w:style w:type="character" w:customStyle="1" w:styleId="KommentartextZchn">
    <w:name w:val="Kommentartext Zchn"/>
    <w:basedOn w:val="Absatz-Standardschriftart"/>
    <w:link w:val="Kommentartext"/>
    <w:uiPriority w:val="99"/>
    <w:semiHidden/>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Absatz-Standardschriftart"/>
    <w:uiPriority w:val="99"/>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12</Pages>
  <Words>745</Words>
  <Characters>4696</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Mustroph, Angelika</cp:lastModifiedBy>
  <cp:revision>6</cp:revision>
  <cp:lastPrinted>2013-10-03T12:51:00Z</cp:lastPrinted>
  <dcterms:created xsi:type="dcterms:W3CDTF">2018-11-23T08:58:00Z</dcterms:created>
  <dcterms:modified xsi:type="dcterms:W3CDTF">2022-03-15T12:48:00Z</dcterms:modified>
</cp:coreProperties>
</file>