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B65BC41" w14:textId="447B25CF" w:rsidR="00DE23E8" w:rsidRDefault="00B53919" w:rsidP="00B53919">
      <w:pPr>
        <w:spacing w:before="240"/>
        <w:jc w:val="center"/>
      </w:pPr>
      <w:r>
        <w:rPr>
          <w:noProof/>
        </w:rPr>
        <w:drawing>
          <wp:inline distT="0" distB="0" distL="0" distR="0" wp14:anchorId="4F34D6B7" wp14:editId="0A09C1C1">
            <wp:extent cx="4739640" cy="6626993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672" cy="663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578E" w14:textId="74E4FE42" w:rsidR="00B53919" w:rsidRDefault="00B53919" w:rsidP="00B53919">
      <w:pPr>
        <w:rPr>
          <w:lang w:val="en-IN"/>
        </w:rPr>
      </w:pPr>
      <w:r w:rsidRPr="00674A8A">
        <w:rPr>
          <w:b/>
          <w:bCs/>
          <w:lang w:val="en-IN"/>
        </w:rPr>
        <w:t>Figure S1</w:t>
      </w:r>
      <w:r w:rsidRPr="00B53919">
        <w:rPr>
          <w:lang w:val="en-IN"/>
        </w:rPr>
        <w:t xml:space="preserve">. Correlation analysis among the samples including ZJ22a, ZJ22b, ZJ22c, </w:t>
      </w:r>
      <w:r w:rsidRPr="00B53919">
        <w:rPr>
          <w:i/>
          <w:iCs/>
        </w:rPr>
        <w:t>zj-es</w:t>
      </w:r>
      <w:r w:rsidRPr="00B53919">
        <w:rPr>
          <w:lang w:val="en-IN"/>
        </w:rPr>
        <w:t>a</w:t>
      </w:r>
      <w:r w:rsidRPr="00B53919">
        <w:t>,</w:t>
      </w:r>
      <w:r>
        <w:t xml:space="preserve"> </w:t>
      </w:r>
      <w:r w:rsidRPr="00B53919">
        <w:rPr>
          <w:i/>
          <w:iCs/>
        </w:rPr>
        <w:t>zj-es</w:t>
      </w:r>
      <w:r w:rsidRPr="00B53919">
        <w:rPr>
          <w:lang w:val="en-IN"/>
        </w:rPr>
        <w:t xml:space="preserve">b and </w:t>
      </w:r>
      <w:r w:rsidRPr="00B53919">
        <w:rPr>
          <w:i/>
          <w:iCs/>
          <w:lang w:val="en-IN"/>
        </w:rPr>
        <w:t>zj-es</w:t>
      </w:r>
      <w:r w:rsidRPr="00B53919">
        <w:rPr>
          <w:lang w:val="en-IN"/>
        </w:rPr>
        <w:t>c. (</w:t>
      </w:r>
      <w:r>
        <w:rPr>
          <w:lang w:val="en-IN"/>
        </w:rPr>
        <w:t>A</w:t>
      </w:r>
      <w:r w:rsidRPr="00B53919">
        <w:rPr>
          <w:lang w:val="en-IN"/>
        </w:rPr>
        <w:t>) The correlation coefficient between each pair of samples showing the biological repeatability. The color intensity represents the p-value. (</w:t>
      </w:r>
      <w:r>
        <w:rPr>
          <w:lang w:val="en-IN"/>
        </w:rPr>
        <w:t>B</w:t>
      </w:r>
      <w:r w:rsidRPr="00B53919">
        <w:rPr>
          <w:lang w:val="en-IN"/>
        </w:rPr>
        <w:t>) Principal component analysis (PCA) showing the correlation among samples at the level of two PCs</w:t>
      </w:r>
      <w:r>
        <w:rPr>
          <w:lang w:val="en-IN"/>
        </w:rPr>
        <w:t>.</w:t>
      </w:r>
    </w:p>
    <w:p w14:paraId="0FFB22D7" w14:textId="402783BB" w:rsidR="00B53919" w:rsidRDefault="00B53919" w:rsidP="00B53919">
      <w:pPr>
        <w:jc w:val="center"/>
        <w:rPr>
          <w:lang w:val="en-IN"/>
        </w:rPr>
      </w:pPr>
      <w:r>
        <w:rPr>
          <w:noProof/>
          <w:lang w:val="en-IN"/>
        </w:rPr>
        <w:lastRenderedPageBreak/>
        <w:drawing>
          <wp:inline distT="0" distB="0" distL="0" distR="0" wp14:anchorId="5B067485" wp14:editId="61D0DEDA">
            <wp:extent cx="4589362" cy="2308529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256" cy="231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DEAA" w14:textId="26996481" w:rsidR="00B53919" w:rsidRPr="00B53919" w:rsidRDefault="007A52DB" w:rsidP="00B53919">
      <w:pPr>
        <w:rPr>
          <w:lang w:val="en-IN"/>
        </w:rPr>
      </w:pPr>
      <w:r w:rsidRPr="00674A8A">
        <w:rPr>
          <w:b/>
          <w:bCs/>
          <w:lang w:val="en-IN"/>
        </w:rPr>
        <w:t>Figure S2</w:t>
      </w:r>
      <w:r>
        <w:rPr>
          <w:lang w:val="en-IN"/>
        </w:rPr>
        <w:t>.</w:t>
      </w:r>
      <w:r w:rsidRPr="007A52DB">
        <w:rPr>
          <w:lang w:val="en-IN"/>
        </w:rPr>
        <w:t xml:space="preserve"> The number of significantly regulated genes of miRNA.</w:t>
      </w:r>
    </w:p>
    <w:p w14:paraId="5AA2F7FD" w14:textId="0596F4D3" w:rsidR="007A52DB" w:rsidRDefault="007A52DB" w:rsidP="007A52DB">
      <w:pPr>
        <w:spacing w:before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1206CE" wp14:editId="28786BD8">
            <wp:extent cx="6462273" cy="61906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20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6014" w14:textId="6C52113B" w:rsidR="007A52DB" w:rsidRDefault="007A52DB" w:rsidP="007A52DB">
      <w:pPr>
        <w:ind w:firstLineChars="200" w:firstLine="482"/>
        <w:jc w:val="both"/>
      </w:pPr>
      <w:r w:rsidRPr="00674A8A">
        <w:rPr>
          <w:b/>
          <w:bCs/>
        </w:rPr>
        <w:t>Figure S3</w:t>
      </w:r>
      <w:r>
        <w:t>.</w:t>
      </w:r>
      <w:r w:rsidRPr="007A52DB">
        <w:t xml:space="preserve"> Scatter plot of miRNA for gene expression levels in each comparison group.</w:t>
      </w:r>
    </w:p>
    <w:p w14:paraId="236BF2A8" w14:textId="7F48D1FF" w:rsidR="000E1A43" w:rsidRPr="000E1A43" w:rsidRDefault="000E1A43" w:rsidP="000E1A43"/>
    <w:p w14:paraId="27AD21F8" w14:textId="37FCE429" w:rsidR="000E1A43" w:rsidRPr="000E1A43" w:rsidRDefault="000E1A43" w:rsidP="000E1A43"/>
    <w:p w14:paraId="7BC9D427" w14:textId="08DCE584" w:rsidR="000E1A43" w:rsidRPr="000E1A43" w:rsidRDefault="000E1A43" w:rsidP="000E1A43"/>
    <w:p w14:paraId="1D5DAA7C" w14:textId="2D620CFF" w:rsidR="000E1A43" w:rsidRDefault="000E1A43" w:rsidP="000E1A43"/>
    <w:p w14:paraId="25996416" w14:textId="08A1647B" w:rsidR="000E1A43" w:rsidRDefault="000E1A43" w:rsidP="000E1A43">
      <w:pPr>
        <w:ind w:firstLineChars="200" w:firstLine="480"/>
      </w:pPr>
    </w:p>
    <w:p w14:paraId="329876E9" w14:textId="1E169347" w:rsidR="000E1A43" w:rsidRDefault="000E1A43" w:rsidP="000E1A43">
      <w:pPr>
        <w:ind w:firstLineChars="200" w:firstLine="480"/>
      </w:pPr>
    </w:p>
    <w:p w14:paraId="631CBAF8" w14:textId="6907F3BB" w:rsidR="000E1A43" w:rsidRDefault="000E1A43" w:rsidP="000E1A43">
      <w:pPr>
        <w:ind w:firstLineChars="200" w:firstLine="480"/>
        <w:jc w:val="center"/>
      </w:pPr>
      <w:r>
        <w:rPr>
          <w:noProof/>
        </w:rPr>
        <w:lastRenderedPageBreak/>
        <w:drawing>
          <wp:inline distT="0" distB="0" distL="0" distR="0" wp14:anchorId="4C64F11D" wp14:editId="0EA0EE75">
            <wp:extent cx="5844809" cy="75742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641" cy="758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37C7" w14:textId="77777777" w:rsidR="000E1A43" w:rsidRDefault="000E1A43" w:rsidP="000E1A43">
      <w:pPr>
        <w:ind w:firstLineChars="200" w:firstLine="480"/>
        <w:jc w:val="center"/>
      </w:pPr>
    </w:p>
    <w:p w14:paraId="3A3FAEDC" w14:textId="66ED6152" w:rsidR="000E1A43" w:rsidRDefault="000E1A43" w:rsidP="000E1A43">
      <w:pPr>
        <w:ind w:firstLineChars="200" w:firstLine="482"/>
      </w:pPr>
      <w:r w:rsidRPr="00674A8A">
        <w:rPr>
          <w:b/>
          <w:bCs/>
        </w:rPr>
        <w:t>Figure S4</w:t>
      </w:r>
      <w:r w:rsidRPr="000E1A43">
        <w:t>. GO enrichment of DEmRNAs.</w:t>
      </w:r>
    </w:p>
    <w:p w14:paraId="6281A630" w14:textId="22D15B74" w:rsidR="000E1A43" w:rsidRDefault="000E1A43" w:rsidP="000E1A43"/>
    <w:p w14:paraId="54AE26B7" w14:textId="20010E82" w:rsidR="000E1A43" w:rsidRDefault="000E1A43" w:rsidP="00477063">
      <w:pPr>
        <w:ind w:firstLineChars="200" w:firstLine="480"/>
        <w:jc w:val="both"/>
      </w:pPr>
      <w:r>
        <w:rPr>
          <w:noProof/>
        </w:rPr>
        <w:drawing>
          <wp:inline distT="0" distB="0" distL="0" distR="0" wp14:anchorId="6396539C" wp14:editId="2FA65540">
            <wp:extent cx="5972031" cy="470090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268" cy="47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F0DD" w14:textId="77777777" w:rsidR="00477063" w:rsidRPr="00A53030" w:rsidRDefault="00477063" w:rsidP="00477063">
      <w:pPr>
        <w:rPr>
          <w:rFonts w:eastAsia="等线" w:cs="Times New Roman"/>
        </w:rPr>
      </w:pPr>
      <w:r w:rsidRPr="00674A8A">
        <w:rPr>
          <w:rFonts w:eastAsia="等线" w:cs="Times New Roman"/>
          <w:b/>
          <w:bCs/>
        </w:rPr>
        <w:t>Figure S5</w:t>
      </w:r>
      <w:r w:rsidRPr="00A53030">
        <w:rPr>
          <w:rFonts w:eastAsia="等线" w:cs="Times New Roman"/>
        </w:rPr>
        <w:t xml:space="preserve">. </w:t>
      </w:r>
      <w:r>
        <w:rPr>
          <w:rFonts w:eastAsia="等线" w:cs="Times New Roman"/>
        </w:rPr>
        <w:t>KEGG</w:t>
      </w:r>
      <w:r w:rsidRPr="00A53030">
        <w:rPr>
          <w:rFonts w:eastAsia="等线" w:cs="Times New Roman"/>
        </w:rPr>
        <w:t xml:space="preserve"> enrichment </w:t>
      </w:r>
      <w:r w:rsidRPr="0062317F">
        <w:rPr>
          <w:rFonts w:eastAsia="等线" w:cs="Times New Roman"/>
        </w:rPr>
        <w:t>of DEmRNAs</w:t>
      </w:r>
      <w:r>
        <w:rPr>
          <w:rFonts w:eastAsia="等线" w:cs="Times New Roman"/>
        </w:rPr>
        <w:t>.</w:t>
      </w:r>
    </w:p>
    <w:p w14:paraId="3F935406" w14:textId="120B34BD" w:rsidR="000E1A43" w:rsidRDefault="000E1A43" w:rsidP="000E1A43">
      <w:pPr>
        <w:ind w:firstLineChars="200" w:firstLine="480"/>
      </w:pPr>
    </w:p>
    <w:p w14:paraId="52F2DFDF" w14:textId="4A83441B" w:rsidR="000E1A43" w:rsidRDefault="000E1A43" w:rsidP="000E1A43">
      <w:pPr>
        <w:ind w:firstLineChars="200" w:firstLine="480"/>
      </w:pPr>
    </w:p>
    <w:p w14:paraId="28D88E56" w14:textId="16D93A82" w:rsidR="000E1A43" w:rsidRDefault="000E1A43" w:rsidP="000E1A43">
      <w:pPr>
        <w:ind w:firstLineChars="200" w:firstLine="480"/>
      </w:pPr>
    </w:p>
    <w:p w14:paraId="26A648B9" w14:textId="54409D39" w:rsidR="000E1A43" w:rsidRDefault="000E1A43" w:rsidP="000E1A43">
      <w:pPr>
        <w:ind w:firstLineChars="200" w:firstLine="480"/>
      </w:pPr>
    </w:p>
    <w:p w14:paraId="4DDC8081" w14:textId="1F3AA4D0" w:rsidR="000E1A43" w:rsidRDefault="000E1A43" w:rsidP="000E1A43">
      <w:pPr>
        <w:ind w:firstLineChars="200" w:firstLine="480"/>
      </w:pPr>
    </w:p>
    <w:p w14:paraId="27D19223" w14:textId="2DE002A3" w:rsidR="000E1A43" w:rsidRDefault="000E1A43" w:rsidP="000E1A43">
      <w:pPr>
        <w:ind w:firstLineChars="200" w:firstLine="480"/>
      </w:pPr>
    </w:p>
    <w:p w14:paraId="05D1EA5B" w14:textId="61184EF1" w:rsidR="000E1A43" w:rsidRDefault="000E1A43" w:rsidP="000E1A43">
      <w:pPr>
        <w:ind w:firstLineChars="200" w:firstLine="480"/>
      </w:pPr>
    </w:p>
    <w:p w14:paraId="5703A717" w14:textId="77777777" w:rsidR="000E1A43" w:rsidRPr="000E1A43" w:rsidRDefault="000E1A43" w:rsidP="00477063"/>
    <w:p w14:paraId="7F622A18" w14:textId="502309F4" w:rsidR="007A52DB" w:rsidRDefault="00305BEA" w:rsidP="00305BEA">
      <w:pPr>
        <w:ind w:firstLineChars="200" w:firstLine="480"/>
      </w:pPr>
      <w:r>
        <w:rPr>
          <w:noProof/>
        </w:rPr>
        <w:lastRenderedPageBreak/>
        <w:drawing>
          <wp:inline distT="0" distB="0" distL="0" distR="0" wp14:anchorId="18550641" wp14:editId="2488876A">
            <wp:extent cx="6316700" cy="5024544"/>
            <wp:effectExtent l="0" t="0" r="825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825" cy="504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1A61" w14:textId="6D83008D" w:rsidR="00305BEA" w:rsidRPr="00305BEA" w:rsidRDefault="00305BEA" w:rsidP="00305BEA">
      <w:pPr>
        <w:ind w:firstLineChars="200" w:firstLine="482"/>
      </w:pPr>
      <w:r w:rsidRPr="00674A8A">
        <w:rPr>
          <w:b/>
          <w:bCs/>
        </w:rPr>
        <w:t>Figure S</w:t>
      </w:r>
      <w:r w:rsidR="00477063" w:rsidRPr="00674A8A">
        <w:rPr>
          <w:b/>
          <w:bCs/>
        </w:rPr>
        <w:t>6</w:t>
      </w:r>
      <w:r>
        <w:t xml:space="preserve">. </w:t>
      </w:r>
      <w:r w:rsidRPr="00305BEA">
        <w:t>KEGG enrichment of target of DEmRNAs.</w:t>
      </w:r>
    </w:p>
    <w:p w14:paraId="6B41A3B7" w14:textId="77777777" w:rsidR="00305BEA" w:rsidRPr="007A52DB" w:rsidRDefault="00305BEA" w:rsidP="00305BEA">
      <w:pPr>
        <w:ind w:firstLineChars="200" w:firstLine="480"/>
      </w:pPr>
    </w:p>
    <w:p w14:paraId="4848C404" w14:textId="33DDDED9" w:rsidR="007A52DB" w:rsidRDefault="00305BEA" w:rsidP="00305BEA">
      <w:pPr>
        <w:ind w:firstLineChars="200" w:firstLine="480"/>
        <w:jc w:val="center"/>
      </w:pPr>
      <w:r>
        <w:rPr>
          <w:noProof/>
        </w:rPr>
        <w:lastRenderedPageBreak/>
        <w:drawing>
          <wp:inline distT="0" distB="0" distL="0" distR="0" wp14:anchorId="64AE300C" wp14:editId="07286601">
            <wp:extent cx="5600982" cy="569951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101" cy="571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044B" w14:textId="20E85778" w:rsidR="00305BEA" w:rsidRDefault="004077D2" w:rsidP="004077D2">
      <w:r w:rsidRPr="00674A8A">
        <w:rPr>
          <w:b/>
          <w:bCs/>
        </w:rPr>
        <w:t>Figure S</w:t>
      </w:r>
      <w:r w:rsidR="00AB4EAE" w:rsidRPr="00674A8A">
        <w:rPr>
          <w:b/>
          <w:bCs/>
        </w:rPr>
        <w:t>7</w:t>
      </w:r>
      <w:r>
        <w:t xml:space="preserve">. </w:t>
      </w:r>
      <w:r w:rsidRPr="00515D19">
        <w:t>Sample expression pattern</w:t>
      </w:r>
      <w:r>
        <w:t>:</w:t>
      </w:r>
      <w:r w:rsidRPr="004077D2">
        <w:t xml:space="preserve"> </w:t>
      </w:r>
      <w:r>
        <w:t>h</w:t>
      </w:r>
      <w:r w:rsidRPr="00515D19">
        <w:t>eat map showing the sample expression patterns in the modules.</w:t>
      </w:r>
    </w:p>
    <w:p w14:paraId="0C705AEF" w14:textId="3E648AE4" w:rsidR="00674A8A" w:rsidRDefault="00674A8A" w:rsidP="004077D2">
      <w:r>
        <w:rPr>
          <w:noProof/>
        </w:rPr>
        <w:lastRenderedPageBreak/>
        <w:drawing>
          <wp:inline distT="0" distB="0" distL="0" distR="0" wp14:anchorId="19253B94" wp14:editId="69C8CA94">
            <wp:extent cx="6208395" cy="5730875"/>
            <wp:effectExtent l="0" t="0" r="190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3594" w14:textId="396489AC" w:rsidR="00674A8A" w:rsidRDefault="00674A8A" w:rsidP="004077D2">
      <w:r w:rsidRPr="00674A8A">
        <w:rPr>
          <w:b/>
          <w:bCs/>
        </w:rPr>
        <w:t xml:space="preserve">Figure </w:t>
      </w:r>
      <w:r w:rsidRPr="00674A8A">
        <w:rPr>
          <w:b/>
          <w:bCs/>
        </w:rPr>
        <w:t>S8</w:t>
      </w:r>
      <w:r w:rsidRPr="00674A8A">
        <w:t>. Regulatory network analysis of transcription factors-target genes. Red nodes represent transcription factors.</w:t>
      </w:r>
    </w:p>
    <w:p w14:paraId="02D8550C" w14:textId="789118C0" w:rsidR="007027E5" w:rsidRDefault="00877AE8" w:rsidP="00877AE8">
      <w:pPr>
        <w:jc w:val="center"/>
      </w:pPr>
      <w:r>
        <w:rPr>
          <w:noProof/>
        </w:rPr>
        <w:lastRenderedPageBreak/>
        <w:drawing>
          <wp:inline distT="0" distB="0" distL="0" distR="0" wp14:anchorId="42202962" wp14:editId="2D4CDB98">
            <wp:extent cx="5034215" cy="5503292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793" cy="55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8957" w14:textId="6C67A694" w:rsidR="00877AE8" w:rsidRDefault="00877AE8" w:rsidP="00877A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34004" wp14:editId="47AA540F">
                <wp:simplePos x="0" y="0"/>
                <wp:positionH relativeFrom="column">
                  <wp:posOffset>48364</wp:posOffset>
                </wp:positionH>
                <wp:positionV relativeFrom="paragraph">
                  <wp:posOffset>-90966</wp:posOffset>
                </wp:positionV>
                <wp:extent cx="312517" cy="497712"/>
                <wp:effectExtent l="0" t="0" r="11430" b="1714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17" cy="4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CBCBE1" w14:textId="34D3F8D3" w:rsidR="00877AE8" w:rsidRPr="00877AE8" w:rsidRDefault="00877AE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877AE8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34004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3.8pt;margin-top:-7.15pt;width:24.6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" fillcolor="white [3201]" strokecolor="white [3212]" strokeweight=".5pt">
                <v:textbox>
                  <w:txbxContent>
                    <w:p w14:paraId="75CBCBE1" w14:textId="34D3F8D3" w:rsidR="00877AE8" w:rsidRPr="00877AE8" w:rsidRDefault="00877AE8">
                      <w:pP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 w:rsidRPr="00877AE8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7639F2" wp14:editId="27018E42">
            <wp:extent cx="5586509" cy="790716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"/>
                    <a:stretch/>
                  </pic:blipFill>
                  <pic:spPr bwMode="auto">
                    <a:xfrm>
                      <a:off x="0" y="0"/>
                      <a:ext cx="5588382" cy="790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E6184" w14:textId="27D3BD87" w:rsidR="00877AE8" w:rsidRDefault="008D733C" w:rsidP="00877AE8">
      <w:pPr>
        <w:jc w:val="center"/>
      </w:pPr>
      <w:r>
        <w:rPr>
          <w:noProof/>
        </w:rPr>
        <w:lastRenderedPageBreak/>
        <w:drawing>
          <wp:inline distT="0" distB="0" distL="0" distR="0" wp14:anchorId="78DA8AAF" wp14:editId="5031F6BE">
            <wp:extent cx="5480613" cy="5443055"/>
            <wp:effectExtent l="0" t="0" r="635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016" cy="544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AA1B" w14:textId="4F044A2F" w:rsidR="008D733C" w:rsidRDefault="008D733C" w:rsidP="00877AE8">
      <w:pPr>
        <w:jc w:val="center"/>
      </w:pPr>
      <w:r>
        <w:rPr>
          <w:noProof/>
        </w:rPr>
        <w:lastRenderedPageBreak/>
        <w:drawing>
          <wp:inline distT="0" distB="0" distL="0" distR="0" wp14:anchorId="729ED718" wp14:editId="4C7F6539">
            <wp:extent cx="6208395" cy="620014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14A1" w14:textId="302D3E69" w:rsidR="00587D4D" w:rsidRPr="00587D4D" w:rsidRDefault="00587D4D" w:rsidP="00587D4D">
      <w:pPr>
        <w:pStyle w:val="MDPI51figurecaption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587D4D">
        <w:rPr>
          <w:rFonts w:ascii="Times New Roman" w:hAnsi="Times New Roman"/>
          <w:b/>
          <w:sz w:val="24"/>
          <w:szCs w:val="24"/>
        </w:rPr>
        <w:t>Figure S</w:t>
      </w:r>
      <w:r w:rsidR="00674A8A">
        <w:rPr>
          <w:rFonts w:ascii="Times New Roman" w:eastAsiaTheme="minorEastAsia" w:hAnsi="Times New Roman"/>
          <w:b/>
          <w:sz w:val="24"/>
          <w:szCs w:val="24"/>
          <w:lang w:eastAsia="zh-CN"/>
        </w:rPr>
        <w:t>9</w:t>
      </w:r>
      <w:r w:rsidRPr="00587D4D">
        <w:rPr>
          <w:rFonts w:ascii="Times New Roman" w:hAnsi="Times New Roman"/>
          <w:sz w:val="24"/>
          <w:szCs w:val="24"/>
        </w:rPr>
        <w:t xml:space="preserve">. The pathways of </w:t>
      </w:r>
      <w:bookmarkStart w:id="0" w:name="OLE_LINK9"/>
      <w:r>
        <w:rPr>
          <w:rFonts w:ascii="Times New Roman" w:hAnsi="Times New Roman"/>
          <w:sz w:val="24"/>
          <w:szCs w:val="24"/>
        </w:rPr>
        <w:t>p</w:t>
      </w:r>
      <w:r w:rsidRPr="00587D4D">
        <w:rPr>
          <w:rFonts w:ascii="Times New Roman" w:hAnsi="Times New Roman"/>
          <w:sz w:val="24"/>
          <w:szCs w:val="24"/>
        </w:rPr>
        <w:t>eroxisomes</w:t>
      </w:r>
      <w:bookmarkEnd w:id="0"/>
      <w:r w:rsidRPr="00587D4D">
        <w:rPr>
          <w:rFonts w:ascii="Times New Roman" w:hAnsi="Times New Roman"/>
          <w:sz w:val="24"/>
          <w:szCs w:val="24"/>
        </w:rPr>
        <w:t xml:space="preserve"> (</w:t>
      </w:r>
      <w:r w:rsidR="00420CEA">
        <w:rPr>
          <w:rFonts w:ascii="Times New Roman" w:hAnsi="Times New Roman"/>
          <w:sz w:val="24"/>
          <w:szCs w:val="24"/>
        </w:rPr>
        <w:t>A</w:t>
      </w:r>
      <w:r w:rsidRPr="00587D4D">
        <w:rPr>
          <w:rFonts w:ascii="Times New Roman" w:hAnsi="Times New Roman"/>
          <w:sz w:val="24"/>
          <w:szCs w:val="24"/>
        </w:rPr>
        <w:t>)</w:t>
      </w:r>
      <w:r w:rsidRPr="00587D4D">
        <w:rPr>
          <w:rFonts w:ascii="Times New Roman" w:eastAsiaTheme="minorEastAsia" w:hAnsi="Times New Roman"/>
          <w:sz w:val="24"/>
          <w:szCs w:val="24"/>
          <w:lang w:eastAsia="zh-CN"/>
        </w:rPr>
        <w:t>;</w:t>
      </w:r>
      <w:r w:rsidRPr="00587D4D">
        <w:rPr>
          <w:rFonts w:ascii="Times New Roman" w:hAnsi="Times New Roman"/>
          <w:sz w:val="24"/>
          <w:szCs w:val="24"/>
        </w:rPr>
        <w:t xml:space="preserve"> autophagy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587D4D">
        <w:rPr>
          <w:rFonts w:ascii="Times New Roman" w:hAnsi="Times New Roman"/>
          <w:sz w:val="24"/>
          <w:szCs w:val="24"/>
        </w:rPr>
        <w:t>phagosome (</w:t>
      </w:r>
      <w:r w:rsidR="00420CEA">
        <w:rPr>
          <w:rFonts w:ascii="Times New Roman" w:hAnsi="Times New Roman"/>
          <w:sz w:val="24"/>
          <w:szCs w:val="24"/>
        </w:rPr>
        <w:t>B</w:t>
      </w:r>
      <w:r w:rsidRPr="00587D4D">
        <w:rPr>
          <w:rFonts w:ascii="Times New Roman" w:hAnsi="Times New Roman"/>
          <w:sz w:val="24"/>
          <w:szCs w:val="24"/>
        </w:rPr>
        <w:t>)</w:t>
      </w:r>
      <w:r w:rsidRPr="00587D4D">
        <w:rPr>
          <w:rFonts w:ascii="Times New Roman" w:eastAsiaTheme="minorEastAsia" w:hAnsi="Times New Roman"/>
          <w:sz w:val="24"/>
          <w:szCs w:val="24"/>
          <w:lang w:eastAsia="zh-CN"/>
        </w:rPr>
        <w:t>;</w:t>
      </w:r>
      <w:r w:rsidRPr="00587D4D">
        <w:rPr>
          <w:rFonts w:ascii="Times New Roman" w:hAnsi="Times New Roman"/>
          <w:sz w:val="24"/>
          <w:szCs w:val="24"/>
        </w:rPr>
        <w:t xml:space="preserve"> endocytosis (</w:t>
      </w:r>
      <w:r w:rsidR="00420CEA">
        <w:rPr>
          <w:rFonts w:ascii="Times New Roman" w:eastAsiaTheme="minorEastAsia" w:hAnsi="Times New Roman"/>
          <w:sz w:val="24"/>
          <w:szCs w:val="24"/>
          <w:lang w:eastAsia="zh-CN"/>
        </w:rPr>
        <w:t>C</w:t>
      </w:r>
      <w:r w:rsidRPr="00587D4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  <w:r w:rsidRPr="00587D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 w:rsidRPr="00587D4D">
        <w:rPr>
          <w:rFonts w:ascii="Times New Roman" w:hAnsi="Times New Roman"/>
          <w:sz w:val="24"/>
          <w:szCs w:val="24"/>
        </w:rPr>
        <w:t>ubiquitin mediated proteolysis</w:t>
      </w:r>
      <w:r w:rsidR="00674A8A">
        <w:rPr>
          <w:rFonts w:ascii="Times New Roman" w:hAnsi="Times New Roman"/>
          <w:sz w:val="24"/>
          <w:szCs w:val="24"/>
        </w:rPr>
        <w:t xml:space="preserve"> </w:t>
      </w:r>
      <w:r w:rsidR="00420CEA" w:rsidRPr="00587D4D">
        <w:rPr>
          <w:rFonts w:ascii="Times New Roman" w:hAnsi="Times New Roman"/>
          <w:sz w:val="24"/>
          <w:szCs w:val="24"/>
        </w:rPr>
        <w:t>(</w:t>
      </w:r>
      <w:r w:rsidR="00420CEA">
        <w:rPr>
          <w:rFonts w:ascii="Times New Roman" w:eastAsiaTheme="minorEastAsia" w:hAnsi="Times New Roman"/>
          <w:sz w:val="24"/>
          <w:szCs w:val="24"/>
          <w:lang w:eastAsia="zh-CN"/>
        </w:rPr>
        <w:t>D</w:t>
      </w:r>
      <w:r w:rsidR="00420CEA" w:rsidRPr="00587D4D">
        <w:rPr>
          <w:rFonts w:ascii="Times New Roman" w:hAnsi="Times New Roman"/>
          <w:sz w:val="24"/>
          <w:szCs w:val="24"/>
        </w:rPr>
        <w:t>)</w:t>
      </w:r>
      <w:r w:rsidRPr="00587D4D">
        <w:rPr>
          <w:rFonts w:ascii="Times New Roman" w:hAnsi="Times New Roman"/>
          <w:sz w:val="24"/>
          <w:szCs w:val="24"/>
        </w:rPr>
        <w:t xml:space="preserve"> enriched by KEGG analysis. The KEGG pathway database is gained from Kanehisa laboratories.</w:t>
      </w:r>
    </w:p>
    <w:p w14:paraId="35F35F07" w14:textId="77777777" w:rsidR="004077D2" w:rsidRPr="007A52DB" w:rsidRDefault="004077D2" w:rsidP="004077D2"/>
    <w:sectPr w:rsidR="004077D2" w:rsidRPr="007A52DB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1AFA5" w14:textId="77777777" w:rsidR="002F3144" w:rsidRDefault="002F3144" w:rsidP="00117666">
      <w:pPr>
        <w:spacing w:after="0"/>
      </w:pPr>
      <w:r>
        <w:separator/>
      </w:r>
    </w:p>
  </w:endnote>
  <w:endnote w:type="continuationSeparator" w:id="0">
    <w:p w14:paraId="10542C9F" w14:textId="77777777" w:rsidR="002F3144" w:rsidRDefault="002F31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B03C2" w14:textId="77777777" w:rsidR="002F3144" w:rsidRDefault="002F3144" w:rsidP="00117666">
      <w:pPr>
        <w:spacing w:after="0"/>
      </w:pPr>
      <w:r>
        <w:separator/>
      </w:r>
    </w:p>
  </w:footnote>
  <w:footnote w:type="continuationSeparator" w:id="0">
    <w:p w14:paraId="507C77CF" w14:textId="77777777" w:rsidR="002F3144" w:rsidRDefault="002F31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E1A43"/>
    <w:rsid w:val="00105FD9"/>
    <w:rsid w:val="00117666"/>
    <w:rsid w:val="00126CA3"/>
    <w:rsid w:val="001549D3"/>
    <w:rsid w:val="00160065"/>
    <w:rsid w:val="00177D84"/>
    <w:rsid w:val="002203FE"/>
    <w:rsid w:val="00267D18"/>
    <w:rsid w:val="00274347"/>
    <w:rsid w:val="002868E2"/>
    <w:rsid w:val="002869C3"/>
    <w:rsid w:val="002936E4"/>
    <w:rsid w:val="002B4A57"/>
    <w:rsid w:val="002C74CA"/>
    <w:rsid w:val="002F3144"/>
    <w:rsid w:val="00305BEA"/>
    <w:rsid w:val="003123F4"/>
    <w:rsid w:val="003544FB"/>
    <w:rsid w:val="003C65EB"/>
    <w:rsid w:val="003D2F2D"/>
    <w:rsid w:val="00401590"/>
    <w:rsid w:val="004077D2"/>
    <w:rsid w:val="00420CEA"/>
    <w:rsid w:val="00447801"/>
    <w:rsid w:val="00452E9C"/>
    <w:rsid w:val="004735C8"/>
    <w:rsid w:val="00477063"/>
    <w:rsid w:val="004947A6"/>
    <w:rsid w:val="004961FF"/>
    <w:rsid w:val="00517A89"/>
    <w:rsid w:val="005250F2"/>
    <w:rsid w:val="00537A4F"/>
    <w:rsid w:val="005758BF"/>
    <w:rsid w:val="00587D4D"/>
    <w:rsid w:val="00593EEA"/>
    <w:rsid w:val="005A5EEE"/>
    <w:rsid w:val="006375C7"/>
    <w:rsid w:val="00654E8F"/>
    <w:rsid w:val="00660D05"/>
    <w:rsid w:val="00674A8A"/>
    <w:rsid w:val="006820B1"/>
    <w:rsid w:val="006B7D14"/>
    <w:rsid w:val="00701727"/>
    <w:rsid w:val="007027E5"/>
    <w:rsid w:val="0070566C"/>
    <w:rsid w:val="00714C50"/>
    <w:rsid w:val="00725A7D"/>
    <w:rsid w:val="007501BE"/>
    <w:rsid w:val="00790BB3"/>
    <w:rsid w:val="007A52DB"/>
    <w:rsid w:val="007C206C"/>
    <w:rsid w:val="00817DD6"/>
    <w:rsid w:val="0083759F"/>
    <w:rsid w:val="0085146F"/>
    <w:rsid w:val="00877AE8"/>
    <w:rsid w:val="00885156"/>
    <w:rsid w:val="008D733C"/>
    <w:rsid w:val="009151AA"/>
    <w:rsid w:val="0093429D"/>
    <w:rsid w:val="00943573"/>
    <w:rsid w:val="00964134"/>
    <w:rsid w:val="00970F7D"/>
    <w:rsid w:val="00994A3D"/>
    <w:rsid w:val="009C2B12"/>
    <w:rsid w:val="00A174D9"/>
    <w:rsid w:val="00A521AE"/>
    <w:rsid w:val="00AA4D24"/>
    <w:rsid w:val="00AB4EAE"/>
    <w:rsid w:val="00AB6715"/>
    <w:rsid w:val="00B1671E"/>
    <w:rsid w:val="00B25EB8"/>
    <w:rsid w:val="00B30128"/>
    <w:rsid w:val="00B37F4D"/>
    <w:rsid w:val="00B53919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2C9C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DPI51figurecaption">
    <w:name w:val="MDPI_5.1_figure_caption"/>
    <w:basedOn w:val="a0"/>
    <w:qFormat/>
    <w:rsid w:val="00587D4D"/>
    <w:pPr>
      <w:adjustRightInd w:val="0"/>
      <w:snapToGrid w:val="0"/>
      <w:spacing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491</TotalTime>
  <Pages>12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孙佳 孙佳</cp:lastModifiedBy>
  <cp:revision>8</cp:revision>
  <cp:lastPrinted>2013-10-03T12:51:00Z</cp:lastPrinted>
  <dcterms:created xsi:type="dcterms:W3CDTF">2018-11-23T08:58:00Z</dcterms:created>
  <dcterms:modified xsi:type="dcterms:W3CDTF">2022-03-08T13:35:00Z</dcterms:modified>
</cp:coreProperties>
</file>