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5C0D" w14:textId="3D7CBE16" w:rsidR="004956DB" w:rsidRPr="004956DB" w:rsidRDefault="004956DB" w:rsidP="004956DB">
      <w:pPr>
        <w:spacing w:line="480" w:lineRule="auto"/>
        <w:jc w:val="center"/>
        <w:rPr>
          <w:rFonts w:ascii="Times New Roman" w:hAnsi="Times New Roman"/>
          <w:b/>
          <w:sz w:val="24"/>
          <w:lang w:val="en-GB"/>
        </w:rPr>
      </w:pPr>
      <w:r w:rsidRPr="004956DB">
        <w:rPr>
          <w:rFonts w:ascii="Times New Roman" w:hAnsi="Times New Roman"/>
          <w:b/>
          <w:sz w:val="24"/>
          <w:lang w:val="en-GB"/>
        </w:rPr>
        <w:t xml:space="preserve">Supplementary </w:t>
      </w:r>
      <w:r w:rsidRPr="004956DB">
        <w:rPr>
          <w:rFonts w:ascii="Times New Roman" w:eastAsia="Yu Mincho" w:hAnsi="Times New Roman"/>
          <w:b/>
          <w:sz w:val="24"/>
          <w:lang w:val="en-GB" w:eastAsia="ja-JP"/>
        </w:rPr>
        <w:t>Information</w:t>
      </w:r>
      <w:r w:rsidR="001D66E9">
        <w:rPr>
          <w:rFonts w:ascii="Times New Roman" w:eastAsia="Yu Mincho" w:hAnsi="Times New Roman"/>
          <w:b/>
          <w:sz w:val="24"/>
          <w:lang w:val="en-GB" w:eastAsia="ja-JP"/>
        </w:rPr>
        <w:t xml:space="preserve"> </w:t>
      </w:r>
    </w:p>
    <w:p w14:paraId="184FFBE4" w14:textId="7C3C2F7A" w:rsidR="00615880" w:rsidRDefault="00615880" w:rsidP="004956DB">
      <w:pPr>
        <w:spacing w:line="360" w:lineRule="auto"/>
        <w:rPr>
          <w:rFonts w:ascii="Times New Roman" w:hAnsi="Times New Roman"/>
          <w:b/>
          <w:bCs/>
          <w:sz w:val="24"/>
        </w:rPr>
      </w:pPr>
      <w:r>
        <w:rPr>
          <w:rFonts w:ascii="Times New Roman" w:hAnsi="Times New Roman"/>
          <w:b/>
          <w:bCs/>
          <w:sz w:val="24"/>
        </w:rPr>
        <w:t xml:space="preserve">1 </w:t>
      </w:r>
      <w:r w:rsidRPr="00615880">
        <w:rPr>
          <w:rFonts w:ascii="Times New Roman" w:hAnsi="Times New Roman"/>
          <w:b/>
          <w:bCs/>
          <w:sz w:val="24"/>
        </w:rPr>
        <w:t>Materials and methods</w:t>
      </w:r>
    </w:p>
    <w:p w14:paraId="6ACEE5EC" w14:textId="175232D5" w:rsidR="007844B8" w:rsidRDefault="00615880" w:rsidP="004956DB">
      <w:pPr>
        <w:spacing w:line="360" w:lineRule="auto"/>
        <w:rPr>
          <w:rFonts w:ascii="Times New Roman" w:hAnsi="Times New Roman"/>
          <w:b/>
          <w:bCs/>
          <w:sz w:val="24"/>
        </w:rPr>
      </w:pPr>
      <w:r>
        <w:rPr>
          <w:rFonts w:ascii="Times New Roman" w:hAnsi="Times New Roman"/>
          <w:b/>
          <w:bCs/>
          <w:sz w:val="24"/>
        </w:rPr>
        <w:t xml:space="preserve">1.1 </w:t>
      </w:r>
      <w:r w:rsidR="007844B8" w:rsidRPr="007844B8">
        <w:rPr>
          <w:rFonts w:ascii="Times New Roman" w:hAnsi="Times New Roman"/>
          <w:b/>
          <w:bCs/>
          <w:sz w:val="24"/>
        </w:rPr>
        <w:t>MRI data preprocessing and static VMHC analysis</w:t>
      </w:r>
    </w:p>
    <w:p w14:paraId="4928F944" w14:textId="31304B33" w:rsidR="007844B8" w:rsidRPr="00795F82" w:rsidRDefault="007844B8" w:rsidP="004956DB">
      <w:pPr>
        <w:spacing w:line="360" w:lineRule="auto"/>
        <w:rPr>
          <w:rFonts w:ascii="Times New Roman" w:hAnsi="Times New Roman"/>
          <w:b/>
          <w:bCs/>
          <w:color w:val="000000" w:themeColor="text1"/>
          <w:sz w:val="24"/>
        </w:rPr>
      </w:pPr>
      <w:r w:rsidRPr="00795F82">
        <w:rPr>
          <w:rFonts w:ascii="Times New Roman" w:hAnsi="Times New Roman"/>
          <w:color w:val="000000" w:themeColor="text1"/>
          <w:sz w:val="24"/>
        </w:rPr>
        <w:t>As described previously</w:t>
      </w:r>
      <w:r w:rsidR="001B49B6" w:rsidRPr="00795F82">
        <w:rPr>
          <w:rFonts w:ascii="Times New Roman" w:hAnsi="Times New Roman"/>
          <w:color w:val="000000" w:themeColor="text1"/>
          <w:sz w:val="24"/>
        </w:rPr>
        <w:t xml:space="preserve"> </w:t>
      </w:r>
      <w:r w:rsidRPr="00795F82">
        <w:rPr>
          <w:rFonts w:ascii="Times New Roman" w:hAnsi="Times New Roman"/>
          <w:color w:val="000000" w:themeColor="text1"/>
          <w:sz w:val="24"/>
        </w:rPr>
        <w:fldChar w:fldCharType="begin" w:fldLock="1"/>
      </w:r>
      <w:r w:rsidRPr="00795F82">
        <w:rPr>
          <w:rFonts w:ascii="Times New Roman" w:hAnsi="Times New Roman"/>
          <w:color w:val="000000" w:themeColor="text1"/>
          <w:sz w:val="24"/>
        </w:rPr>
        <w:instrText>ADDIN CSL_CITATION {"citationItems":[{"id":"ITEM-1","itemData":{"DOI":"10.1523/JNEUROSCI.2612-10.2010","ISSN":"1529-2401","PMID":"21068309","abstract":"Functional homotopy, the high degree of synchrony in spontaneous activity between geometrically corresponding interhemispheric (i.e., homotopic) regions, is a fundamental characteristic of the intrinsic functional architecture of the brain. However, despite its prominence, the lifespan development of the homotopic resting-state functional connectivity (RSFC) of the human brain is rarely directly examined in functional magnetic resonance imaging studies. Here, we systematically investigated age-related changes in homotopic RSFC in 214 healthy individuals ranging in age from 7 to 85 years. We observed marked age-related changes in homotopic RSFC with regionally specific developmental trajectories of varying levels of complexity. Sensorimotor regions tended to show increasing homotopic RSFC, whereas higher-order processing regions showed decreasing connectivity (i.e., increasing segregation) with age. More complex maturational curves were also detected, with regions such as the insula and lingual gyrus exhibiting quadratic trajectories and the superior frontal gyrus and putamen exhibiting cubic trajectories. Sex-related differences in the developmental trajectory of functional homotopy were detected within dorsolateral prefrontal cortex (Brodmann areas 9 and 46) and amygdala. Evidence of robust developmental effects in homotopic RSFC across the lifespan should serve to motivate studies of the physiological mechanisms underlying functional homotopy in neurodegenerative and psychiatric disorders.","author":[{"dropping-particle":"","family":"Zuo","given":"Xi-Nian","non-dropping-particle":"","parse-names":false,"suffix":""},{"dropping-particle":"","family":"Kelly","given":"Clare","non-dropping-particle":"","parse-names":false,"suffix":""},{"dropping-particle":"","family":"Martino","given":"Adriana","non-dropping-particle":"Di","parse-names":false,"suffix":""},{"dropping-particle":"","family":"Mennes","given":"Maarten","non-dropping-particle":"","parse-names":false,"suffix":""},{"dropping-particle":"","family":"Margulies","given":"Daniel S.","non-dropping-particle":"","parse-names":false,"suffix":""},{"dropping-particle":"","family":"Bangaru","given":"Saroja","non-dropping-particle":"","parse-names":false,"suffix":""},{"dropping-particle":"","family":"Grzadzinski","given":"Rebecca","non-dropping-particle":"","parse-names":false,"suffix":""},{"dropping-particle":"","family":"Evans","given":"Alan C.","non-dropping-particle":"","parse-names":false,"suffix":""},{"dropping-particle":"","family":"Zang","given":"Yu-Feng","non-dropping-particle":"","parse-names":false,"suffix":""},{"dropping-particle":"","family":"Castellanos","given":"F. Xavier","non-dropping-particle":"","parse-names":false,"suffix":""},{"dropping-particle":"","family":"Milham","given":"Michael P.","non-dropping-particle":"","parse-names":false,"suffix":""}],"container-title":"The Journal of neuroscience : the official journal of the Society for Neuroscience","id":"ITEM-1","issue":"45","issued":{"date-parts":[["2010","11"]]},"page":"15034-43","title":"Growing together and growing apart: regional and sex differences in the lifespan developmental trajectories of functional homotopy.","type":"article-journal","volume":"30"},"uris":["http://www.mendeley.com/documents/?uuid=d62ee4ab-d061-482a-84a9-c3fda32a2a9a"]}],"mendeley":{"formattedCitation":"(Zuo et al., 2010)","plainTextFormattedCitation":"(Zuo et al., 2010)","previouslyFormattedCitation":"(Zuo et al., 2010)"},"properties":{"noteIndex":0},"schema":"https://github.com/citation-style-language/schema/raw/master/csl-citation.json"}</w:instrText>
      </w:r>
      <w:r w:rsidRPr="00795F82">
        <w:rPr>
          <w:rFonts w:ascii="Times New Roman" w:hAnsi="Times New Roman"/>
          <w:color w:val="000000" w:themeColor="text1"/>
          <w:sz w:val="24"/>
        </w:rPr>
        <w:fldChar w:fldCharType="separate"/>
      </w:r>
      <w:r w:rsidRPr="00795F82">
        <w:rPr>
          <w:rFonts w:ascii="Times New Roman" w:hAnsi="Times New Roman"/>
          <w:noProof/>
          <w:color w:val="000000" w:themeColor="text1"/>
          <w:sz w:val="24"/>
        </w:rPr>
        <w:t>(Zuo et al., 2010)</w:t>
      </w:r>
      <w:r w:rsidRPr="00795F82">
        <w:rPr>
          <w:rFonts w:ascii="Times New Roman" w:hAnsi="Times New Roman"/>
          <w:color w:val="000000" w:themeColor="text1"/>
          <w:sz w:val="24"/>
        </w:rPr>
        <w:fldChar w:fldCharType="end"/>
      </w:r>
      <w:r w:rsidRPr="00795F82">
        <w:rPr>
          <w:rFonts w:ascii="Times New Roman" w:hAnsi="Times New Roman"/>
          <w:color w:val="000000" w:themeColor="text1"/>
          <w:sz w:val="24"/>
        </w:rPr>
        <w:t xml:space="preserve">, </w:t>
      </w:r>
      <w:r w:rsidR="00562756" w:rsidRPr="00795F82">
        <w:rPr>
          <w:rFonts w:ascii="Times New Roman" w:hAnsi="Times New Roman"/>
          <w:color w:val="000000" w:themeColor="text1"/>
          <w:sz w:val="24"/>
        </w:rPr>
        <w:t xml:space="preserve">the preprocessing procedures included: 1) </w:t>
      </w:r>
      <w:r w:rsidR="00562756" w:rsidRPr="00795F82">
        <w:rPr>
          <w:color w:val="000000" w:themeColor="text1"/>
        </w:rPr>
        <w:t xml:space="preserve"> </w:t>
      </w:r>
      <w:r w:rsidR="00562756" w:rsidRPr="00795F82">
        <w:rPr>
          <w:rFonts w:ascii="Times New Roman" w:hAnsi="Times New Roman"/>
          <w:color w:val="000000" w:themeColor="text1"/>
          <w:sz w:val="24"/>
        </w:rPr>
        <w:t>a mean normalized T1 image was created by averaging normalized T1 images and was then averaged with its left–right mirrored version to create a group-specific symmetrical template. 2) the nonlinear registration to standard space for every subject was refined using the symmetrical template, and the refined transformation to the symmetrical brain template was applied to every subject's residual functional data.</w:t>
      </w:r>
      <w:r w:rsidR="00562756" w:rsidRPr="00795F82">
        <w:rPr>
          <w:rFonts w:ascii="Times New Roman" w:hAnsi="Times New Roman" w:hint="eastAsia"/>
          <w:color w:val="000000" w:themeColor="text1"/>
          <w:sz w:val="24"/>
        </w:rPr>
        <w:t xml:space="preserve"> </w:t>
      </w:r>
      <w:r w:rsidR="00562756" w:rsidRPr="00795F82">
        <w:rPr>
          <w:rFonts w:ascii="Times New Roman" w:hAnsi="Times New Roman"/>
          <w:color w:val="000000" w:themeColor="text1"/>
          <w:sz w:val="24"/>
        </w:rPr>
        <w:t>3) the Pearson’s correlation coefficient between the residual time series of each voxel and that of its symmetrical interhemispheric counterpart was calculated and Fisher Z-transformed.</w:t>
      </w:r>
      <w:r w:rsidR="00600636" w:rsidRPr="00795F82">
        <w:rPr>
          <w:rFonts w:ascii="Times New Roman" w:hAnsi="Times New Roman"/>
          <w:color w:val="000000" w:themeColor="text1"/>
          <w:sz w:val="24"/>
        </w:rPr>
        <w:t xml:space="preserve"> </w:t>
      </w:r>
      <w:r w:rsidR="00600636" w:rsidRPr="00851F4D">
        <w:rPr>
          <w:rFonts w:ascii="Times New Roman" w:hAnsi="Times New Roman"/>
          <w:sz w:val="24"/>
        </w:rPr>
        <w:t>To control the potential impacts of white matter, cereb</w:t>
      </w:r>
      <w:r w:rsidR="00CA5E78" w:rsidRPr="00851F4D">
        <w:rPr>
          <w:rFonts w:ascii="Times New Roman" w:hAnsi="Times New Roman"/>
          <w:sz w:val="24"/>
        </w:rPr>
        <w:t>rospinal fluid and other non-gre</w:t>
      </w:r>
      <w:r w:rsidR="00600636" w:rsidRPr="00851F4D">
        <w:rPr>
          <w:rFonts w:ascii="Times New Roman" w:hAnsi="Times New Roman"/>
          <w:sz w:val="24"/>
        </w:rPr>
        <w:t>y matter locations on homotopic functional connectivity, Fisher Z-values wer</w:t>
      </w:r>
      <w:r w:rsidR="00CA5E78" w:rsidRPr="00851F4D">
        <w:rPr>
          <w:rFonts w:ascii="Times New Roman" w:hAnsi="Times New Roman"/>
          <w:sz w:val="24"/>
        </w:rPr>
        <w:t>e weighted by the voxel-wise gre</w:t>
      </w:r>
      <w:r w:rsidR="00600636" w:rsidRPr="00851F4D">
        <w:rPr>
          <w:rFonts w:ascii="Times New Roman" w:hAnsi="Times New Roman"/>
          <w:sz w:val="24"/>
        </w:rPr>
        <w:t>y matter tissue probability.</w:t>
      </w:r>
      <w:r w:rsidR="00562756" w:rsidRPr="00851F4D">
        <w:rPr>
          <w:rFonts w:ascii="Times New Roman" w:hAnsi="Times New Roman"/>
          <w:sz w:val="24"/>
        </w:rPr>
        <w:t xml:space="preserve"> </w:t>
      </w:r>
      <w:r w:rsidR="00562756" w:rsidRPr="00795F82">
        <w:rPr>
          <w:rFonts w:ascii="Times New Roman" w:hAnsi="Times New Roman"/>
          <w:color w:val="000000" w:themeColor="text1"/>
          <w:sz w:val="24"/>
        </w:rPr>
        <w:t>The resultant values were referred to as the VMHC and</w:t>
      </w:r>
      <w:r w:rsidR="00562756" w:rsidRPr="00795F82">
        <w:rPr>
          <w:rFonts w:ascii="Times New Roman" w:hAnsi="Times New Roman" w:hint="eastAsia"/>
          <w:color w:val="000000" w:themeColor="text1"/>
          <w:sz w:val="24"/>
        </w:rPr>
        <w:t xml:space="preserve"> </w:t>
      </w:r>
      <w:r w:rsidR="00562756" w:rsidRPr="00795F82">
        <w:rPr>
          <w:rFonts w:ascii="Times New Roman" w:hAnsi="Times New Roman"/>
          <w:color w:val="000000" w:themeColor="text1"/>
          <w:sz w:val="24"/>
        </w:rPr>
        <w:t>were used for subsequent group-level analyses</w:t>
      </w:r>
      <w:r w:rsidRPr="00795F82">
        <w:rPr>
          <w:rFonts w:ascii="Times New Roman" w:hAnsi="Times New Roman"/>
          <w:color w:val="000000" w:themeColor="text1"/>
          <w:sz w:val="24"/>
        </w:rPr>
        <w:t>.</w:t>
      </w:r>
    </w:p>
    <w:p w14:paraId="51AE45FD" w14:textId="2A785143" w:rsidR="004956DB" w:rsidRPr="00CE5A15" w:rsidRDefault="00615880" w:rsidP="004956DB">
      <w:pPr>
        <w:spacing w:line="360" w:lineRule="auto"/>
        <w:rPr>
          <w:rFonts w:ascii="Times New Roman" w:hAnsi="Times New Roman"/>
          <w:b/>
          <w:bCs/>
          <w:sz w:val="24"/>
        </w:rPr>
      </w:pPr>
      <w:r>
        <w:rPr>
          <w:rFonts w:ascii="Times New Roman" w:hAnsi="Times New Roman"/>
          <w:b/>
          <w:bCs/>
          <w:sz w:val="24"/>
        </w:rPr>
        <w:t xml:space="preserve">1.2 </w:t>
      </w:r>
      <w:r w:rsidR="004956DB" w:rsidRPr="00CE5A15">
        <w:rPr>
          <w:rFonts w:ascii="Times New Roman" w:hAnsi="Times New Roman"/>
          <w:b/>
          <w:bCs/>
          <w:sz w:val="24"/>
        </w:rPr>
        <w:t>WMH segmentation and quantification</w:t>
      </w:r>
    </w:p>
    <w:p w14:paraId="25BFE9CE" w14:textId="4E3964B3" w:rsidR="004956DB" w:rsidRDefault="004956DB" w:rsidP="004956DB">
      <w:pPr>
        <w:spacing w:line="360" w:lineRule="auto"/>
        <w:rPr>
          <w:rFonts w:ascii="Times New Roman" w:hAnsi="Times New Roman"/>
          <w:sz w:val="24"/>
        </w:rPr>
      </w:pPr>
      <w:r w:rsidRPr="00CE5A15">
        <w:rPr>
          <w:rFonts w:ascii="Times New Roman" w:hAnsi="Times New Roman"/>
          <w:sz w:val="24"/>
        </w:rPr>
        <w:t>The T1-weighted images were segmented into gray matter, white matter and cerebrospinal fluid using the lesion growth algorithm</w:t>
      </w:r>
      <w:r w:rsidR="00EE6763">
        <w:rPr>
          <w:rFonts w:ascii="Times New Roman" w:hAnsi="Times New Roman"/>
          <w:color w:val="4472C4" w:themeColor="accent1"/>
          <w:sz w:val="24"/>
        </w:rPr>
        <w:t xml:space="preserve"> </w:t>
      </w:r>
      <w:r w:rsidR="00EE6763" w:rsidRPr="00EE6763">
        <w:rPr>
          <w:rFonts w:ascii="Times New Roman" w:hAnsi="Times New Roman"/>
          <w:color w:val="000000" w:themeColor="text1"/>
          <w:sz w:val="24"/>
        </w:rPr>
        <w:fldChar w:fldCharType="begin" w:fldLock="1"/>
      </w:r>
      <w:r w:rsidR="00532FFA">
        <w:rPr>
          <w:rFonts w:ascii="Times New Roman" w:hAnsi="Times New Roman"/>
          <w:color w:val="000000" w:themeColor="text1"/>
          <w:sz w:val="24"/>
        </w:rPr>
        <w:instrText>ADDIN CSL_CITATION {"citationItems":[{"id":"ITEM-1","itemData":{"DOI":"10.1016/j.neuroimage.2011.11.032","PMID":"22119648","abstract":"[In Multiple Sclerosis (MS), detection of T2-hyperintense white matter (WM) lesions on magnetic resonance imaging (MRI) has become a crucial criterion for diagnosis and predicting prognosis in early disease. Automated lesion detection is not only desirable with regard to time and cost effectiveness but also constitutes a prerequisite to minimize user bias. Here, we developed and evaluated an algorithm for automated lesion detection requiring a three-dimensional (3D) gradient echo (GRE) T1-weighted and a FLAIR image at 3 Tesla (T). Our tool determines the three tissue classes of gray matter (GM) and WM as well as cerebrospinal fluid (CSF) from the T1-weighted image, and, then, the FLAIR intensity distribution of each tissue class in order to detect outliers, which are interpreted as lesion beliefs. Next, a conservative lesion belief is expanded toward a liberal lesion belief. To this end, neighboring voxels are analyzed and assigned to lesions under certain conditions. This is done iteratively until no further voxels are assigned to lesions. Herein, the likelihood of belonging to WM or GM is weighed against the likelihood of belonging to lesions. We evaluated our algorithm in 53 MS patients with different lesion volumes, in 10 patients with posterior fossa lesions, and 18 control subjects that were all scanned at the same 3T scanner (Achieva, Philips, Netherlands). We found good agreement with lesions determined by manual tracing (R2 values of over 0.93 independent of FLAIR slice thickness up to 6mm). These results require validation with data from other protocols based on a conventional FLAIR sequence and a 3D GRE T1-weighted sequence. Yet, we believe that our tool allows fast and reliable segmentation of FLAIR-hyperintense lesions, which might simplify the quantification of lesions in basic research and even clinical trials.]","author":[{"dropping-particle":"","family":"Schmidt","given":"P","non-dropping-particle":"","parse-names":false,"suffix":""},{"dropping-particle":"","family":"Gaser","given":"C","non-dropping-particle":"","parse-names":false,"suffix":""},{"dropping-particle":"","family":"Arsic","given":"M","non-dropping-particle":"","parse-names":false,"suffix":""},{"dropping-particle":"","family":"Buck","given":"D","non-dropping-particle":"","parse-names":false,"suffix":""},{"dropping-particle":"","family":"Förschler","given":"A","non-dropping-particle":"","parse-names":false,"suffix":""},{"dropping-particle":"","family":"Berthele","given":"A","non-dropping-particle":"","parse-names":false,"suffix":""},{"dropping-particle":"","family":"Hoshi","given":"M","non-dropping-particle":"","parse-names":false,"suffix":""},{"dropping-particle":"","family":"Ilg","given":"R","non-dropping-particle":"","parse-names":false,"suffix":""},{"dropping-particle":"","family":"Schmid","given":"V J","non-dropping-particle":"","parse-names":false,"suffix":""},{"dropping-particle":"","family":"Zimmer","given":"C","non-dropping-particle":"","parse-names":false,"suffix":""},{"dropping-particle":"","family":"Hemmer","given":"B","non-dropping-particle":"","parse-names":false,"suffix":""},{"dropping-particle":"","family":"Mühlau","given":"M","non-dropping-particle":"","parse-names":false,"suffix":""}],"container-title":"NeuroImage","id":"ITEM-1","issue":"4","issued":{"date-parts":[["2012"]]},"page":"3774-3783","title":"An automated tool for detection of FLAIR-hyperintense white-matter lesions in Multiple Sclerosis","type":"article-journal","volume":"59"},"uris":["http://www.mendeley.com/documents/?uuid=51c540a2-36aa-403a-8a4d-b07e84c5ba1d"]}],"mendeley":{"formattedCitation":"(Schmidt et al., 2012)","plainTextFormattedCitation":"(Schmidt et al., 2012)","previouslyFormattedCitation":"(Schmidt et al., 2012)"},"properties":{"noteIndex":0},"schema":"https://github.com/citation-style-language/schema/raw/master/csl-citation.json"}</w:instrText>
      </w:r>
      <w:r w:rsidR="00EE6763" w:rsidRPr="00EE6763">
        <w:rPr>
          <w:rFonts w:ascii="Times New Roman" w:hAnsi="Times New Roman"/>
          <w:color w:val="000000" w:themeColor="text1"/>
          <w:sz w:val="24"/>
        </w:rPr>
        <w:fldChar w:fldCharType="separate"/>
      </w:r>
      <w:r w:rsidR="00EE6763" w:rsidRPr="00532FFA">
        <w:rPr>
          <w:rFonts w:ascii="Times New Roman" w:hAnsi="Times New Roman"/>
          <w:noProof/>
          <w:color w:val="000000" w:themeColor="text1"/>
          <w:sz w:val="24"/>
        </w:rPr>
        <w:t>(Schmidt et al., 2012)</w:t>
      </w:r>
      <w:r w:rsidR="00EE6763" w:rsidRPr="00EE6763">
        <w:rPr>
          <w:rFonts w:ascii="Times New Roman" w:hAnsi="Times New Roman"/>
          <w:color w:val="000000" w:themeColor="text1"/>
          <w:sz w:val="24"/>
        </w:rPr>
        <w:fldChar w:fldCharType="end"/>
      </w:r>
      <w:r w:rsidRPr="00EE6763">
        <w:rPr>
          <w:rFonts w:ascii="Times New Roman" w:hAnsi="Times New Roman"/>
          <w:color w:val="000000" w:themeColor="text1"/>
          <w:sz w:val="24"/>
        </w:rPr>
        <w:t xml:space="preserve">, </w:t>
      </w:r>
      <w:r w:rsidRPr="00CE5A15">
        <w:rPr>
          <w:rFonts w:ascii="Times New Roman" w:hAnsi="Times New Roman"/>
          <w:sz w:val="24"/>
        </w:rPr>
        <w:t>and this information was combined with corresponding T2-FLAIR intensities to compute lesion belief maps. Three experienced radiologists determined a pre-chosen initial threshold (κ = 0.15) to these maps. Then the initial binary lesion maps were obtained, and were subsequently grown along voxels that appear hyperintensity on the T2-FLAIR images. The individual WMH volume was presented in an HTML report.</w:t>
      </w:r>
    </w:p>
    <w:p w14:paraId="4E795715" w14:textId="1CFA9BFC" w:rsidR="004956DB" w:rsidRPr="00CE5A15" w:rsidRDefault="00615880" w:rsidP="004956DB">
      <w:pPr>
        <w:spacing w:line="360" w:lineRule="auto"/>
        <w:rPr>
          <w:rFonts w:ascii="Times New Roman" w:hAnsi="Times New Roman"/>
          <w:b/>
          <w:bCs/>
          <w:sz w:val="24"/>
        </w:rPr>
      </w:pPr>
      <w:r>
        <w:rPr>
          <w:rFonts w:ascii="Times New Roman" w:hAnsi="Times New Roman"/>
          <w:b/>
          <w:sz w:val="24"/>
        </w:rPr>
        <w:t xml:space="preserve">1.3 </w:t>
      </w:r>
      <w:r w:rsidR="004956DB" w:rsidRPr="00CE5A15">
        <w:rPr>
          <w:rFonts w:ascii="Times New Roman" w:hAnsi="Times New Roman"/>
          <w:b/>
          <w:sz w:val="24"/>
        </w:rPr>
        <w:t>Volume assessment of brain</w:t>
      </w:r>
    </w:p>
    <w:p w14:paraId="11604C79" w14:textId="0594D060" w:rsidR="008A67B1" w:rsidRDefault="004956DB" w:rsidP="004956DB">
      <w:pPr>
        <w:spacing w:line="360" w:lineRule="auto"/>
        <w:rPr>
          <w:rFonts w:ascii="Times New Roman" w:hAnsi="Times New Roman"/>
          <w:sz w:val="24"/>
        </w:rPr>
      </w:pPr>
      <w:r w:rsidRPr="00CE5A15">
        <w:rPr>
          <w:rFonts w:ascii="Times New Roman" w:hAnsi="Times New Roman"/>
          <w:sz w:val="24"/>
        </w:rPr>
        <w:t xml:space="preserve">First, the T1 images were segmented into grey matter, white matter and cerebrospinal fluid. Second, the segmented images were normalized to the MNI template using a non-linear and affine spatial normalization and re-sampled to a voxel size of 1.5 × 1.5 × 1.5 mm. Third, Jacobian modulation was applied to the segmented images, which could be incorporated to compensate for the effect of spatial normalization. Fourth, the extracted </w:t>
      </w:r>
      <w:r w:rsidRPr="00CE5A15">
        <w:rPr>
          <w:rFonts w:ascii="Times New Roman" w:hAnsi="Times New Roman"/>
          <w:sz w:val="24"/>
        </w:rPr>
        <w:lastRenderedPageBreak/>
        <w:t xml:space="preserve">grey matter, white matter and cerebrospinal fluid sets were smoothed with an 8-mm full width at half maximum Gaussian filter to decrease the effects of individual variation in </w:t>
      </w:r>
      <w:proofErr w:type="spellStart"/>
      <w:r w:rsidRPr="00CE5A15">
        <w:rPr>
          <w:rFonts w:ascii="Times New Roman" w:hAnsi="Times New Roman"/>
          <w:sz w:val="24"/>
        </w:rPr>
        <w:t>gyral</w:t>
      </w:r>
      <w:proofErr w:type="spellEnd"/>
      <w:r w:rsidRPr="00CE5A15">
        <w:rPr>
          <w:rFonts w:ascii="Times New Roman" w:hAnsi="Times New Roman"/>
          <w:sz w:val="24"/>
        </w:rPr>
        <w:t xml:space="preserve"> anatomy and to increase the signal-to-noise ratio. Finally, grey matter volume, white matter volume and cerebrospinal fluid volume were obtained in each subject. Grey matter atrophy is a calculation of grey matter volumes divided by the brain volume.</w:t>
      </w:r>
    </w:p>
    <w:p w14:paraId="61791C1C" w14:textId="005A861C" w:rsidR="008A67B1" w:rsidRDefault="008A67B1">
      <w:pPr>
        <w:widowControl/>
        <w:jc w:val="left"/>
        <w:rPr>
          <w:rFonts w:ascii="Times New Roman" w:hAnsi="Times New Roman"/>
          <w:sz w:val="24"/>
        </w:rPr>
      </w:pPr>
    </w:p>
    <w:p w14:paraId="2BD79513" w14:textId="087EB686" w:rsidR="00851F4D" w:rsidRDefault="00851F4D">
      <w:pPr>
        <w:widowControl/>
        <w:jc w:val="left"/>
        <w:rPr>
          <w:rFonts w:ascii="Times New Roman" w:hAnsi="Times New Roman"/>
          <w:sz w:val="24"/>
        </w:rPr>
      </w:pPr>
    </w:p>
    <w:p w14:paraId="002CF286" w14:textId="51FEC2CA" w:rsidR="00851F4D" w:rsidRPr="00851F4D" w:rsidRDefault="00851F4D">
      <w:pPr>
        <w:widowControl/>
        <w:jc w:val="left"/>
        <w:rPr>
          <w:rFonts w:ascii="Times New Roman" w:hAnsi="Times New Roman" w:hint="eastAsia"/>
          <w:b/>
          <w:bCs/>
          <w:sz w:val="24"/>
        </w:rPr>
      </w:pPr>
      <w:r w:rsidRPr="00851F4D">
        <w:rPr>
          <w:rFonts w:ascii="Times New Roman" w:hAnsi="Times New Roman" w:hint="eastAsia"/>
          <w:b/>
          <w:bCs/>
          <w:sz w:val="24"/>
        </w:rPr>
        <w:t>R</w:t>
      </w:r>
      <w:r w:rsidRPr="00851F4D">
        <w:rPr>
          <w:rFonts w:ascii="Times New Roman" w:hAnsi="Times New Roman"/>
          <w:b/>
          <w:bCs/>
          <w:sz w:val="24"/>
        </w:rPr>
        <w:t>eferences</w:t>
      </w:r>
    </w:p>
    <w:p w14:paraId="0D3E6804" w14:textId="7B90038C" w:rsidR="007844B8" w:rsidRPr="007844B8" w:rsidRDefault="008A67B1" w:rsidP="007844B8">
      <w:pPr>
        <w:autoSpaceDE w:val="0"/>
        <w:autoSpaceDN w:val="0"/>
        <w:adjustRightInd w:val="0"/>
        <w:spacing w:line="360" w:lineRule="auto"/>
        <w:ind w:left="480" w:hanging="480"/>
        <w:jc w:val="left"/>
        <w:rPr>
          <w:rFonts w:ascii="Times New Roman" w:hAnsi="Times New Roman"/>
          <w:noProof/>
          <w:kern w:val="0"/>
          <w:sz w:val="24"/>
        </w:rPr>
      </w:pPr>
      <w:r>
        <w:rPr>
          <w:rFonts w:ascii="Times New Roman" w:hAnsi="Times New Roman"/>
          <w:sz w:val="24"/>
        </w:rPr>
        <w:fldChar w:fldCharType="begin" w:fldLock="1"/>
      </w:r>
      <w:r>
        <w:rPr>
          <w:rFonts w:ascii="Times New Roman" w:hAnsi="Times New Roman"/>
          <w:sz w:val="24"/>
        </w:rPr>
        <w:instrText xml:space="preserve">ADDIN Mendeley Bibliography CSL_BIBLIOGRAPHY </w:instrText>
      </w:r>
      <w:r>
        <w:rPr>
          <w:rFonts w:ascii="Times New Roman" w:hAnsi="Times New Roman"/>
          <w:sz w:val="24"/>
        </w:rPr>
        <w:fldChar w:fldCharType="separate"/>
      </w:r>
      <w:r w:rsidR="007844B8" w:rsidRPr="007844B8">
        <w:rPr>
          <w:rFonts w:ascii="Times New Roman" w:hAnsi="Times New Roman"/>
          <w:noProof/>
          <w:kern w:val="0"/>
          <w:sz w:val="24"/>
        </w:rPr>
        <w:t xml:space="preserve">Schmidt, P., Gaser, C., Arsic, M., Buck, D., Förschler, A., Berthele, A., et al. (2012). An automated tool for detection of FLAIR-hyperintense white-matter lesions in Multiple Sclerosis. </w:t>
      </w:r>
      <w:r w:rsidR="007844B8" w:rsidRPr="007844B8">
        <w:rPr>
          <w:rFonts w:ascii="Times New Roman" w:hAnsi="Times New Roman"/>
          <w:i/>
          <w:iCs/>
          <w:noProof/>
          <w:kern w:val="0"/>
          <w:sz w:val="24"/>
        </w:rPr>
        <w:t>Neuroimage</w:t>
      </w:r>
      <w:r w:rsidR="007844B8" w:rsidRPr="007844B8">
        <w:rPr>
          <w:rFonts w:ascii="Times New Roman" w:hAnsi="Times New Roman"/>
          <w:noProof/>
          <w:kern w:val="0"/>
          <w:sz w:val="24"/>
        </w:rPr>
        <w:t xml:space="preserve"> 59, 3774–3783. doi:10.1016/j.neuroimage.2011.11.032.</w:t>
      </w:r>
    </w:p>
    <w:p w14:paraId="2E29257D" w14:textId="77777777" w:rsidR="007844B8" w:rsidRPr="007844B8" w:rsidRDefault="007844B8" w:rsidP="007844B8">
      <w:pPr>
        <w:autoSpaceDE w:val="0"/>
        <w:autoSpaceDN w:val="0"/>
        <w:adjustRightInd w:val="0"/>
        <w:spacing w:line="360" w:lineRule="auto"/>
        <w:ind w:left="480" w:hanging="480"/>
        <w:jc w:val="left"/>
        <w:rPr>
          <w:rFonts w:ascii="Times New Roman" w:hAnsi="Times New Roman"/>
          <w:noProof/>
          <w:sz w:val="24"/>
        </w:rPr>
      </w:pPr>
      <w:r w:rsidRPr="007844B8">
        <w:rPr>
          <w:rFonts w:ascii="Times New Roman" w:hAnsi="Times New Roman"/>
          <w:noProof/>
          <w:kern w:val="0"/>
          <w:sz w:val="24"/>
        </w:rPr>
        <w:t xml:space="preserve">Zuo, X.-N., Kelly, C., Di Martino, A., Mennes, M., Margulies, D. S., Bangaru, S., et al. (2010). Growing together and growing apart: regional and sex differences in the lifespan developmental trajectories of functional homotopy. </w:t>
      </w:r>
      <w:r w:rsidRPr="007844B8">
        <w:rPr>
          <w:rFonts w:ascii="Times New Roman" w:hAnsi="Times New Roman"/>
          <w:i/>
          <w:iCs/>
          <w:noProof/>
          <w:kern w:val="0"/>
          <w:sz w:val="24"/>
        </w:rPr>
        <w:t>J Neurosci</w:t>
      </w:r>
      <w:r w:rsidRPr="007844B8">
        <w:rPr>
          <w:rFonts w:ascii="Times New Roman" w:hAnsi="Times New Roman"/>
          <w:noProof/>
          <w:kern w:val="0"/>
          <w:sz w:val="24"/>
        </w:rPr>
        <w:t xml:space="preserve"> 30, 15034–43. doi:10.1523/JNEUROSCI.2612-10.2010.</w:t>
      </w:r>
    </w:p>
    <w:p w14:paraId="326961EC" w14:textId="30E59DE2" w:rsidR="00DC3B94" w:rsidRPr="00EE6763" w:rsidRDefault="008A67B1" w:rsidP="004956DB">
      <w:pPr>
        <w:spacing w:line="360" w:lineRule="auto"/>
        <w:rPr>
          <w:rFonts w:ascii="Times New Roman" w:hAnsi="Times New Roman"/>
          <w:sz w:val="24"/>
        </w:rPr>
      </w:pPr>
      <w:r>
        <w:rPr>
          <w:rFonts w:ascii="Times New Roman" w:hAnsi="Times New Roman"/>
          <w:sz w:val="24"/>
        </w:rPr>
        <w:fldChar w:fldCharType="end"/>
      </w:r>
    </w:p>
    <w:sectPr w:rsidR="00DC3B94" w:rsidRPr="00EE67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4282" w14:textId="77777777" w:rsidR="00C82484" w:rsidRDefault="00C82484" w:rsidP="00C36F46">
      <w:r>
        <w:separator/>
      </w:r>
    </w:p>
  </w:endnote>
  <w:endnote w:type="continuationSeparator" w:id="0">
    <w:p w14:paraId="218B3A59" w14:textId="77777777" w:rsidR="00C82484" w:rsidRDefault="00C82484" w:rsidP="00C3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FD0E" w14:textId="77777777" w:rsidR="00C82484" w:rsidRDefault="00C82484" w:rsidP="00C36F46">
      <w:r>
        <w:separator/>
      </w:r>
    </w:p>
  </w:footnote>
  <w:footnote w:type="continuationSeparator" w:id="0">
    <w:p w14:paraId="592BFE85" w14:textId="77777777" w:rsidR="00C82484" w:rsidRDefault="00C82484" w:rsidP="00C36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4956DB"/>
    <w:rsid w:val="000A7A92"/>
    <w:rsid w:val="00184D43"/>
    <w:rsid w:val="001B49B6"/>
    <w:rsid w:val="001D66E9"/>
    <w:rsid w:val="002125D5"/>
    <w:rsid w:val="00314A34"/>
    <w:rsid w:val="0033028C"/>
    <w:rsid w:val="00361E97"/>
    <w:rsid w:val="004956DB"/>
    <w:rsid w:val="004A4D20"/>
    <w:rsid w:val="00532FFA"/>
    <w:rsid w:val="00562756"/>
    <w:rsid w:val="005E5E29"/>
    <w:rsid w:val="00600636"/>
    <w:rsid w:val="00603A09"/>
    <w:rsid w:val="00610E42"/>
    <w:rsid w:val="00615880"/>
    <w:rsid w:val="006A59EC"/>
    <w:rsid w:val="006C0BED"/>
    <w:rsid w:val="00756D1C"/>
    <w:rsid w:val="007844B8"/>
    <w:rsid w:val="00795F82"/>
    <w:rsid w:val="007C22E9"/>
    <w:rsid w:val="007E5ADE"/>
    <w:rsid w:val="008167FA"/>
    <w:rsid w:val="00851F4D"/>
    <w:rsid w:val="008A67B1"/>
    <w:rsid w:val="0091520E"/>
    <w:rsid w:val="0094158D"/>
    <w:rsid w:val="009F07A5"/>
    <w:rsid w:val="00A01DE2"/>
    <w:rsid w:val="00A54284"/>
    <w:rsid w:val="00A61B04"/>
    <w:rsid w:val="00A91DC9"/>
    <w:rsid w:val="00AE23F0"/>
    <w:rsid w:val="00BA267A"/>
    <w:rsid w:val="00C36F46"/>
    <w:rsid w:val="00C82484"/>
    <w:rsid w:val="00CA5E78"/>
    <w:rsid w:val="00D25DE9"/>
    <w:rsid w:val="00DC1022"/>
    <w:rsid w:val="00DC3B94"/>
    <w:rsid w:val="00E03D8E"/>
    <w:rsid w:val="00EE6763"/>
    <w:rsid w:val="00F36F67"/>
    <w:rsid w:val="00F461BA"/>
    <w:rsid w:val="00FC2D42"/>
    <w:rsid w:val="00FF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EFE18"/>
  <w15:chartTrackingRefBased/>
  <w15:docId w15:val="{CACB6947-BACF-4215-A111-6CB295D5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6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956DB"/>
    <w:rPr>
      <w:sz w:val="21"/>
      <w:szCs w:val="21"/>
    </w:rPr>
  </w:style>
  <w:style w:type="paragraph" w:styleId="a4">
    <w:name w:val="annotation text"/>
    <w:basedOn w:val="a"/>
    <w:link w:val="a5"/>
    <w:uiPriority w:val="99"/>
    <w:semiHidden/>
    <w:unhideWhenUsed/>
    <w:rsid w:val="004956DB"/>
    <w:pPr>
      <w:jc w:val="left"/>
    </w:pPr>
    <w:rPr>
      <w:rFonts w:asciiTheme="minorHAnsi" w:eastAsiaTheme="minorEastAsia" w:hAnsiTheme="minorHAnsi" w:cstheme="minorBidi"/>
      <w:szCs w:val="22"/>
    </w:rPr>
  </w:style>
  <w:style w:type="character" w:customStyle="1" w:styleId="a5">
    <w:name w:val="批注文字 字符"/>
    <w:basedOn w:val="a0"/>
    <w:link w:val="a4"/>
    <w:uiPriority w:val="99"/>
    <w:semiHidden/>
    <w:rsid w:val="004956DB"/>
  </w:style>
  <w:style w:type="paragraph" w:styleId="a6">
    <w:name w:val="Balloon Text"/>
    <w:basedOn w:val="a"/>
    <w:link w:val="a7"/>
    <w:uiPriority w:val="99"/>
    <w:semiHidden/>
    <w:unhideWhenUsed/>
    <w:rsid w:val="004956DB"/>
    <w:rPr>
      <w:sz w:val="18"/>
      <w:szCs w:val="18"/>
    </w:rPr>
  </w:style>
  <w:style w:type="character" w:customStyle="1" w:styleId="a7">
    <w:name w:val="批注框文本 字符"/>
    <w:basedOn w:val="a0"/>
    <w:link w:val="a6"/>
    <w:uiPriority w:val="99"/>
    <w:semiHidden/>
    <w:rsid w:val="004956DB"/>
    <w:rPr>
      <w:rFonts w:ascii="Calibri" w:eastAsia="宋体" w:hAnsi="Calibri" w:cs="Times New Roman"/>
      <w:sz w:val="18"/>
      <w:szCs w:val="18"/>
    </w:rPr>
  </w:style>
  <w:style w:type="paragraph" w:styleId="a8">
    <w:name w:val="header"/>
    <w:basedOn w:val="a"/>
    <w:link w:val="a9"/>
    <w:uiPriority w:val="99"/>
    <w:unhideWhenUsed/>
    <w:rsid w:val="00C36F4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36F46"/>
    <w:rPr>
      <w:rFonts w:ascii="Calibri" w:eastAsia="宋体" w:hAnsi="Calibri" w:cs="Times New Roman"/>
      <w:sz w:val="18"/>
      <w:szCs w:val="18"/>
    </w:rPr>
  </w:style>
  <w:style w:type="paragraph" w:styleId="aa">
    <w:name w:val="footer"/>
    <w:basedOn w:val="a"/>
    <w:link w:val="ab"/>
    <w:uiPriority w:val="99"/>
    <w:unhideWhenUsed/>
    <w:rsid w:val="00C36F46"/>
    <w:pPr>
      <w:tabs>
        <w:tab w:val="center" w:pos="4153"/>
        <w:tab w:val="right" w:pos="8306"/>
      </w:tabs>
      <w:snapToGrid w:val="0"/>
      <w:jc w:val="left"/>
    </w:pPr>
    <w:rPr>
      <w:sz w:val="18"/>
      <w:szCs w:val="18"/>
    </w:rPr>
  </w:style>
  <w:style w:type="character" w:customStyle="1" w:styleId="ab">
    <w:name w:val="页脚 字符"/>
    <w:basedOn w:val="a0"/>
    <w:link w:val="aa"/>
    <w:uiPriority w:val="99"/>
    <w:rsid w:val="00C36F46"/>
    <w:rPr>
      <w:rFonts w:ascii="Calibri" w:eastAsia="宋体" w:hAnsi="Calibri" w:cs="Times New Roman"/>
      <w:sz w:val="18"/>
      <w:szCs w:val="18"/>
    </w:rPr>
  </w:style>
  <w:style w:type="paragraph" w:styleId="ac">
    <w:name w:val="Revision"/>
    <w:hidden/>
    <w:uiPriority w:val="99"/>
    <w:semiHidden/>
    <w:rsid w:val="001B49B6"/>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02EFD-A0F5-421D-BD9B-0FA4C5A0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1637</Words>
  <Characters>9336</Characters>
  <Application>Microsoft Office Word</Application>
  <DocSecurity>0</DocSecurity>
  <Lines>77</Lines>
  <Paragraphs>21</Paragraphs>
  <ScaleCrop>false</ScaleCrop>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chp</dc:creator>
  <cp:keywords/>
  <dc:description/>
  <cp:lastModifiedBy>叶 青</cp:lastModifiedBy>
  <cp:revision>2</cp:revision>
  <dcterms:created xsi:type="dcterms:W3CDTF">2022-05-30T13:11:00Z</dcterms:created>
  <dcterms:modified xsi:type="dcterms:W3CDTF">2022-05-30T13:11:00Z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http://www.zotero.org/styles/dementia-and-geriatric-cognitive-disorders</vt:lpwstr>
  </property>
  <property fmtid="{D5CDD505-2E9C-101B-9397-08002B2CF9AE}" pid="11" name="Mendeley Recent Style Name 4_1">
    <vt:lpwstr>Dementia and Geriatric Cognitive Disorders</vt:lpwstr>
  </property>
  <property fmtid="{D5CDD505-2E9C-101B-9397-08002B2CF9AE}" pid="12" name="Mendeley Recent Style Id 5_1">
    <vt:lpwstr>http://www.zotero.org/styles/frontiers-in-neuroscience</vt:lpwstr>
  </property>
  <property fmtid="{D5CDD505-2E9C-101B-9397-08002B2CF9AE}" pid="13" name="Mendeley Recent Style Name 5_1">
    <vt:lpwstr>Frontiers in Neuroscience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8ad543ab-fb75-3557-b13c-2752c09f77d9</vt:lpwstr>
  </property>
  <property fmtid="{D5CDD505-2E9C-101B-9397-08002B2CF9AE}" pid="24" name="Mendeley Citation Style_1">
    <vt:lpwstr>http://www.zotero.org/styles/frontiers-in-neuroscience</vt:lpwstr>
  </property>
</Properties>
</file>