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24"/>
          <w:szCs w:val="24"/>
        </w:rPr>
      </w:pPr>
      <w:bookmarkStart w:id="0" w:name="_Hlk77340001"/>
      <w:bookmarkStart w:id="1" w:name="_Hlk77159084"/>
      <w:r>
        <w:rPr>
          <w:rFonts w:ascii="Times New Roman" w:hAnsi="Times New Roman" w:cs="Times New Roman"/>
          <w:color w:val="auto"/>
          <w:sz w:val="24"/>
          <w:szCs w:val="24"/>
        </w:rPr>
        <w:t xml:space="preserve">The RNA sequencing data of </w:t>
      </w:r>
      <w:r>
        <w:rPr>
          <w:rFonts w:hint="eastAsia" w:ascii="Times New Roman" w:hAnsi="Times New Roman" w:cs="Times New Roman"/>
          <w:color w:val="auto"/>
          <w:sz w:val="24"/>
          <w:szCs w:val="24"/>
          <w:lang w:val="en-US" w:eastAsia="zh-CN"/>
        </w:rPr>
        <w:t>495</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lang w:eastAsia="zh-CN"/>
        </w:rPr>
        <w:t>PRAD</w:t>
      </w:r>
      <w:r>
        <w:rPr>
          <w:rFonts w:ascii="Times New Roman" w:hAnsi="Times New Roman" w:cs="Times New Roman"/>
          <w:color w:val="auto"/>
          <w:sz w:val="24"/>
          <w:szCs w:val="24"/>
        </w:rPr>
        <w:t xml:space="preserve"> patients was obtained from The Cancer Genome Atlas (TCGA, </w:t>
      </w:r>
      <w:r>
        <w:rPr>
          <w:color w:val="auto"/>
        </w:rPr>
        <w:fldChar w:fldCharType="begin"/>
      </w:r>
      <w:r>
        <w:rPr>
          <w:color w:val="auto"/>
        </w:rPr>
        <w:instrText xml:space="preserve"> HYPERLINK "https://portal.gdc.cancer.gov" </w:instrText>
      </w:r>
      <w:r>
        <w:rPr>
          <w:color w:val="auto"/>
        </w:rPr>
        <w:fldChar w:fldCharType="separate"/>
      </w:r>
      <w:r>
        <w:rPr>
          <w:rFonts w:ascii="Times New Roman" w:hAnsi="Times New Roman" w:cs="Times New Roman"/>
          <w:color w:val="auto"/>
          <w:sz w:val="24"/>
          <w:szCs w:val="24"/>
        </w:rPr>
        <w:t>https://portal.gdc.cancer.gov</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with gene IDs converted from Ensembl ID to gene symbol matrix. The FPKM gene expression profile was measured experimentally using the Illumina HiSeq 2000 RNA Sequencing platform by the University of North Carolina TCGA genome characterization center. Level 3 data was downloaded from TCGA data coordination center, with available clinicopathological and survival data.</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End w:id="0"/>
      <w:r>
        <w:rPr>
          <w:rFonts w:ascii="Times New Roman" w:hAnsi="Times New Roman" w:cs="Times New Roman"/>
          <w:color w:val="auto"/>
          <w:sz w:val="24"/>
          <w:szCs w:val="24"/>
        </w:rPr>
        <w:t xml:space="preserve">In addition, the phenotypic and clinical data of </w:t>
      </w:r>
      <w:r>
        <w:rPr>
          <w:rFonts w:hint="eastAsia" w:ascii="Times New Roman" w:hAnsi="Times New Roman" w:cs="Times New Roman"/>
          <w:color w:val="auto"/>
          <w:sz w:val="24"/>
          <w:szCs w:val="24"/>
          <w:lang w:val="en-US" w:eastAsia="zh-CN"/>
        </w:rPr>
        <w:t>495</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lang w:eastAsia="zh-CN"/>
        </w:rPr>
        <w:t>PRAD</w:t>
      </w:r>
      <w:r>
        <w:rPr>
          <w:rFonts w:ascii="Times New Roman" w:hAnsi="Times New Roman" w:cs="Times New Roman"/>
          <w:color w:val="auto"/>
          <w:sz w:val="24"/>
          <w:szCs w:val="24"/>
        </w:rPr>
        <w:t xml:space="preserve"> patients were obtained from TCGA training cohort  </w:t>
      </w:r>
      <w:bookmarkEnd w:id="1"/>
    </w:p>
    <w:p>
      <w:pPr>
        <w:rPr>
          <w:rFonts w:ascii="Times New Roman" w:hAnsi="Times New Roman" w:cs="Times New Roman"/>
          <w:color w:val="auto"/>
          <w:sz w:val="24"/>
          <w:szCs w:val="24"/>
        </w:rPr>
      </w:pPr>
    </w:p>
    <w:p>
      <w:pPr>
        <w:rPr>
          <w:rFonts w:hint="eastAsia" w:ascii="Times New Roman" w:hAnsi="Times New Roman" w:cs="Times New Roman"/>
          <w:color w:val="auto"/>
          <w:sz w:val="24"/>
          <w:szCs w:val="24"/>
          <w:lang w:val="en-US" w:eastAsia="zh-CN"/>
        </w:rPr>
      </w:pPr>
      <w:r>
        <w:rPr>
          <w:rFonts w:ascii="Times New Roman" w:hAnsi="Times New Roman" w:cs="Times New Roman"/>
          <w:color w:val="auto"/>
          <w:sz w:val="24"/>
          <w:szCs w:val="24"/>
        </w:rPr>
        <w:t>A total of 770 genes were downloaded from The nCounter® PanCancer Immune Profiling</w:t>
      </w:r>
      <w:bookmarkStart w:id="2" w:name="_GoBack"/>
      <w:bookmarkEnd w:id="2"/>
      <w:r>
        <w:rPr>
          <w:rFonts w:ascii="Times New Roman" w:hAnsi="Times New Roman" w:cs="Times New Roman"/>
          <w:color w:val="auto"/>
          <w:sz w:val="24"/>
          <w:szCs w:val="24"/>
        </w:rPr>
        <w:t xml:space="preserve"> panel (https://www.nanostring.com/products/ncounter-assays-panels/oncology/pancancer-immune-profiling/) and 758 immune genes were matched in TCGA database for further analysis</w:t>
      </w:r>
      <w:r>
        <w:rPr>
          <w:rFonts w:hint="eastAsia" w:ascii="Times New Roman" w:hAnsi="Times New Roman" w:cs="Times New Roman"/>
          <w:color w:val="auto"/>
          <w:sz w:val="24"/>
          <w:szCs w:val="24"/>
          <w:lang w:val="en-US" w:eastAsia="zh-CN"/>
        </w:rPr>
        <w:t>[1].</w:t>
      </w:r>
    </w:p>
    <w:p>
      <w:pPr>
        <w:rPr>
          <w:rFonts w:hint="eastAsia" w:ascii="Times New Roman" w:hAnsi="Times New Roman" w:cs="Times New Roman"/>
          <w:color w:val="auto"/>
          <w:sz w:val="24"/>
          <w:szCs w:val="24"/>
          <w:lang w:val="en-US" w:eastAsia="zh-CN"/>
        </w:rPr>
      </w:pPr>
    </w:p>
    <w:p>
      <w:pPr>
        <w:rPr>
          <w:rFonts w:hint="eastAsia" w:ascii="Times New Roman" w:hAnsi="Times New Roman" w:cs="Times New Roman"/>
          <w:color w:val="auto"/>
          <w:sz w:val="24"/>
          <w:szCs w:val="24"/>
          <w:lang w:val="en-US" w:eastAsia="zh-CN"/>
        </w:rPr>
      </w:pPr>
    </w:p>
    <w:p>
      <w:pPr>
        <w:pStyle w:val="4"/>
        <w:ind w:left="720" w:hanging="720"/>
        <w:rPr>
          <w:rFonts w:hint="eastAsia" w:ascii="Times New Roman" w:hAnsi="Times New Roman" w:cs="Times New Roman"/>
          <w:lang w:val="en-US" w:eastAsia="zh-CN"/>
        </w:rPr>
      </w:pPr>
    </w:p>
    <w:p>
      <w:pPr>
        <w:pStyle w:val="4"/>
        <w:ind w:left="720" w:hanging="720"/>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Cesano, A., </w:t>
      </w:r>
      <w:r>
        <w:rPr>
          <w:rFonts w:ascii="Times New Roman" w:hAnsi="Times New Roman" w:cs="Times New Roman"/>
          <w:i/>
        </w:rPr>
        <w:t>nCounter((R)) PanCancer Immune Profiling Panel (NanoString Technologies, Inc., Seattle, WA).</w:t>
      </w:r>
      <w:r>
        <w:rPr>
          <w:rFonts w:ascii="Times New Roman" w:hAnsi="Times New Roman" w:cs="Times New Roman"/>
        </w:rPr>
        <w:t xml:space="preserve"> J Immunother Cancer, 2015. </w:t>
      </w:r>
      <w:r>
        <w:rPr>
          <w:rFonts w:ascii="Times New Roman" w:hAnsi="Times New Roman" w:cs="Times New Roman"/>
          <w:b/>
        </w:rPr>
        <w:t>3</w:t>
      </w:r>
      <w:r>
        <w:rPr>
          <w:rFonts w:ascii="Times New Roman" w:hAnsi="Times New Roman" w:cs="Times New Roman"/>
        </w:rPr>
        <w:t>: p. 42.</w:t>
      </w:r>
    </w:p>
    <w:p>
      <w:pPr>
        <w:rPr>
          <w:rFonts w:hint="default" w:ascii="Times New Roman" w:hAnsi="Times New Roman" w:cs="Times New Roman"/>
          <w:color w:val="auto"/>
          <w:sz w:val="24"/>
          <w:szCs w:val="24"/>
          <w:lang w:val="en-US" w:eastAsia="zh-CN"/>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B7A19"/>
    <w:rsid w:val="28ED75A7"/>
    <w:rsid w:val="6EC3129C"/>
    <w:rsid w:val="7C5C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EndNote Bibliography"/>
    <w:basedOn w:val="1"/>
    <w:qFormat/>
    <w:uiPriority w:val="0"/>
    <w:rPr>
      <w:rFonts w:ascii="等线" w:hAnsi="等线" w:eastAsia="等线"/>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976</Characters>
  <Lines>0</Lines>
  <Paragraphs>0</Paragraphs>
  <TotalTime>1</TotalTime>
  <ScaleCrop>false</ScaleCrop>
  <LinksUpToDate>false</LinksUpToDate>
  <CharactersWithSpaces>1121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2021-09-26T08:40:00Z</dcterms:created>
  <dc:creator>Wen-Hao Xu</dc:creator>
  <cp:lastModifiedBy>头晕jo太郎</cp:lastModifiedBy>
  <dcterms:modified xsi:type="dcterms:W3CDTF">2022-03-22T03:03:02Z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E3CF403277C04EE19FF0791654F902E1</vt:lpwstr>
  </property>
</Properties>
</file>