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7914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>
        <w:rPr>
          <w:rFonts w:ascii="Times New Roman" w:eastAsia="宋体" w:hAnsi="Times New Roman" w:cs="Times New Roman"/>
          <w:b/>
          <w:color w:val="000000" w:themeColor="text1"/>
          <w:sz w:val="22"/>
        </w:rPr>
        <w:t>Table S1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Information of the binding energy of the compound and the corresponding target</w:t>
      </w:r>
    </w:p>
    <w:tbl>
      <w:tblPr>
        <w:tblpPr w:leftFromText="180" w:rightFromText="180" w:vertAnchor="page" w:horzAnchor="margin" w:tblpY="2257"/>
        <w:tblW w:w="765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2360"/>
        <w:gridCol w:w="1640"/>
        <w:gridCol w:w="2015"/>
      </w:tblGrid>
      <w:tr w:rsidR="00C3281C" w14:paraId="33748DCB" w14:textId="77777777" w:rsidTr="00EC6C9F">
        <w:trPr>
          <w:trHeight w:val="280"/>
        </w:trPr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96CE3AE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ID</w:t>
            </w:r>
          </w:p>
        </w:tc>
        <w:tc>
          <w:tcPr>
            <w:tcW w:w="23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1678E3C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MOL</w:t>
            </w:r>
          </w:p>
        </w:tc>
        <w:tc>
          <w:tcPr>
            <w:tcW w:w="1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CC86FBC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Targets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0735445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Affinity (kcal/mol)</w:t>
            </w:r>
          </w:p>
        </w:tc>
      </w:tr>
      <w:tr w:rsidR="00C3281C" w14:paraId="726D629F" w14:textId="77777777" w:rsidTr="00EC6C9F">
        <w:trPr>
          <w:trHeight w:val="280"/>
        </w:trPr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707D77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docking01</w:t>
            </w:r>
          </w:p>
        </w:tc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B89F41C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Isofraxidin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46667A4A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DAO</w:t>
            </w:r>
          </w:p>
        </w:tc>
        <w:tc>
          <w:tcPr>
            <w:tcW w:w="20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46E317D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-7.2 </w:t>
            </w:r>
          </w:p>
        </w:tc>
      </w:tr>
      <w:tr w:rsidR="00C3281C" w14:paraId="159288FE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696D6246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docking02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246002A7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Isofraxidin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125297BD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MAOA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0593E3B0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-7.0 </w:t>
            </w:r>
          </w:p>
        </w:tc>
      </w:tr>
      <w:tr w:rsidR="00C3281C" w14:paraId="1220F9EB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319E38A3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docking03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1DEFA02E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Quercetin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0CE0CBD2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MAOA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26F7F93A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-9.0 </w:t>
            </w:r>
          </w:p>
        </w:tc>
      </w:tr>
      <w:tr w:rsidR="00C3281C" w14:paraId="5B411332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162069AA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docking04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7482688F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Kaempferol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49F232EE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MAOA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6B98AD66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-8.8 </w:t>
            </w:r>
          </w:p>
        </w:tc>
      </w:tr>
      <w:tr w:rsidR="00C3281C" w14:paraId="6DA44AA6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6A8A49CA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docking05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563DC869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Acacetin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1B3E51EB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MAOA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40D95BD1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-9.3 </w:t>
            </w:r>
          </w:p>
        </w:tc>
      </w:tr>
      <w:tr w:rsidR="00C3281C" w14:paraId="2A0E5508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52D0A775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docking06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29B515BD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Isofraxidin</w:t>
            </w:r>
            <w:proofErr w:type="spellEnd"/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230FAC28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MAOB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2B4C52B9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-7.3 </w:t>
            </w:r>
          </w:p>
        </w:tc>
      </w:tr>
      <w:tr w:rsidR="00C3281C" w14:paraId="63D90E68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02E0D4E0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docking07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06533500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Acacetin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4124E724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MAOB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3FC42C02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-9.0 </w:t>
            </w:r>
          </w:p>
        </w:tc>
      </w:tr>
      <w:tr w:rsidR="00C3281C" w14:paraId="7EDD2368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190AA924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docking08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49077922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Eleutheroside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B1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3EBEE9E3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GAA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3D1F8FD1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-7.2 </w:t>
            </w:r>
          </w:p>
        </w:tc>
      </w:tr>
      <w:tr w:rsidR="00C3281C" w14:paraId="68A594A8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04A44EDC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docking09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2E720DFD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Eleutheroside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B1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688F61FF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HK1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5FAF7197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-6.3 </w:t>
            </w:r>
          </w:p>
        </w:tc>
      </w:tr>
      <w:tr w:rsidR="00C3281C" w14:paraId="285B637B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3344D2F7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docking10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725E10B7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Eleutheroside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B1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1DB42528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PYGM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23023FEE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-6.9 </w:t>
            </w:r>
          </w:p>
        </w:tc>
      </w:tr>
      <w:tr w:rsidR="00C3281C" w14:paraId="30CDCF10" w14:textId="77777777" w:rsidTr="00EC6C9F">
        <w:trPr>
          <w:trHeight w:val="280"/>
        </w:trPr>
        <w:tc>
          <w:tcPr>
            <w:tcW w:w="1640" w:type="dxa"/>
            <w:shd w:val="clear" w:color="auto" w:fill="auto"/>
            <w:noWrap/>
            <w:vAlign w:val="bottom"/>
          </w:tcPr>
          <w:p w14:paraId="55042D3D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docking11</w:t>
            </w:r>
          </w:p>
        </w:tc>
        <w:tc>
          <w:tcPr>
            <w:tcW w:w="2360" w:type="dxa"/>
            <w:shd w:val="clear" w:color="auto" w:fill="auto"/>
            <w:noWrap/>
            <w:vAlign w:val="bottom"/>
          </w:tcPr>
          <w:p w14:paraId="1C4868E9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proofErr w:type="spellStart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Eleutheroside</w:t>
            </w:r>
            <w:proofErr w:type="spellEnd"/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 C</w:t>
            </w:r>
          </w:p>
        </w:tc>
        <w:tc>
          <w:tcPr>
            <w:tcW w:w="1640" w:type="dxa"/>
            <w:shd w:val="clear" w:color="auto" w:fill="auto"/>
            <w:noWrap/>
            <w:vAlign w:val="bottom"/>
          </w:tcPr>
          <w:p w14:paraId="20ED6DC4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>PYGM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14:paraId="4F98B7BE" w14:textId="77777777" w:rsidR="00C3281C" w:rsidRDefault="00C3281C" w:rsidP="00EC6C9F">
            <w:pPr>
              <w:suppressLineNumbers/>
              <w:spacing w:line="480" w:lineRule="auto"/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2"/>
              </w:rPr>
              <w:t xml:space="preserve">-5.5 </w:t>
            </w:r>
          </w:p>
        </w:tc>
      </w:tr>
    </w:tbl>
    <w:p w14:paraId="628D66E3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65B0F6A4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50F2EC29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125AC108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3EAC051B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684CB54C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61D4124D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1FCF112E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65D2D931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64E31194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7626405E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34803BAD" w14:textId="77777777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</w:p>
    <w:p w14:paraId="05F93CD3" w14:textId="061DFA2C" w:rsidR="0025015D" w:rsidRDefault="0025015D"/>
    <w:p w14:paraId="47132089" w14:textId="36B546DA" w:rsidR="00C3281C" w:rsidRDefault="00C3281C">
      <w:pPr>
        <w:widowControl/>
        <w:jc w:val="left"/>
      </w:pPr>
      <w:r>
        <w:br w:type="page"/>
      </w:r>
    </w:p>
    <w:p w14:paraId="636BF462" w14:textId="13F387BB" w:rsidR="00CB0EFF" w:rsidRDefault="00A61730">
      <w:pPr>
        <w:widowControl/>
        <w:jc w:val="left"/>
      </w:pPr>
      <w:r w:rsidRPr="00A61730">
        <w:rPr>
          <w:noProof/>
        </w:rPr>
        <w:lastRenderedPageBreak/>
        <w:drawing>
          <wp:inline distT="0" distB="0" distL="0" distR="0" wp14:anchorId="00AADD4A" wp14:editId="4A27A8CD">
            <wp:extent cx="5274310" cy="1733550"/>
            <wp:effectExtent l="0" t="0" r="2540" b="0"/>
            <wp:docPr id="3" name="图片 2">
              <a:extLst xmlns:a="http://schemas.openxmlformats.org/drawingml/2006/main">
                <a:ext uri="{FF2B5EF4-FFF2-40B4-BE49-F238E27FC236}">
                  <a16:creationId xmlns:a16="http://schemas.microsoft.com/office/drawing/2014/main" id="{41BD3875-8ABC-4A9D-AA81-144EC9D3C3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>
                      <a:extLst>
                        <a:ext uri="{FF2B5EF4-FFF2-40B4-BE49-F238E27FC236}">
                          <a16:creationId xmlns:a16="http://schemas.microsoft.com/office/drawing/2014/main" id="{41BD3875-8ABC-4A9D-AA81-144EC9D3C3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t="1" b="313"/>
                    <a:stretch/>
                  </pic:blipFill>
                  <pic:spPr>
                    <a:xfrm>
                      <a:off x="0" y="0"/>
                      <a:ext cx="527431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5409E" w14:textId="1679E080" w:rsidR="008736AF" w:rsidRDefault="00CB0EFF" w:rsidP="00C70D1D">
      <w:pPr>
        <w:widowControl/>
        <w:spacing w:line="480" w:lineRule="auto"/>
        <w:jc w:val="left"/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</w:pPr>
      <w:r w:rsidRPr="005B7196">
        <w:rPr>
          <w:rFonts w:ascii="Times New Roman" w:hAnsi="Times New Roman" w:cs="Times New Roman"/>
          <w:b/>
          <w:bCs/>
          <w:sz w:val="22"/>
        </w:rPr>
        <w:t>Figure S1</w:t>
      </w:r>
      <w:r w:rsidRPr="005B7196">
        <w:rPr>
          <w:rFonts w:ascii="Times New Roman" w:hAnsi="Times New Roman" w:cs="Times New Roman"/>
          <w:sz w:val="22"/>
        </w:rPr>
        <w:t xml:space="preserve"> </w:t>
      </w:r>
      <w:r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HPLC diagram of </w:t>
      </w:r>
      <w:proofErr w:type="spellStart"/>
      <w:r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syringin</w:t>
      </w:r>
      <w:proofErr w:type="spellEnd"/>
      <w:r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and </w:t>
      </w:r>
      <w:proofErr w:type="spellStart"/>
      <w:r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eleutheroside</w:t>
      </w:r>
      <w:proofErr w:type="spellEnd"/>
      <w:r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E standard samples and ASH extracts.</w:t>
      </w:r>
      <w:r w:rsidR="005B7196"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</w:t>
      </w:r>
      <w:proofErr w:type="spellStart"/>
      <w:r w:rsidR="008259C0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S</w:t>
      </w:r>
      <w:r w:rsidR="005B7196"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yringin</w:t>
      </w:r>
      <w:proofErr w:type="spellEnd"/>
      <w:r w:rsidR="005B7196"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and </w:t>
      </w:r>
      <w:proofErr w:type="spellStart"/>
      <w:r w:rsidR="005B7196"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eleutheroside</w:t>
      </w:r>
      <w:proofErr w:type="spellEnd"/>
      <w:r w:rsidR="005B7196"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E standard samples were dissolved in methanol and the concentration were 0.05 mg/mL</w:t>
      </w:r>
      <w:r w:rsid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and </w:t>
      </w:r>
      <w:r w:rsidR="005B7196"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0.5 mg/mL</w:t>
      </w:r>
      <w:r w:rsid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, </w:t>
      </w:r>
      <w:r w:rsidR="005B7196" w:rsidRP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respectively</w:t>
      </w:r>
      <w:r w:rsidR="005B719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. </w:t>
      </w:r>
      <w:r w:rsidR="008736AF" w:rsidRPr="008736AF">
        <w:rPr>
          <w:rFonts w:ascii="Times New Roman" w:hAnsi="Times New Roman" w:cs="Times New Roman"/>
          <w:i/>
          <w:iCs/>
          <w:color w:val="222222"/>
          <w:kern w:val="0"/>
          <w:sz w:val="22"/>
          <w:shd w:val="clear" w:color="auto" w:fill="FFFFFF"/>
        </w:rPr>
        <w:t xml:space="preserve">Acanthopanax </w:t>
      </w:r>
      <w:proofErr w:type="spellStart"/>
      <w:r w:rsidR="008736AF" w:rsidRPr="008736AF">
        <w:rPr>
          <w:rFonts w:ascii="Times New Roman" w:hAnsi="Times New Roman" w:cs="Times New Roman"/>
          <w:i/>
          <w:iCs/>
          <w:color w:val="222222"/>
          <w:kern w:val="0"/>
          <w:sz w:val="22"/>
          <w:shd w:val="clear" w:color="auto" w:fill="FFFFFF"/>
        </w:rPr>
        <w:t>senticosus</w:t>
      </w:r>
      <w:proofErr w:type="spellEnd"/>
      <w:r w:rsidR="008736AF" w:rsidRPr="008736AF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tablets </w:t>
      </w:r>
      <w:r w:rsidR="008736AF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were</w:t>
      </w:r>
      <w:r w:rsidR="008736AF" w:rsidRPr="008736AF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processed to extract, and volume </w:t>
      </w:r>
      <w:r w:rsidR="008736AF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to 25ml</w:t>
      </w:r>
      <w:r w:rsidR="00484C31" w:rsidRPr="00484C31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</w:t>
      </w:r>
      <w:r w:rsidR="00484C31" w:rsidRPr="008736AF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with methanol</w:t>
      </w:r>
      <w:r w:rsidR="008736AF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.</w:t>
      </w:r>
    </w:p>
    <w:p w14:paraId="5CA65455" w14:textId="0EE3773A" w:rsidR="008F2688" w:rsidRPr="008F2688" w:rsidRDefault="008F2688" w:rsidP="00C70D1D">
      <w:pPr>
        <w:widowControl/>
        <w:spacing w:line="480" w:lineRule="auto"/>
        <w:jc w:val="left"/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</w:pPr>
      <w:r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HPLC</w:t>
      </w:r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was performed on a DIKMA </w:t>
      </w:r>
      <w:proofErr w:type="spellStart"/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Platisil</w:t>
      </w:r>
      <w:proofErr w:type="spellEnd"/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ODS-C18 (250×4.6 mm, 5 </w:t>
      </w:r>
      <w:proofErr w:type="spellStart"/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μm</w:t>
      </w:r>
      <w:proofErr w:type="spellEnd"/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) column </w:t>
      </w:r>
      <w:r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with</w:t>
      </w:r>
      <w:r w:rsidRPr="008F2688">
        <w:t xml:space="preserve"> </w:t>
      </w:r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a gradient mobile phase acetonitrile (A) </w:t>
      </w:r>
      <w:r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and</w:t>
      </w:r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0.1%</w:t>
      </w:r>
      <w:r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</w:t>
      </w:r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aqueous phosphate (B). The flow rate was 1 mL/min, and </w:t>
      </w:r>
      <w:r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t</w:t>
      </w:r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he linear gradients were as follows: </w:t>
      </w:r>
      <w:r w:rsidR="00D6664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95</w:t>
      </w:r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% B </w:t>
      </w:r>
      <w:r w:rsidR="00375FEB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at</w:t>
      </w:r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0 min; 5</w:t>
      </w:r>
      <w:r w:rsidR="00D66646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3</w:t>
      </w:r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% B </w:t>
      </w:r>
      <w:r w:rsidR="00375FEB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at 60</w:t>
      </w:r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 xml:space="preserve"> min. Column temperature: 25°C; UV detector, detection wavelength: 220 nm; injection volume: 10 </w:t>
      </w:r>
      <w:proofErr w:type="spellStart"/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μL</w:t>
      </w:r>
      <w:proofErr w:type="spellEnd"/>
      <w:r w:rsidRPr="008F2688">
        <w:rPr>
          <w:rFonts w:ascii="Times New Roman" w:hAnsi="Times New Roman" w:cs="Times New Roman"/>
          <w:color w:val="222222"/>
          <w:kern w:val="0"/>
          <w:sz w:val="22"/>
          <w:shd w:val="clear" w:color="auto" w:fill="FFFFFF"/>
        </w:rPr>
        <w:t>.</w:t>
      </w:r>
    </w:p>
    <w:p w14:paraId="202B4E29" w14:textId="4F9624F9" w:rsidR="00CB0EFF" w:rsidRDefault="00CB0EFF" w:rsidP="00C70D1D">
      <w:pPr>
        <w:widowControl/>
        <w:spacing w:line="480" w:lineRule="auto"/>
        <w:jc w:val="left"/>
      </w:pPr>
      <w:r>
        <w:br w:type="page"/>
      </w:r>
    </w:p>
    <w:p w14:paraId="7117657B" w14:textId="4A447720" w:rsidR="00F12079" w:rsidRDefault="00F12079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F12079">
        <w:rPr>
          <w:rFonts w:ascii="Times New Roman" w:eastAsia="宋体" w:hAnsi="Times New Roman" w:cs="Times New Roman"/>
          <w:color w:val="000000" w:themeColor="text1"/>
          <w:sz w:val="22"/>
        </w:rPr>
        <w:lastRenderedPageBreak/>
        <w:drawing>
          <wp:inline distT="0" distB="0" distL="0" distR="0" wp14:anchorId="3F9AF0A6" wp14:editId="03ABA51B">
            <wp:extent cx="5274310" cy="1337945"/>
            <wp:effectExtent l="0" t="0" r="2540" b="0"/>
            <wp:docPr id="13" name="图片 12">
              <a:extLst xmlns:a="http://schemas.openxmlformats.org/drawingml/2006/main">
                <a:ext uri="{FF2B5EF4-FFF2-40B4-BE49-F238E27FC236}">
                  <a16:creationId xmlns:a16="http://schemas.microsoft.com/office/drawing/2014/main" id="{F7B49263-56B4-35DC-E1D9-CAF7B8558A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>
                      <a:extLst>
                        <a:ext uri="{FF2B5EF4-FFF2-40B4-BE49-F238E27FC236}">
                          <a16:creationId xmlns:a16="http://schemas.microsoft.com/office/drawing/2014/main" id="{F7B49263-56B4-35DC-E1D9-CAF7B8558A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t="7519" b="24318"/>
                    <a:stretch/>
                  </pic:blipFill>
                  <pic:spPr>
                    <a:xfrm>
                      <a:off x="0" y="0"/>
                      <a:ext cx="5274310" cy="133794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66EAA938" w14:textId="73881240" w:rsidR="00E569EE" w:rsidRDefault="00F12079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E569EE">
        <w:rPr>
          <w:rFonts w:ascii="Times New Roman" w:eastAsia="宋体" w:hAnsi="Times New Roman" w:cs="Times New Roman"/>
          <w:b/>
          <w:bCs/>
          <w:color w:val="000000" w:themeColor="text1"/>
          <w:sz w:val="22"/>
        </w:rPr>
        <w:t>Figure S2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</w:t>
      </w:r>
      <w:r w:rsidRPr="00F12079">
        <w:rPr>
          <w:rFonts w:ascii="Times New Roman" w:eastAsia="宋体" w:hAnsi="Times New Roman" w:cs="Times New Roman"/>
          <w:color w:val="000000" w:themeColor="text1"/>
          <w:sz w:val="22"/>
        </w:rPr>
        <w:t>Effects of ASH on depression-like behavior in CUMS model mice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(n = 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6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)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. (A) Forced swimming test; (B) Open field test; (C) Tail suspension test. </w:t>
      </w:r>
      <w:r w:rsidRPr="00F12079">
        <w:rPr>
          <w:rFonts w:ascii="Times New Roman" w:eastAsia="宋体" w:hAnsi="Times New Roman" w:cs="Times New Roman"/>
          <w:color w:val="000000" w:themeColor="text1"/>
          <w:sz w:val="22"/>
        </w:rPr>
        <w:t>* P &lt; 0.05</w:t>
      </w:r>
      <w:r>
        <w:rPr>
          <w:rFonts w:ascii="Times New Roman" w:eastAsia="宋体" w:hAnsi="Times New Roman" w:cs="Times New Roman" w:hint="eastAsia"/>
          <w:color w:val="000000" w:themeColor="text1"/>
          <w:sz w:val="22"/>
        </w:rPr>
        <w:t>,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</w:t>
      </w:r>
      <w:r w:rsidRPr="00F12079">
        <w:rPr>
          <w:rFonts w:ascii="Times New Roman" w:eastAsia="宋体" w:hAnsi="Times New Roman" w:cs="Times New Roman"/>
          <w:color w:val="000000" w:themeColor="text1"/>
          <w:sz w:val="22"/>
        </w:rPr>
        <w:t>** P &lt; 0.01</w:t>
      </w:r>
      <w:r>
        <w:rPr>
          <w:rFonts w:ascii="Times New Roman" w:eastAsia="宋体" w:hAnsi="Times New Roman" w:cs="Times New Roman" w:hint="eastAsia"/>
          <w:color w:val="000000" w:themeColor="text1"/>
          <w:sz w:val="22"/>
        </w:rPr>
        <w:t>,</w:t>
      </w:r>
      <w:r w:rsidRPr="00F12079">
        <w:rPr>
          <w:rFonts w:ascii="Times New Roman" w:eastAsia="宋体" w:hAnsi="Times New Roman" w:cs="Times New Roman"/>
          <w:color w:val="000000" w:themeColor="text1"/>
          <w:sz w:val="22"/>
        </w:rPr>
        <w:t xml:space="preserve"> *** P &lt; 0.001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, compared with N group; </w:t>
      </w:r>
      <w:r w:rsidRPr="00F12079">
        <w:rPr>
          <w:rFonts w:ascii="Times New Roman" w:eastAsia="宋体" w:hAnsi="Times New Roman" w:cs="Times New Roman"/>
          <w:color w:val="000000" w:themeColor="text1"/>
          <w:sz w:val="22"/>
        </w:rPr>
        <w:t># P &lt; 0.05</w:t>
      </w:r>
      <w:r>
        <w:rPr>
          <w:rFonts w:ascii="Times New Roman" w:eastAsia="宋体" w:hAnsi="Times New Roman" w:cs="Times New Roman" w:hint="eastAsia"/>
          <w:color w:val="000000" w:themeColor="text1"/>
          <w:sz w:val="22"/>
        </w:rPr>
        <w:t>,</w:t>
      </w:r>
      <w:r w:rsidRPr="00F12079">
        <w:rPr>
          <w:rFonts w:ascii="Times New Roman" w:eastAsia="宋体" w:hAnsi="Times New Roman" w:cs="Times New Roman"/>
          <w:color w:val="000000" w:themeColor="text1"/>
          <w:sz w:val="22"/>
        </w:rPr>
        <w:t xml:space="preserve"> ## P &lt; 0.01</w:t>
      </w:r>
      <w:r>
        <w:rPr>
          <w:rFonts w:ascii="Times New Roman" w:eastAsia="宋体" w:hAnsi="Times New Roman" w:cs="Times New Roman" w:hint="eastAsia"/>
          <w:color w:val="000000" w:themeColor="text1"/>
          <w:sz w:val="22"/>
        </w:rPr>
        <w:t>,</w:t>
      </w:r>
      <w:r w:rsidRPr="00F12079">
        <w:rPr>
          <w:rFonts w:ascii="Times New Roman" w:eastAsia="宋体" w:hAnsi="Times New Roman" w:cs="Times New Roman"/>
          <w:color w:val="000000" w:themeColor="text1"/>
          <w:sz w:val="22"/>
        </w:rPr>
        <w:t xml:space="preserve"> ### P &lt; 0.001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, compared with M group.</w:t>
      </w:r>
    </w:p>
    <w:p w14:paraId="5AA47E24" w14:textId="668C88EC" w:rsidR="00F12079" w:rsidRDefault="00E569EE" w:rsidP="00E569EE">
      <w:pPr>
        <w:widowControl/>
        <w:jc w:val="left"/>
        <w:rPr>
          <w:rFonts w:ascii="Times New Roman" w:eastAsia="宋体" w:hAnsi="Times New Roman" w:cs="Times New Roman" w:hint="eastAsia"/>
          <w:color w:val="000000" w:themeColor="text1"/>
          <w:sz w:val="22"/>
        </w:rPr>
      </w:pPr>
      <w:r>
        <w:rPr>
          <w:rFonts w:ascii="Times New Roman" w:eastAsia="宋体" w:hAnsi="Times New Roman" w:cs="Times New Roman"/>
          <w:color w:val="000000" w:themeColor="text1"/>
          <w:sz w:val="22"/>
        </w:rPr>
        <w:br w:type="page"/>
      </w:r>
    </w:p>
    <w:p w14:paraId="34A2683F" w14:textId="60A2F700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>
        <w:rPr>
          <w:rFonts w:ascii="Times New Roman" w:eastAsia="宋体" w:hAnsi="Times New Roman" w:cs="Times New Roman" w:hint="eastAsia"/>
          <w:noProof/>
          <w:color w:val="000000" w:themeColor="text1"/>
          <w:sz w:val="22"/>
        </w:rPr>
        <w:lastRenderedPageBreak/>
        <w:drawing>
          <wp:inline distT="0" distB="0" distL="0" distR="0" wp14:anchorId="13D6D7C1" wp14:editId="341FBDF6">
            <wp:extent cx="5274310" cy="37160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614BF" w14:textId="63109F3C" w:rsidR="00C3281C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CF142C">
        <w:rPr>
          <w:rFonts w:ascii="Times New Roman" w:eastAsia="宋体" w:hAnsi="Times New Roman" w:cs="Times New Roman"/>
          <w:b/>
          <w:bCs/>
          <w:color w:val="000000" w:themeColor="text1"/>
          <w:sz w:val="22"/>
        </w:rPr>
        <w:t>Figure S</w:t>
      </w:r>
      <w:r w:rsidR="00E569EE">
        <w:rPr>
          <w:rFonts w:ascii="Times New Roman" w:eastAsia="宋体" w:hAnsi="Times New Roman" w:cs="Times New Roman"/>
          <w:b/>
          <w:bCs/>
          <w:color w:val="000000" w:themeColor="text1"/>
          <w:sz w:val="22"/>
        </w:rPr>
        <w:t>3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Multi-dimensional statistical analysis of liver metabolism profiles of CUMS mice in each group (n = 6). (A) PCA score between N group and M group (R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X = 0.669, Q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= 0.161); (B) PLS-DA score between N group and M group (R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X = 0.452, R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Y = 0.890, Q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= 0.479); (C) PCA score among HD group, N group and M group (R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X = 0.617, Q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= 0.209); (D) PCA score among MD group, N group and M group (R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X = 0.711, Q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= 0.100); (E) PCA score among LD group, N group and M group (R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X = 0.664, Q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= 0.236); (F) PCA score among PD group, N group and M group (R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>X = 0.735, Q</w:t>
      </w:r>
      <w:r>
        <w:rPr>
          <w:rFonts w:ascii="Times New Roman" w:eastAsia="宋体" w:hAnsi="Times New Roman" w:cs="Times New Roman"/>
          <w:color w:val="000000" w:themeColor="text1"/>
          <w:sz w:val="22"/>
          <w:vertAlign w:val="superscript"/>
        </w:rPr>
        <w:t>2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= 0.239).</w:t>
      </w:r>
    </w:p>
    <w:p w14:paraId="34A0D038" w14:textId="40C75EB5" w:rsidR="00C3281C" w:rsidRDefault="00C3281C">
      <w:pPr>
        <w:widowControl/>
        <w:jc w:val="left"/>
      </w:pPr>
      <w:r>
        <w:br w:type="page"/>
      </w:r>
    </w:p>
    <w:p w14:paraId="2639FD17" w14:textId="5E9F0EB0" w:rsidR="00C3281C" w:rsidRPr="001C2AC9" w:rsidRDefault="00C3281C" w:rsidP="00C3281C">
      <w:pPr>
        <w:suppressLineNumbers/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CF142C">
        <w:rPr>
          <w:rFonts w:ascii="Times New Roman" w:hAnsi="Times New Roman" w:cs="Times New Roman"/>
          <w:b/>
          <w:bCs/>
          <w:noProof/>
          <w:sz w:val="24"/>
        </w:rPr>
        <w:lastRenderedPageBreak/>
        <w:drawing>
          <wp:anchor distT="0" distB="0" distL="114300" distR="114300" simplePos="0" relativeHeight="251659264" behindDoc="0" locked="0" layoutInCell="1" allowOverlap="1" wp14:anchorId="19AF33B3" wp14:editId="715F136B">
            <wp:simplePos x="0" y="0"/>
            <wp:positionH relativeFrom="margin">
              <wp:align>left</wp:align>
            </wp:positionH>
            <wp:positionV relativeFrom="paragraph">
              <wp:posOffset>69215</wp:posOffset>
            </wp:positionV>
            <wp:extent cx="5205095" cy="3136900"/>
            <wp:effectExtent l="0" t="0" r="0" b="6350"/>
            <wp:wrapTopAndBottom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142C">
        <w:rPr>
          <w:rFonts w:ascii="Times New Roman" w:eastAsia="宋体" w:hAnsi="Times New Roman" w:cs="Times New Roman"/>
          <w:b/>
          <w:bCs/>
          <w:color w:val="000000" w:themeColor="text1"/>
          <w:sz w:val="22"/>
        </w:rPr>
        <w:t>Figure S</w:t>
      </w:r>
      <w:r w:rsidR="00E569EE">
        <w:rPr>
          <w:rFonts w:ascii="Times New Roman" w:eastAsia="宋体" w:hAnsi="Times New Roman" w:cs="Times New Roman"/>
          <w:b/>
          <w:bCs/>
          <w:color w:val="000000" w:themeColor="text1"/>
          <w:sz w:val="22"/>
        </w:rPr>
        <w:t>4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Permutation test of OPLS-DA score. (A) HD group vs. M group; (B) MD group vs. M group; (C) LD group vs. M group; (D) PD group vs. M group.</w:t>
      </w:r>
    </w:p>
    <w:p w14:paraId="3B892583" w14:textId="6778F551" w:rsidR="00C3281C" w:rsidRDefault="00C3281C">
      <w:pPr>
        <w:widowControl/>
        <w:jc w:val="left"/>
      </w:pPr>
      <w:r>
        <w:br w:type="page"/>
      </w:r>
    </w:p>
    <w:p w14:paraId="5FE9AA95" w14:textId="77777777" w:rsidR="00C3281C" w:rsidRDefault="00C3281C" w:rsidP="00C3281C">
      <w:pPr>
        <w:suppressLineNumbers/>
        <w:tabs>
          <w:tab w:val="left" w:pos="6710"/>
        </w:tabs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EA5316">
        <w:rPr>
          <w:rFonts w:ascii="Times New Roman" w:eastAsia="宋体" w:hAnsi="Times New Roman" w:cs="Times New Roman"/>
          <w:noProof/>
          <w:color w:val="000000" w:themeColor="text1"/>
          <w:sz w:val="22"/>
        </w:rPr>
        <w:lastRenderedPageBreak/>
        <w:drawing>
          <wp:inline distT="0" distB="0" distL="0" distR="0" wp14:anchorId="5638536C" wp14:editId="49E52A87">
            <wp:extent cx="5274310" cy="6340475"/>
            <wp:effectExtent l="0" t="0" r="2540" b="3175"/>
            <wp:docPr id="18" name="图片 17">
              <a:extLst xmlns:a="http://schemas.openxmlformats.org/drawingml/2006/main">
                <a:ext uri="{FF2B5EF4-FFF2-40B4-BE49-F238E27FC236}">
                  <a16:creationId xmlns:a16="http://schemas.microsoft.com/office/drawing/2014/main" id="{3A3979A2-1B3F-4560-9B25-D08B311DBB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>
                      <a:extLst>
                        <a:ext uri="{FF2B5EF4-FFF2-40B4-BE49-F238E27FC236}">
                          <a16:creationId xmlns:a16="http://schemas.microsoft.com/office/drawing/2014/main" id="{3A3979A2-1B3F-4560-9B25-D08B311DBB0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047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</wp:inline>
        </w:drawing>
      </w:r>
    </w:p>
    <w:p w14:paraId="2241ED46" w14:textId="7606EC3A" w:rsidR="00C3281C" w:rsidRDefault="00C3281C" w:rsidP="00C3281C">
      <w:pPr>
        <w:suppressLineNumbers/>
        <w:tabs>
          <w:tab w:val="left" w:pos="6710"/>
        </w:tabs>
        <w:spacing w:line="480" w:lineRule="auto"/>
        <w:rPr>
          <w:rFonts w:ascii="Times New Roman" w:eastAsia="宋体" w:hAnsi="Times New Roman" w:cs="Times New Roman"/>
          <w:color w:val="000000" w:themeColor="text1"/>
          <w:sz w:val="22"/>
        </w:rPr>
      </w:pPr>
      <w:r w:rsidRPr="00CF142C">
        <w:rPr>
          <w:rFonts w:ascii="Times New Roman" w:eastAsia="宋体" w:hAnsi="Times New Roman" w:cs="Times New Roman"/>
          <w:b/>
          <w:bCs/>
          <w:color w:val="000000" w:themeColor="text1"/>
          <w:sz w:val="22"/>
        </w:rPr>
        <w:t>Figure S</w:t>
      </w:r>
      <w:r w:rsidR="00E569EE">
        <w:rPr>
          <w:rFonts w:ascii="Times New Roman" w:eastAsia="宋体" w:hAnsi="Times New Roman" w:cs="Times New Roman"/>
          <w:b/>
          <w:bCs/>
          <w:color w:val="000000" w:themeColor="text1"/>
          <w:sz w:val="22"/>
        </w:rPr>
        <w:t>5</w:t>
      </w:r>
      <w:r>
        <w:rPr>
          <w:rFonts w:ascii="Times New Roman" w:eastAsia="宋体" w:hAnsi="Times New Roman" w:cs="Times New Roman"/>
          <w:color w:val="000000" w:themeColor="text1"/>
          <w:sz w:val="22"/>
        </w:rPr>
        <w:t xml:space="preserve"> Molecular docking charts of quercetin (MAOA (A)), kaempferol (MAOA (B)) and acacetin (MAOA (C) and MAOB (D)).</w:t>
      </w:r>
    </w:p>
    <w:p w14:paraId="26681199" w14:textId="77777777" w:rsidR="00C3281C" w:rsidRPr="00C3281C" w:rsidRDefault="00C3281C"/>
    <w:sectPr w:rsidR="00C3281C" w:rsidRPr="00C3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4C5A" w14:textId="77777777" w:rsidR="007F6257" w:rsidRDefault="007F6257" w:rsidP="00CB0EFF">
      <w:r>
        <w:separator/>
      </w:r>
    </w:p>
  </w:endnote>
  <w:endnote w:type="continuationSeparator" w:id="0">
    <w:p w14:paraId="0F92E5FE" w14:textId="77777777" w:rsidR="007F6257" w:rsidRDefault="007F6257" w:rsidP="00CB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926F7" w14:textId="77777777" w:rsidR="007F6257" w:rsidRDefault="007F6257" w:rsidP="00CB0EFF">
      <w:r>
        <w:separator/>
      </w:r>
    </w:p>
  </w:footnote>
  <w:footnote w:type="continuationSeparator" w:id="0">
    <w:p w14:paraId="296C8D51" w14:textId="77777777" w:rsidR="007F6257" w:rsidRDefault="007F6257" w:rsidP="00CB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BD"/>
    <w:rsid w:val="001C64F8"/>
    <w:rsid w:val="0020335B"/>
    <w:rsid w:val="0025015D"/>
    <w:rsid w:val="00375FEB"/>
    <w:rsid w:val="00484C31"/>
    <w:rsid w:val="004E635B"/>
    <w:rsid w:val="005B7196"/>
    <w:rsid w:val="007F6257"/>
    <w:rsid w:val="008259C0"/>
    <w:rsid w:val="008736AF"/>
    <w:rsid w:val="008F2688"/>
    <w:rsid w:val="009E06BD"/>
    <w:rsid w:val="00A61730"/>
    <w:rsid w:val="00AD5BDB"/>
    <w:rsid w:val="00C3281C"/>
    <w:rsid w:val="00C70D1D"/>
    <w:rsid w:val="00CB0EFF"/>
    <w:rsid w:val="00CF142C"/>
    <w:rsid w:val="00D66646"/>
    <w:rsid w:val="00E569EE"/>
    <w:rsid w:val="00F12079"/>
    <w:rsid w:val="00FE4DB1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3A06C"/>
  <w15:chartTrackingRefBased/>
  <w15:docId w15:val="{5F7A14CA-21BB-45C7-A3E0-4C5FA9C4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81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0E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0E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348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顾 欣怡</dc:creator>
  <cp:keywords/>
  <dc:description/>
  <cp:lastModifiedBy>顾 欣怡</cp:lastModifiedBy>
  <cp:revision>16</cp:revision>
  <dcterms:created xsi:type="dcterms:W3CDTF">2022-01-25T02:21:00Z</dcterms:created>
  <dcterms:modified xsi:type="dcterms:W3CDTF">2022-05-06T08:14:00Z</dcterms:modified>
</cp:coreProperties>
</file>