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3B5FB5FB" w:rsidR="00654E8F" w:rsidRDefault="00654E8F" w:rsidP="0001436A">
      <w:pPr>
        <w:pStyle w:val="SupplementaryMaterial"/>
      </w:pPr>
      <w:r w:rsidRPr="001549D3">
        <w:t>Supplementary Material</w:t>
      </w:r>
    </w:p>
    <w:p w14:paraId="61D529EF" w14:textId="77777777" w:rsidR="00F75997" w:rsidRPr="00F75997" w:rsidRDefault="00F75997" w:rsidP="00F75997">
      <w:pPr>
        <w:pStyle w:val="Title"/>
      </w:pPr>
    </w:p>
    <w:p w14:paraId="37372ABB" w14:textId="0DCA32DB" w:rsidR="00E340BB" w:rsidRDefault="00E340BB" w:rsidP="00E340BB">
      <w:pPr>
        <w:pStyle w:val="Heading1"/>
      </w:pPr>
      <w:r w:rsidRPr="0001436A">
        <w:t>SUPPLEMENTARY</w:t>
      </w:r>
      <w:r w:rsidRPr="001549D3">
        <w:t xml:space="preserve"> </w:t>
      </w:r>
      <w:r>
        <w:t>TABLES</w:t>
      </w:r>
    </w:p>
    <w:p w14:paraId="210DAB5D" w14:textId="77777777" w:rsidR="00E340BB" w:rsidRPr="00E340BB" w:rsidRDefault="00E340BB" w:rsidP="00E340BB"/>
    <w:p w14:paraId="0251E0C6" w14:textId="77777777" w:rsidR="00E340BB" w:rsidRPr="00357200" w:rsidRDefault="00E340BB" w:rsidP="00E340BB">
      <w:pPr>
        <w:pStyle w:val="Tablefiguretitle"/>
        <w:rPr>
          <w:sz w:val="22"/>
          <w:szCs w:val="22"/>
          <w:lang w:val="en-US"/>
        </w:rPr>
      </w:pPr>
      <w:r w:rsidRPr="00357200">
        <w:rPr>
          <w:b/>
          <w:bCs w:val="0"/>
          <w:sz w:val="22"/>
          <w:szCs w:val="22"/>
          <w:lang w:val="en-US"/>
        </w:rPr>
        <w:t>Supplementary Table 1.</w:t>
      </w:r>
      <w:r w:rsidRPr="00357200">
        <w:rPr>
          <w:sz w:val="22"/>
          <w:szCs w:val="22"/>
          <w:lang w:val="en-US"/>
        </w:rPr>
        <w:t xml:space="preserve"> Summary of the Joint Commission Antimicrobial Stewardship Requirements</w:t>
      </w:r>
      <w:r>
        <w:rPr>
          <w:sz w:val="22"/>
          <w:szCs w:val="22"/>
          <w:lang w:val="en-US"/>
        </w:rPr>
        <w:t xml:space="preserve"> (1)</w:t>
      </w:r>
      <w:r w:rsidRPr="00357200">
        <w:rPr>
          <w:sz w:val="22"/>
          <w:szCs w:val="22"/>
          <w:lang w:val="en-US"/>
        </w:rPr>
        <w:t xml:space="preserve">. </w:t>
      </w:r>
    </w:p>
    <w:tbl>
      <w:tblPr>
        <w:tblStyle w:val="ListTable3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02"/>
        <w:gridCol w:w="5948"/>
      </w:tblGrid>
      <w:tr w:rsidR="00E340BB" w:rsidRPr="00B83A1F" w14:paraId="7AD57358" w14:textId="77777777" w:rsidTr="00136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28C5B4" w14:textId="77777777" w:rsidR="00E340BB" w:rsidRPr="00B83A1F" w:rsidRDefault="00E340BB" w:rsidP="00136625">
            <w:pPr>
              <w:spacing w:before="40" w:after="40"/>
              <w:rPr>
                <w:rFonts w:cs="Times New Roman"/>
                <w:color w:val="auto"/>
                <w:sz w:val="20"/>
                <w:szCs w:val="20"/>
              </w:rPr>
            </w:pPr>
            <w:r w:rsidRPr="00B83A1F">
              <w:rPr>
                <w:rFonts w:cs="Times New Roman"/>
                <w:color w:val="auto"/>
                <w:sz w:val="20"/>
                <w:szCs w:val="20"/>
              </w:rPr>
              <w:t>Requirement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53F98" w14:textId="77777777" w:rsidR="00E340BB" w:rsidRPr="00B83A1F" w:rsidRDefault="00E340BB" w:rsidP="0013662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B83A1F">
              <w:rPr>
                <w:rFonts w:cs="Times New Roman"/>
                <w:color w:val="auto"/>
                <w:sz w:val="20"/>
                <w:szCs w:val="20"/>
              </w:rPr>
              <w:t>Rationale</w:t>
            </w:r>
          </w:p>
        </w:tc>
      </w:tr>
      <w:tr w:rsidR="00E340BB" w:rsidRPr="00B83A1F" w14:paraId="656C42F5" w14:textId="77777777" w:rsidTr="0013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D9D9D9" w:themeColor="background1" w:themeShade="D9"/>
              <w:right w:val="none" w:sz="0" w:space="0" w:color="auto"/>
            </w:tcBorders>
            <w:shd w:val="clear" w:color="auto" w:fill="auto"/>
          </w:tcPr>
          <w:p w14:paraId="69B701F5" w14:textId="77777777" w:rsidR="00E340BB" w:rsidRPr="00B83A1F" w:rsidRDefault="00E340BB" w:rsidP="00136625">
            <w:pPr>
              <w:spacing w:before="40" w:after="4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83A1F">
              <w:rPr>
                <w:rFonts w:cs="Times New Roman"/>
                <w:b w:val="0"/>
                <w:bCs w:val="0"/>
                <w:sz w:val="20"/>
                <w:szCs w:val="20"/>
              </w:rPr>
              <w:t>Identify an individual responsible for developing, implementing, and monitoring activities to promote appropriate antibiotic prescribing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2CD3121C" w14:textId="77777777" w:rsidR="00E340BB" w:rsidRPr="00B83A1F" w:rsidRDefault="00E340BB" w:rsidP="00823942">
            <w:pPr>
              <w:pStyle w:val="BulletsL1"/>
              <w:spacing w:line="240" w:lineRule="auto"/>
              <w:ind w:left="315" w:hanging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Antimicrobial resistance is growing, improving use of antibiotics is a patient safety priority</w:t>
            </w:r>
          </w:p>
          <w:p w14:paraId="386A8A8C" w14:textId="77777777" w:rsidR="00E340BB" w:rsidRPr="00B83A1F" w:rsidRDefault="00E340BB" w:rsidP="00823942">
            <w:pPr>
              <w:pStyle w:val="BulletsL1"/>
              <w:spacing w:line="240" w:lineRule="auto"/>
              <w:ind w:left="315" w:hanging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Identifying an individual increases likelihood of success</w:t>
            </w:r>
          </w:p>
          <w:p w14:paraId="6A51F68C" w14:textId="77777777" w:rsidR="00E340BB" w:rsidRPr="00B83A1F" w:rsidRDefault="00E340BB" w:rsidP="00823942">
            <w:pPr>
              <w:pStyle w:val="BulletsL1"/>
              <w:spacing w:line="240" w:lineRule="auto"/>
              <w:ind w:left="315" w:hanging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Antimicrobial stewardship may be primary job or in addition to other duties</w:t>
            </w:r>
          </w:p>
        </w:tc>
      </w:tr>
      <w:tr w:rsidR="00E340BB" w:rsidRPr="00B83A1F" w14:paraId="7F1B0F6A" w14:textId="77777777" w:rsidTr="00136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one" w:sz="0" w:space="0" w:color="auto"/>
            </w:tcBorders>
            <w:shd w:val="clear" w:color="auto" w:fill="auto"/>
          </w:tcPr>
          <w:p w14:paraId="055192A4" w14:textId="77777777" w:rsidR="00E340BB" w:rsidRPr="00B83A1F" w:rsidRDefault="00E340BB" w:rsidP="00136625">
            <w:pPr>
              <w:spacing w:before="40" w:after="4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83A1F">
              <w:rPr>
                <w:rFonts w:cs="Times New Roman"/>
                <w:b w:val="0"/>
                <w:bCs w:val="0"/>
                <w:sz w:val="20"/>
                <w:szCs w:val="20"/>
              </w:rPr>
              <w:t>Organization sets ≥1 antibiotic stewardship goal each year</w:t>
            </w:r>
          </w:p>
        </w:tc>
        <w:tc>
          <w:tcPr>
            <w:tcW w:w="59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57344B1" w14:textId="77777777" w:rsidR="00E340BB" w:rsidRPr="00B83A1F" w:rsidRDefault="00E340BB" w:rsidP="00823942">
            <w:pPr>
              <w:pStyle w:val="BulletsL1"/>
              <w:spacing w:line="240" w:lineRule="auto"/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Allows the organization to focus efforts</w:t>
            </w:r>
          </w:p>
          <w:p w14:paraId="521F0D19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review own prescribing data or consult national data to identify areas for focus</w:t>
            </w:r>
          </w:p>
          <w:p w14:paraId="0C4646E9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Organization’s protocols and guidelines, education resources, and measurement activities should align with goal</w:t>
            </w:r>
          </w:p>
        </w:tc>
      </w:tr>
      <w:tr w:rsidR="00E340BB" w:rsidRPr="00B83A1F" w14:paraId="75DD38DE" w14:textId="77777777" w:rsidTr="0013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one" w:sz="0" w:space="0" w:color="auto"/>
            </w:tcBorders>
            <w:shd w:val="clear" w:color="auto" w:fill="auto"/>
          </w:tcPr>
          <w:p w14:paraId="4C2B4D3E" w14:textId="77777777" w:rsidR="00E340BB" w:rsidRPr="00B83A1F" w:rsidRDefault="00E340BB" w:rsidP="00136625">
            <w:pPr>
              <w:spacing w:before="40" w:after="4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83A1F">
              <w:rPr>
                <w:rFonts w:cs="Times New Roman"/>
                <w:b w:val="0"/>
                <w:bCs w:val="0"/>
                <w:sz w:val="20"/>
                <w:szCs w:val="20"/>
              </w:rPr>
              <w:t>Organization uses evidence-based practice guidelines related to antibiotic stewardship goal(s)</w:t>
            </w:r>
          </w:p>
        </w:tc>
        <w:tc>
          <w:tcPr>
            <w:tcW w:w="59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43F278E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 protocols and guidelines will help ensure that antibiotics are given to only patients who need them</w:t>
            </w:r>
          </w:p>
        </w:tc>
      </w:tr>
      <w:tr w:rsidR="00E340BB" w:rsidRPr="00B83A1F" w14:paraId="0C2A6546" w14:textId="77777777" w:rsidTr="00136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one" w:sz="0" w:space="0" w:color="auto"/>
            </w:tcBorders>
            <w:shd w:val="clear" w:color="auto" w:fill="auto"/>
          </w:tcPr>
          <w:p w14:paraId="42DB8506" w14:textId="77777777" w:rsidR="00E340BB" w:rsidRPr="00B83A1F" w:rsidRDefault="00E340BB" w:rsidP="00136625">
            <w:pPr>
              <w:spacing w:before="40" w:after="4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83A1F">
              <w:rPr>
                <w:rFonts w:cs="Times New Roman"/>
                <w:b w:val="0"/>
                <w:bCs w:val="0"/>
                <w:sz w:val="20"/>
                <w:szCs w:val="20"/>
              </w:rPr>
              <w:t>Organization provides all clinical staff with educational resources related to the goal, and strategies that promote appropriate antibiotic prescribing</w:t>
            </w:r>
          </w:p>
        </w:tc>
        <w:tc>
          <w:tcPr>
            <w:tcW w:w="59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A8B1211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staff need education about the goal so that patients receive clear and consistent recommendations when antibiotics are not indicated</w:t>
            </w:r>
          </w:p>
          <w:p w14:paraId="4440FCAE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 can include recommended prescribing practices, and strategies to explain why some patients may not need an antibiotic</w:t>
            </w:r>
          </w:p>
        </w:tc>
      </w:tr>
      <w:tr w:rsidR="00E340BB" w:rsidRPr="00B83A1F" w14:paraId="3BF492BD" w14:textId="77777777" w:rsidTr="0013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D9D9D9" w:themeColor="background1" w:themeShade="D9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17BDB89" w14:textId="77777777" w:rsidR="00E340BB" w:rsidRPr="00B83A1F" w:rsidRDefault="00E340BB" w:rsidP="00136625">
            <w:pPr>
              <w:spacing w:before="40" w:after="4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83A1F">
              <w:rPr>
                <w:rFonts w:cs="Times New Roman"/>
                <w:b w:val="0"/>
                <w:bCs w:val="0"/>
                <w:sz w:val="20"/>
                <w:szCs w:val="20"/>
              </w:rPr>
              <w:t>Organization collects, analyzes, and reports data on the goal to organizational leadership and prescribers</w:t>
            </w:r>
          </w:p>
        </w:tc>
        <w:tc>
          <w:tcPr>
            <w:tcW w:w="594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14:paraId="17A1FDF3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Important to evaluate whether activities are successful, and share any progress with leadership</w:t>
            </w:r>
          </w:p>
          <w:p w14:paraId="3C980B53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involve electronic or manual data collection, analysis methods</w:t>
            </w:r>
          </w:p>
          <w:p w14:paraId="2FF743E6" w14:textId="77777777" w:rsidR="00E340BB" w:rsidRPr="00B83A1F" w:rsidRDefault="00E340BB" w:rsidP="00823942">
            <w:pPr>
              <w:pStyle w:val="BulletsL1"/>
              <w:spacing w:line="240" w:lineRule="auto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Sustained effort is often required to see change in culture of antibiotic prescribing</w:t>
            </w:r>
          </w:p>
        </w:tc>
      </w:tr>
    </w:tbl>
    <w:p w14:paraId="75C1CB4B" w14:textId="64244CF8" w:rsidR="00E340BB" w:rsidRDefault="00E340BB" w:rsidP="00E340BB"/>
    <w:p w14:paraId="5FA9BDD4" w14:textId="0DE451E6" w:rsidR="00E340BB" w:rsidRDefault="00E340BB" w:rsidP="00E340BB"/>
    <w:p w14:paraId="0B269CE8" w14:textId="635E142C" w:rsidR="00E340BB" w:rsidRDefault="00E340BB" w:rsidP="00E340BB"/>
    <w:p w14:paraId="2B38B60D" w14:textId="39ACD0F0" w:rsidR="00E340BB" w:rsidRDefault="00E340BB" w:rsidP="00E340BB"/>
    <w:p w14:paraId="35D85437" w14:textId="47239154" w:rsidR="00E340BB" w:rsidRDefault="00E340BB" w:rsidP="00E340BB"/>
    <w:p w14:paraId="3A8B2B11" w14:textId="08000611" w:rsidR="00E340BB" w:rsidRDefault="00E340BB" w:rsidP="00E340BB"/>
    <w:p w14:paraId="03F57A52" w14:textId="7B623B7B" w:rsidR="00E340BB" w:rsidRDefault="00E340BB" w:rsidP="00E340BB"/>
    <w:p w14:paraId="0290D785" w14:textId="77777777" w:rsidR="00E340BB" w:rsidRPr="00E340BB" w:rsidRDefault="00E340BB" w:rsidP="00E340BB"/>
    <w:p w14:paraId="65EC5184" w14:textId="77777777" w:rsidR="00E340BB" w:rsidRPr="00CF23D7" w:rsidRDefault="00E340BB" w:rsidP="00E340BB">
      <w:pPr>
        <w:pStyle w:val="Tablefiguretitle"/>
        <w:rPr>
          <w:sz w:val="22"/>
          <w:szCs w:val="22"/>
          <w:lang w:val="en-US"/>
        </w:rPr>
      </w:pPr>
      <w:r w:rsidRPr="00CF23D7">
        <w:rPr>
          <w:b/>
          <w:sz w:val="22"/>
          <w:szCs w:val="22"/>
          <w:lang w:val="en-US"/>
        </w:rPr>
        <w:t>Supplementary Table 2.</w:t>
      </w:r>
      <w:r w:rsidRPr="00CF23D7">
        <w:rPr>
          <w:sz w:val="22"/>
          <w:szCs w:val="22"/>
          <w:lang w:val="en-US"/>
        </w:rPr>
        <w:t xml:space="preserve"> Safety-related factors that warrant careful consideration of antibiotic choice in outpatient treatment of pneumonia or skin infection</w:t>
      </w:r>
      <w:r>
        <w:rPr>
          <w:sz w:val="22"/>
          <w:szCs w:val="22"/>
          <w:lang w:val="en-US"/>
        </w:rPr>
        <w:t xml:space="preserve"> (2).</w:t>
      </w:r>
      <w:r w:rsidRPr="00CF23D7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5"/>
      </w:tblGrid>
      <w:tr w:rsidR="00E340BB" w:rsidRPr="005D3365" w14:paraId="07D723FA" w14:textId="77777777" w:rsidTr="00136625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01EC1" w14:textId="77777777" w:rsidR="00E340BB" w:rsidRPr="005D3365" w:rsidRDefault="00E340BB" w:rsidP="00136625">
            <w:pPr>
              <w:spacing w:before="40" w:after="4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b/>
                <w:color w:val="000000" w:themeColor="text1"/>
                <w:sz w:val="20"/>
                <w:szCs w:val="20"/>
              </w:rPr>
              <w:t>Antibiotic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A897DF" w14:textId="77777777" w:rsidR="00E340BB" w:rsidRPr="005D3365" w:rsidRDefault="00E340BB" w:rsidP="00136625">
            <w:pPr>
              <w:spacing w:before="40" w:after="4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b/>
                <w:color w:val="000000" w:themeColor="text1"/>
                <w:sz w:val="20"/>
                <w:szCs w:val="20"/>
              </w:rPr>
              <w:t>Risk factor</w:t>
            </w:r>
          </w:p>
        </w:tc>
      </w:tr>
      <w:tr w:rsidR="00E340BB" w:rsidRPr="005D3365" w14:paraId="6F6D8D07" w14:textId="77777777" w:rsidTr="00136625">
        <w:tc>
          <w:tcPr>
            <w:tcW w:w="198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38BD8C1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Fluoroquinolones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7074107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QTc prolongation</w:t>
            </w:r>
          </w:p>
          <w:p w14:paraId="3C566603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Tendinopathy/tendon rupture</w:t>
            </w:r>
          </w:p>
          <w:p w14:paraId="59944AF8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Neuropathy</w:t>
            </w:r>
          </w:p>
          <w:p w14:paraId="290CE9AE" w14:textId="70BDE1C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Risk for </w:t>
            </w:r>
            <w:r w:rsidRPr="005D336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C. difficile infection</w:t>
            </w: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(esp. age ≥65 years, recent antibiotic use)</w:t>
            </w:r>
          </w:p>
        </w:tc>
      </w:tr>
      <w:tr w:rsidR="00E340BB" w:rsidRPr="005D3365" w14:paraId="3D2C2024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C8370F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Cephalosporins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F51B7C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Risk for </w:t>
            </w:r>
            <w:r w:rsidRPr="005D336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C. difficile infection</w:t>
            </w: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(esp. age ≥65 years, recent antibiotic use)</w:t>
            </w:r>
          </w:p>
        </w:tc>
      </w:tr>
      <w:tr w:rsidR="00E340BB" w:rsidRPr="005D3365" w14:paraId="2124688A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D9D27A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Penicillins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C8483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Hypersensitivity reaction</w:t>
            </w:r>
          </w:p>
        </w:tc>
      </w:tr>
      <w:tr w:rsidR="00E340BB" w:rsidRPr="005D3365" w14:paraId="6ADB238D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B2C89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Clindamycin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78324C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Risk for </w:t>
            </w:r>
            <w:r w:rsidRPr="005D336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C. difficile infection</w:t>
            </w: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(esp. age ≥65 years, recent antibiotic use)</w:t>
            </w:r>
          </w:p>
          <w:p w14:paraId="432E8618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Hematologic or renal issues with prolonged therapy</w:t>
            </w:r>
          </w:p>
        </w:tc>
      </w:tr>
      <w:tr w:rsidR="00E340BB" w:rsidRPr="005D3365" w14:paraId="2E64C6DB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EFDA72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Tetracyclines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9C3BED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Developmental effects (avoid in children, pregnancy)</w:t>
            </w:r>
          </w:p>
          <w:p w14:paraId="2BB3DE52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Photosensitivity</w:t>
            </w:r>
          </w:p>
        </w:tc>
      </w:tr>
      <w:tr w:rsidR="00E340BB" w:rsidRPr="005D3365" w14:paraId="351D917D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2D9BF1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Oxazolidinones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C46B54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Serotonin syndrome (esp. with prior or concomitant serotonergic agents)</w:t>
            </w:r>
          </w:p>
          <w:p w14:paraId="3D565C3E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Myelosuppression, visual issues with prolonged therapy</w:t>
            </w:r>
          </w:p>
        </w:tc>
      </w:tr>
      <w:tr w:rsidR="00E340BB" w:rsidRPr="005D3365" w14:paraId="02A96876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632F84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Macrolides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22C341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QTc prolongation</w:t>
            </w:r>
          </w:p>
        </w:tc>
      </w:tr>
      <w:tr w:rsidR="00E340BB" w:rsidRPr="005D3365" w14:paraId="51C7522D" w14:textId="77777777" w:rsidTr="00136625"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8193429" w14:textId="77777777" w:rsidR="00E340BB" w:rsidRPr="005D3365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3365">
              <w:rPr>
                <w:rFonts w:cs="Times New Roman"/>
                <w:color w:val="000000" w:themeColor="text1"/>
                <w:sz w:val="20"/>
                <w:szCs w:val="20"/>
              </w:rPr>
              <w:t>Aminoglycosides</w:t>
            </w:r>
          </w:p>
        </w:tc>
        <w:tc>
          <w:tcPr>
            <w:tcW w:w="736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F2D2B4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Nephrotoxicity</w:t>
            </w:r>
          </w:p>
          <w:p w14:paraId="338A0AA6" w14:textId="77777777" w:rsidR="00E340BB" w:rsidRPr="005D3365" w:rsidRDefault="00E340BB" w:rsidP="00E340BB">
            <w:pPr>
              <w:pStyle w:val="BulletsL1"/>
              <w:spacing w:before="40" w:after="40" w:line="240" w:lineRule="auto"/>
              <w:ind w:left="360" w:hanging="36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Ototoxicity</w:t>
            </w:r>
          </w:p>
        </w:tc>
      </w:tr>
    </w:tbl>
    <w:p w14:paraId="61195EBE" w14:textId="1BED9525" w:rsidR="00E340BB" w:rsidRDefault="00E340BB" w:rsidP="002B4A57">
      <w:pPr>
        <w:rPr>
          <w:rFonts w:cs="Times New Roman"/>
          <w:szCs w:val="24"/>
          <w:u w:val="single"/>
        </w:rPr>
      </w:pPr>
    </w:p>
    <w:p w14:paraId="047F6F48" w14:textId="27DCD188" w:rsidR="00E340BB" w:rsidRDefault="00E340BB" w:rsidP="002B4A57">
      <w:pPr>
        <w:rPr>
          <w:rFonts w:cs="Times New Roman"/>
          <w:szCs w:val="24"/>
          <w:u w:val="single"/>
        </w:rPr>
      </w:pPr>
    </w:p>
    <w:p w14:paraId="5D5F26F8" w14:textId="2666ECC2" w:rsidR="00E340BB" w:rsidRDefault="00E340BB" w:rsidP="002B4A57">
      <w:pPr>
        <w:rPr>
          <w:rFonts w:cs="Times New Roman"/>
          <w:szCs w:val="24"/>
          <w:u w:val="single"/>
        </w:rPr>
      </w:pPr>
    </w:p>
    <w:p w14:paraId="5595A132" w14:textId="6855E962" w:rsidR="00E340BB" w:rsidRDefault="00E340BB" w:rsidP="002B4A57">
      <w:pPr>
        <w:rPr>
          <w:rFonts w:cs="Times New Roman"/>
          <w:szCs w:val="24"/>
          <w:u w:val="single"/>
        </w:rPr>
      </w:pPr>
    </w:p>
    <w:p w14:paraId="42E735DC" w14:textId="3B0A09EC" w:rsidR="00E340BB" w:rsidRDefault="00E340BB" w:rsidP="002B4A57">
      <w:pPr>
        <w:rPr>
          <w:rFonts w:cs="Times New Roman"/>
          <w:szCs w:val="24"/>
          <w:u w:val="single"/>
        </w:rPr>
      </w:pPr>
    </w:p>
    <w:p w14:paraId="0B2B63C7" w14:textId="1A9F6FE2" w:rsidR="00E340BB" w:rsidRDefault="00E340BB" w:rsidP="002B4A57">
      <w:pPr>
        <w:rPr>
          <w:rFonts w:cs="Times New Roman"/>
          <w:szCs w:val="24"/>
          <w:u w:val="single"/>
        </w:rPr>
      </w:pPr>
    </w:p>
    <w:p w14:paraId="7193F97B" w14:textId="54D6CF5B" w:rsidR="00E340BB" w:rsidRDefault="00E340BB" w:rsidP="002B4A57">
      <w:pPr>
        <w:rPr>
          <w:rFonts w:cs="Times New Roman"/>
          <w:szCs w:val="24"/>
          <w:u w:val="single"/>
        </w:rPr>
      </w:pPr>
    </w:p>
    <w:p w14:paraId="4FDDB0A5" w14:textId="06CE9AF0" w:rsidR="00E340BB" w:rsidRDefault="00E340BB" w:rsidP="002B4A57">
      <w:pPr>
        <w:rPr>
          <w:rFonts w:cs="Times New Roman"/>
          <w:szCs w:val="24"/>
          <w:u w:val="single"/>
        </w:rPr>
      </w:pPr>
    </w:p>
    <w:p w14:paraId="3F1A995E" w14:textId="7A7A7D1E" w:rsidR="00E340BB" w:rsidRDefault="00E340BB" w:rsidP="002B4A57">
      <w:pPr>
        <w:rPr>
          <w:rFonts w:cs="Times New Roman"/>
          <w:szCs w:val="24"/>
          <w:u w:val="single"/>
        </w:rPr>
      </w:pPr>
    </w:p>
    <w:p w14:paraId="481EDD29" w14:textId="63175212" w:rsidR="00E340BB" w:rsidRDefault="00E340BB" w:rsidP="002B4A57">
      <w:pPr>
        <w:rPr>
          <w:rFonts w:cs="Times New Roman"/>
          <w:szCs w:val="24"/>
          <w:u w:val="single"/>
        </w:rPr>
      </w:pPr>
    </w:p>
    <w:p w14:paraId="10B47720" w14:textId="764AC064" w:rsidR="00E340BB" w:rsidRDefault="00E340BB" w:rsidP="002B4A57">
      <w:pPr>
        <w:rPr>
          <w:rFonts w:cs="Times New Roman"/>
          <w:szCs w:val="24"/>
          <w:u w:val="single"/>
        </w:rPr>
      </w:pPr>
    </w:p>
    <w:p w14:paraId="2CC3BE41" w14:textId="6C669C40" w:rsidR="00E340BB" w:rsidRDefault="00E340BB" w:rsidP="002B4A57">
      <w:pPr>
        <w:rPr>
          <w:rFonts w:cs="Times New Roman"/>
          <w:szCs w:val="24"/>
          <w:u w:val="single"/>
        </w:rPr>
      </w:pPr>
    </w:p>
    <w:p w14:paraId="37853EE2" w14:textId="77777777" w:rsidR="00E340BB" w:rsidRDefault="00E340BB" w:rsidP="002B4A57">
      <w:pPr>
        <w:rPr>
          <w:rFonts w:cs="Times New Roman"/>
          <w:szCs w:val="24"/>
          <w:u w:val="single"/>
        </w:rPr>
      </w:pPr>
    </w:p>
    <w:p w14:paraId="4C9D617E" w14:textId="77777777" w:rsidR="00E340BB" w:rsidRPr="00E340BB" w:rsidRDefault="00E340BB" w:rsidP="00E340BB">
      <w:pPr>
        <w:pStyle w:val="Tablefiguretitle"/>
        <w:rPr>
          <w:bCs w:val="0"/>
          <w:sz w:val="22"/>
          <w:szCs w:val="22"/>
          <w:lang w:val="en-US"/>
        </w:rPr>
      </w:pPr>
      <w:r w:rsidRPr="00E340BB">
        <w:rPr>
          <w:b/>
          <w:sz w:val="22"/>
          <w:szCs w:val="22"/>
          <w:lang w:val="en-US"/>
        </w:rPr>
        <w:lastRenderedPageBreak/>
        <w:t xml:space="preserve">Supplementary Table 3. </w:t>
      </w:r>
      <w:r w:rsidRPr="00E340BB">
        <w:rPr>
          <w:bCs w:val="0"/>
          <w:sz w:val="22"/>
          <w:szCs w:val="22"/>
          <w:lang w:val="en-US"/>
        </w:rPr>
        <w:t>Managing patient/parent expectations for antibiotic prescription.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E340BB" w:rsidRPr="00E340BB" w14:paraId="33A4A484" w14:textId="77777777" w:rsidTr="0013662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B1F0D2" w14:textId="77777777" w:rsidR="00E340BB" w:rsidRPr="00E340BB" w:rsidRDefault="00E340BB" w:rsidP="00136625">
            <w:pPr>
              <w:spacing w:before="40" w:after="4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b/>
                <w:color w:val="000000" w:themeColor="text1"/>
                <w:sz w:val="20"/>
                <w:szCs w:val="20"/>
              </w:rPr>
              <w:t>When…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07E28" w14:textId="77777777" w:rsidR="00E340BB" w:rsidRPr="00E340BB" w:rsidRDefault="00E340BB" w:rsidP="00136625">
            <w:pPr>
              <w:spacing w:before="40" w:after="4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b/>
                <w:color w:val="000000" w:themeColor="text1"/>
                <w:sz w:val="20"/>
                <w:szCs w:val="20"/>
              </w:rPr>
              <w:t>What to say…</w:t>
            </w:r>
          </w:p>
        </w:tc>
      </w:tr>
      <w:tr w:rsidR="00E340BB" w:rsidRPr="00E340BB" w14:paraId="431C49C9" w14:textId="77777777" w:rsidTr="00136625">
        <w:tc>
          <w:tcPr>
            <w:tcW w:w="287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E482994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Non-antibiotic treatments are indicated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16FF380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“Drink extra fluids.”</w:t>
            </w:r>
          </w:p>
          <w:p w14:paraId="7EDD3C14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“A humidifier or salt water nose spray can help congestion.”</w:t>
            </w:r>
          </w:p>
          <w:p w14:paraId="0856CF85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“Popsicles or throat lozenges can help a sore throat.” [Lozenges for patients ≥4 years]</w:t>
            </w:r>
          </w:p>
          <w:p w14:paraId="0563C55C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“Honey can help a cough.” [Honey for patients ≥1 year]</w:t>
            </w:r>
          </w:p>
          <w:p w14:paraId="5F971C0F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“Sleep with an extra pillow or towel to prop up your head, to relieve head pressure or coughing at night.”</w:t>
            </w:r>
          </w:p>
        </w:tc>
      </w:tr>
      <w:tr w:rsidR="00E340BB" w:rsidRPr="00E340BB" w14:paraId="163C2041" w14:textId="77777777" w:rsidTr="00136625"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4771CC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Making plans for follow-up</w:t>
            </w:r>
          </w:p>
        </w:tc>
        <w:tc>
          <w:tcPr>
            <w:tcW w:w="64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E5676A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“If you’re not feeling better in 3–4 days, call my office and we’ll see if we need to change the plan.”</w:t>
            </w:r>
          </w:p>
          <w:p w14:paraId="15BD3237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“If your child is not better in 1 week or starts a fever, come back in.”</w:t>
            </w:r>
          </w:p>
        </w:tc>
      </w:tr>
      <w:tr w:rsidR="00E340BB" w:rsidRPr="00E340BB" w14:paraId="3FC8A3D6" w14:textId="77777777" w:rsidTr="00136625"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AE20E7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Antibiotics are not indicated</w:t>
            </w:r>
          </w:p>
        </w:tc>
        <w:tc>
          <w:tcPr>
            <w:tcW w:w="64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30F5BE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“Your sickness is caused by a virus, and antibiotics don’t work on viruses.”</w:t>
            </w:r>
          </w:p>
          <w:p w14:paraId="2B5039DD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 xml:space="preserve">“Antibiotics won’t help you feel better any sooner, and sometimes they can have side effects that we want to avoid if possible.” </w:t>
            </w:r>
          </w:p>
        </w:tc>
      </w:tr>
      <w:tr w:rsidR="00E340BB" w:rsidRPr="00E340BB" w14:paraId="3333C084" w14:textId="77777777" w:rsidTr="00136625">
        <w:tc>
          <w:tcPr>
            <w:tcW w:w="287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F421D57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Delayed prescribing</w:t>
            </w:r>
          </w:p>
        </w:tc>
        <w:tc>
          <w:tcPr>
            <w:tcW w:w="647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66C48DA" w14:textId="77777777" w:rsidR="00E340BB" w:rsidRPr="00E340BB" w:rsidRDefault="00E340BB" w:rsidP="00136625">
            <w:pPr>
              <w:spacing w:before="40" w:after="4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340BB">
              <w:rPr>
                <w:rFonts w:cs="Times New Roman"/>
                <w:color w:val="000000" w:themeColor="text1"/>
                <w:sz w:val="20"/>
                <w:szCs w:val="20"/>
              </w:rPr>
              <w:t>“Your child has an ear infection that should clear up on its own. In case it doesn’t, you can fill this antibiotic prescription in 2 days if your child is not feeling better or is getting worse.”</w:t>
            </w:r>
          </w:p>
        </w:tc>
      </w:tr>
    </w:tbl>
    <w:p w14:paraId="636D6264" w14:textId="3D3B5DC9" w:rsidR="00E340BB" w:rsidRPr="00E340BB" w:rsidRDefault="00E340BB" w:rsidP="00E340BB">
      <w:pPr>
        <w:pStyle w:val="Tablefigurefootnote"/>
        <w:rPr>
          <w:rFonts w:ascii="Times New Roman" w:hAnsi="Times New Roman" w:cs="Times New Roman"/>
          <w:color w:val="000000" w:themeColor="text1"/>
          <w:lang w:val="en-US"/>
        </w:rPr>
      </w:pPr>
      <w:r w:rsidRPr="00E340BB">
        <w:rPr>
          <w:rFonts w:ascii="Times New Roman" w:hAnsi="Times New Roman" w:cs="Times New Roman"/>
          <w:lang w:val="en-US"/>
        </w:rPr>
        <w:t>Adapted from Fleming-Dutra, et al</w:t>
      </w:r>
      <w:r w:rsidR="003D1323">
        <w:rPr>
          <w:rFonts w:ascii="Times New Roman" w:hAnsi="Times New Roman" w:cs="Times New Roman"/>
          <w:lang w:val="en-US"/>
        </w:rPr>
        <w:t xml:space="preserve"> (3)</w:t>
      </w:r>
      <w:r w:rsidRPr="00E340BB">
        <w:rPr>
          <w:rFonts w:ascii="Times New Roman" w:hAnsi="Times New Roman" w:cs="Times New Roman"/>
          <w:lang w:val="en-US"/>
        </w:rPr>
        <w:t>.</w:t>
      </w:r>
    </w:p>
    <w:p w14:paraId="2B64F225" w14:textId="51D132B5" w:rsidR="00E340BB" w:rsidRDefault="00E340BB" w:rsidP="002B4A57">
      <w:pPr>
        <w:rPr>
          <w:rFonts w:cs="Times New Roman"/>
          <w:szCs w:val="24"/>
          <w:u w:val="single"/>
        </w:rPr>
      </w:pPr>
    </w:p>
    <w:p w14:paraId="61931A26" w14:textId="635F202F" w:rsidR="00447B3B" w:rsidRDefault="00447B3B" w:rsidP="002B4A57">
      <w:pPr>
        <w:rPr>
          <w:rFonts w:cs="Times New Roman"/>
          <w:szCs w:val="24"/>
          <w:u w:val="single"/>
        </w:rPr>
      </w:pPr>
    </w:p>
    <w:p w14:paraId="12E87D56" w14:textId="29DE82E6" w:rsidR="00447B3B" w:rsidRDefault="00447B3B" w:rsidP="002B4A57">
      <w:pPr>
        <w:rPr>
          <w:rFonts w:cs="Times New Roman"/>
          <w:szCs w:val="24"/>
          <w:u w:val="single"/>
        </w:rPr>
      </w:pPr>
    </w:p>
    <w:p w14:paraId="58508C4B" w14:textId="2522F1D0" w:rsidR="00EB25E9" w:rsidRDefault="00EB25E9" w:rsidP="002B4A57">
      <w:pPr>
        <w:rPr>
          <w:rFonts w:cs="Times New Roman"/>
          <w:szCs w:val="24"/>
          <w:u w:val="single"/>
        </w:rPr>
      </w:pPr>
    </w:p>
    <w:p w14:paraId="48A386DD" w14:textId="44799F02" w:rsidR="00EB25E9" w:rsidRDefault="00EB25E9" w:rsidP="002B4A57">
      <w:pPr>
        <w:rPr>
          <w:rFonts w:cs="Times New Roman"/>
          <w:szCs w:val="24"/>
          <w:u w:val="single"/>
        </w:rPr>
      </w:pPr>
    </w:p>
    <w:p w14:paraId="08D5D796" w14:textId="0EBC5064" w:rsidR="00EB25E9" w:rsidRDefault="00EB25E9" w:rsidP="002B4A57">
      <w:pPr>
        <w:rPr>
          <w:rFonts w:cs="Times New Roman"/>
          <w:szCs w:val="24"/>
          <w:u w:val="single"/>
        </w:rPr>
      </w:pPr>
    </w:p>
    <w:p w14:paraId="6964B6F6" w14:textId="57CBE2C4" w:rsidR="00EB25E9" w:rsidRDefault="00EB25E9" w:rsidP="002B4A57">
      <w:pPr>
        <w:rPr>
          <w:rFonts w:cs="Times New Roman"/>
          <w:szCs w:val="24"/>
          <w:u w:val="single"/>
        </w:rPr>
      </w:pPr>
    </w:p>
    <w:p w14:paraId="43C76C85" w14:textId="549AF2B2" w:rsidR="00EB25E9" w:rsidRDefault="00EB25E9" w:rsidP="002B4A57">
      <w:pPr>
        <w:rPr>
          <w:rFonts w:cs="Times New Roman"/>
          <w:szCs w:val="24"/>
          <w:u w:val="single"/>
        </w:rPr>
      </w:pPr>
    </w:p>
    <w:p w14:paraId="575D8256" w14:textId="395DF7C2" w:rsidR="00EB25E9" w:rsidRDefault="00EB25E9" w:rsidP="002B4A57">
      <w:pPr>
        <w:rPr>
          <w:rFonts w:cs="Times New Roman"/>
          <w:szCs w:val="24"/>
          <w:u w:val="single"/>
        </w:rPr>
      </w:pPr>
    </w:p>
    <w:p w14:paraId="64F69123" w14:textId="622AC660" w:rsidR="00EB25E9" w:rsidRDefault="00EB25E9" w:rsidP="002B4A57">
      <w:pPr>
        <w:rPr>
          <w:rFonts w:cs="Times New Roman"/>
          <w:szCs w:val="24"/>
          <w:u w:val="single"/>
        </w:rPr>
      </w:pPr>
    </w:p>
    <w:p w14:paraId="1E0948D6" w14:textId="653C0C29" w:rsidR="00EB25E9" w:rsidRDefault="00EB25E9" w:rsidP="002B4A57">
      <w:pPr>
        <w:rPr>
          <w:rFonts w:cs="Times New Roman"/>
          <w:szCs w:val="24"/>
          <w:u w:val="single"/>
        </w:rPr>
      </w:pPr>
    </w:p>
    <w:p w14:paraId="4BAB799B" w14:textId="0C64FAB1" w:rsidR="00EB25E9" w:rsidRDefault="00EB25E9" w:rsidP="002B4A57">
      <w:pPr>
        <w:rPr>
          <w:rFonts w:cs="Times New Roman"/>
          <w:szCs w:val="24"/>
          <w:u w:val="single"/>
        </w:rPr>
      </w:pPr>
    </w:p>
    <w:p w14:paraId="18F20170" w14:textId="172DF4D1" w:rsidR="00EB25E9" w:rsidRDefault="00EB25E9" w:rsidP="002B4A57">
      <w:pPr>
        <w:rPr>
          <w:rFonts w:cs="Times New Roman"/>
          <w:szCs w:val="24"/>
          <w:u w:val="single"/>
        </w:rPr>
      </w:pPr>
    </w:p>
    <w:p w14:paraId="5915A235" w14:textId="2DFCB282" w:rsidR="00EB25E9" w:rsidRDefault="00EB25E9" w:rsidP="002B4A57">
      <w:pPr>
        <w:rPr>
          <w:rFonts w:cs="Times New Roman"/>
          <w:szCs w:val="24"/>
          <w:u w:val="single"/>
        </w:rPr>
      </w:pPr>
    </w:p>
    <w:p w14:paraId="5258E43E" w14:textId="77777777" w:rsidR="00EB25E9" w:rsidRPr="002B4A57" w:rsidRDefault="00EB25E9" w:rsidP="002B4A57">
      <w:pPr>
        <w:rPr>
          <w:rFonts w:cs="Times New Roman"/>
          <w:szCs w:val="24"/>
          <w:u w:val="single"/>
        </w:rPr>
      </w:pPr>
    </w:p>
    <w:p w14:paraId="455C8906" w14:textId="08B291F8" w:rsidR="00EB25E9" w:rsidRDefault="00E340BB" w:rsidP="00EB25E9">
      <w:pPr>
        <w:pStyle w:val="Heading1"/>
      </w:pPr>
      <w:r w:rsidRPr="0001436A">
        <w:lastRenderedPageBreak/>
        <w:t>SUPPLEMENTARY</w:t>
      </w:r>
      <w:r w:rsidRPr="001549D3">
        <w:t xml:space="preserve"> FIGUR</w:t>
      </w:r>
      <w:r w:rsidR="00EB25E9">
        <w:t>ES</w:t>
      </w:r>
    </w:p>
    <w:p w14:paraId="45969D4D" w14:textId="4B23FC1A" w:rsidR="00CB312D" w:rsidRDefault="00CB312D" w:rsidP="00CB312D">
      <w:r w:rsidRPr="0069588B">
        <w:rPr>
          <w:b/>
          <w:noProof/>
          <w:color w:val="000000" w:themeColor="text1"/>
        </w:rPr>
        <w:drawing>
          <wp:inline distT="0" distB="0" distL="0" distR="0" wp14:anchorId="0B068C2D" wp14:editId="153C5325">
            <wp:extent cx="3851031" cy="5951507"/>
            <wp:effectExtent l="0" t="0" r="0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671" cy="60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F2407" w14:textId="085DB8E2" w:rsidR="00CB312D" w:rsidRPr="00CC3FFE" w:rsidRDefault="00CB312D" w:rsidP="00CB312D">
      <w:pPr>
        <w:keepNext/>
        <w:rPr>
          <w:szCs w:val="24"/>
        </w:rPr>
      </w:pPr>
      <w:r w:rsidRPr="00CC3FFE">
        <w:rPr>
          <w:rFonts w:cs="Times New Roman"/>
          <w:b/>
          <w:szCs w:val="24"/>
        </w:rPr>
        <w:t xml:space="preserve">Supplementary Figure </w:t>
      </w:r>
      <w:r w:rsidRPr="00CC3FFE">
        <w:rPr>
          <w:rFonts w:cs="Times New Roman"/>
          <w:b/>
          <w:szCs w:val="24"/>
        </w:rPr>
        <w:fldChar w:fldCharType="begin"/>
      </w:r>
      <w:r w:rsidRPr="00CC3FFE">
        <w:rPr>
          <w:rFonts w:cs="Times New Roman"/>
          <w:b/>
          <w:szCs w:val="24"/>
        </w:rPr>
        <w:instrText xml:space="preserve"> SEQ Figure \* ARABIC </w:instrText>
      </w:r>
      <w:r w:rsidRPr="00CC3FFE">
        <w:rPr>
          <w:rFonts w:cs="Times New Roman"/>
          <w:b/>
          <w:szCs w:val="24"/>
        </w:rPr>
        <w:fldChar w:fldCharType="separate"/>
      </w:r>
      <w:r w:rsidRPr="00CC3FFE">
        <w:rPr>
          <w:rFonts w:cs="Times New Roman"/>
          <w:b/>
          <w:noProof/>
          <w:szCs w:val="24"/>
        </w:rPr>
        <w:t>1</w:t>
      </w:r>
      <w:r w:rsidRPr="00CC3FFE">
        <w:rPr>
          <w:rFonts w:cs="Times New Roman"/>
          <w:b/>
          <w:szCs w:val="24"/>
        </w:rPr>
        <w:fldChar w:fldCharType="end"/>
      </w:r>
      <w:r w:rsidRPr="00CC3FFE">
        <w:rPr>
          <w:rFonts w:cs="Times New Roman"/>
          <w:b/>
          <w:szCs w:val="24"/>
        </w:rPr>
        <w:t>.</w:t>
      </w:r>
      <w:r w:rsidRPr="00CC3FFE">
        <w:rPr>
          <w:rFonts w:cs="Times New Roman"/>
          <w:szCs w:val="24"/>
        </w:rPr>
        <w:t xml:space="preserve"> </w:t>
      </w:r>
      <w:r w:rsidRPr="00CC3FFE">
        <w:rPr>
          <w:szCs w:val="24"/>
        </w:rPr>
        <w:t xml:space="preserve">Example of signed commitment letter to post in the clinic for appropriate antibiotic use. From the Centers for Disease Control and Prevention (4). </w:t>
      </w:r>
    </w:p>
    <w:p w14:paraId="3E8B3EEC" w14:textId="7E741D2D" w:rsidR="005D59D1" w:rsidRDefault="005D59D1">
      <w:pPr>
        <w:spacing w:before="0" w:after="200" w:line="276" w:lineRule="auto"/>
      </w:pPr>
      <w:r>
        <w:br w:type="page"/>
      </w:r>
    </w:p>
    <w:p w14:paraId="47904E25" w14:textId="77777777" w:rsidR="00CB312D" w:rsidRPr="00CB312D" w:rsidRDefault="00CB312D" w:rsidP="00CB312D"/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2605"/>
        <w:gridCol w:w="1260"/>
        <w:gridCol w:w="1350"/>
        <w:gridCol w:w="1080"/>
        <w:gridCol w:w="3055"/>
      </w:tblGrid>
      <w:tr w:rsidR="005D59D1" w:rsidRPr="0069588B" w14:paraId="60CF87E1" w14:textId="77777777" w:rsidTr="005D59D1">
        <w:tc>
          <w:tcPr>
            <w:tcW w:w="9350" w:type="dxa"/>
            <w:gridSpan w:val="5"/>
            <w:shd w:val="clear" w:color="auto" w:fill="365F91" w:themeFill="accent1" w:themeFillShade="BF"/>
            <w:vAlign w:val="center"/>
          </w:tcPr>
          <w:p w14:paraId="3A5710B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 w:rsidRPr="0069588B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Viruses or Bacteria</w:t>
            </w:r>
          </w:p>
          <w:p w14:paraId="392879A5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What’s got you sick?</w:t>
            </w:r>
          </w:p>
        </w:tc>
      </w:tr>
      <w:tr w:rsidR="005D59D1" w:rsidRPr="0069588B" w14:paraId="1741598E" w14:textId="77777777" w:rsidTr="005D59D1">
        <w:tc>
          <w:tcPr>
            <w:tcW w:w="2605" w:type="dxa"/>
            <w:vMerge w:val="restart"/>
            <w:shd w:val="clear" w:color="auto" w:fill="95B3D7" w:themeFill="accent1" w:themeFillTint="99"/>
            <w:vAlign w:val="center"/>
          </w:tcPr>
          <w:p w14:paraId="149CB3E2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Illness</w:t>
            </w:r>
          </w:p>
        </w:tc>
        <w:tc>
          <w:tcPr>
            <w:tcW w:w="3690" w:type="dxa"/>
            <w:gridSpan w:val="3"/>
            <w:shd w:val="clear" w:color="auto" w:fill="95B3D7" w:themeFill="accent1" w:themeFillTint="99"/>
            <w:vAlign w:val="center"/>
          </w:tcPr>
          <w:p w14:paraId="5AADA337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Usually Caused By…</w:t>
            </w:r>
          </w:p>
        </w:tc>
        <w:tc>
          <w:tcPr>
            <w:tcW w:w="3055" w:type="dxa"/>
            <w:vMerge w:val="restart"/>
            <w:shd w:val="clear" w:color="auto" w:fill="95B3D7" w:themeFill="accent1" w:themeFillTint="99"/>
            <w:vAlign w:val="center"/>
          </w:tcPr>
          <w:p w14:paraId="525B651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Will Antibiotics Help?</w:t>
            </w:r>
          </w:p>
        </w:tc>
      </w:tr>
      <w:tr w:rsidR="005D59D1" w:rsidRPr="0069588B" w14:paraId="68F010CB" w14:textId="77777777" w:rsidTr="005D59D1">
        <w:tc>
          <w:tcPr>
            <w:tcW w:w="2605" w:type="dxa"/>
            <w:vMerge/>
          </w:tcPr>
          <w:p w14:paraId="41155349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B8CCE4" w:themeFill="accent1" w:themeFillTint="66"/>
            <w:vAlign w:val="bottom"/>
          </w:tcPr>
          <w:p w14:paraId="6A28E1EC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Bacteria</w:t>
            </w:r>
          </w:p>
        </w:tc>
        <w:tc>
          <w:tcPr>
            <w:tcW w:w="1350" w:type="dxa"/>
            <w:shd w:val="clear" w:color="auto" w:fill="B8CCE4" w:themeFill="accent1" w:themeFillTint="66"/>
            <w:vAlign w:val="bottom"/>
          </w:tcPr>
          <w:p w14:paraId="3D7002BC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Bacteria or Virus</w:t>
            </w:r>
          </w:p>
        </w:tc>
        <w:tc>
          <w:tcPr>
            <w:tcW w:w="1080" w:type="dxa"/>
            <w:shd w:val="clear" w:color="auto" w:fill="B8CCE4" w:themeFill="accent1" w:themeFillTint="66"/>
            <w:vAlign w:val="bottom"/>
          </w:tcPr>
          <w:p w14:paraId="0D25C4A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Virus</w:t>
            </w:r>
          </w:p>
        </w:tc>
        <w:tc>
          <w:tcPr>
            <w:tcW w:w="3055" w:type="dxa"/>
            <w:vMerge/>
          </w:tcPr>
          <w:p w14:paraId="7CF548A0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5D59D1" w:rsidRPr="0069588B" w14:paraId="0283AB1B" w14:textId="77777777" w:rsidTr="005D59D1">
        <w:tc>
          <w:tcPr>
            <w:tcW w:w="2605" w:type="dxa"/>
            <w:shd w:val="clear" w:color="auto" w:fill="FABF8F" w:themeFill="accent6" w:themeFillTint="99"/>
            <w:vAlign w:val="center"/>
          </w:tcPr>
          <w:p w14:paraId="5CC12086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Strep throat</w:t>
            </w:r>
          </w:p>
        </w:tc>
        <w:tc>
          <w:tcPr>
            <w:tcW w:w="1260" w:type="dxa"/>
            <w:shd w:val="clear" w:color="auto" w:fill="FABF8F" w:themeFill="accent6" w:themeFillTint="99"/>
            <w:vAlign w:val="center"/>
          </w:tcPr>
          <w:p w14:paraId="78099A48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  <w:shd w:val="clear" w:color="auto" w:fill="FABF8F" w:themeFill="accent6" w:themeFillTint="99"/>
            <w:vAlign w:val="center"/>
          </w:tcPr>
          <w:p w14:paraId="2370A1B0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32F79536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FABF8F" w:themeFill="accent6" w:themeFillTint="99"/>
            <w:vAlign w:val="center"/>
          </w:tcPr>
          <w:p w14:paraId="5F23FBE7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Yes</w:t>
            </w:r>
          </w:p>
        </w:tc>
      </w:tr>
      <w:tr w:rsidR="005D59D1" w:rsidRPr="0069588B" w14:paraId="742DA865" w14:textId="77777777" w:rsidTr="005D59D1">
        <w:tc>
          <w:tcPr>
            <w:tcW w:w="2605" w:type="dxa"/>
            <w:shd w:val="clear" w:color="auto" w:fill="FABF8F" w:themeFill="accent6" w:themeFillTint="99"/>
            <w:vAlign w:val="center"/>
          </w:tcPr>
          <w:p w14:paraId="1047EAA7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Urinary tract infection</w:t>
            </w:r>
          </w:p>
        </w:tc>
        <w:tc>
          <w:tcPr>
            <w:tcW w:w="1260" w:type="dxa"/>
            <w:shd w:val="clear" w:color="auto" w:fill="FABF8F" w:themeFill="accent6" w:themeFillTint="99"/>
            <w:vAlign w:val="center"/>
          </w:tcPr>
          <w:p w14:paraId="3201B2DB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  <w:shd w:val="clear" w:color="auto" w:fill="FABF8F" w:themeFill="accent6" w:themeFillTint="99"/>
            <w:vAlign w:val="center"/>
          </w:tcPr>
          <w:p w14:paraId="06375028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130AC4C8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FABF8F" w:themeFill="accent6" w:themeFillTint="99"/>
            <w:vAlign w:val="center"/>
          </w:tcPr>
          <w:p w14:paraId="1F2BF39E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Yes</w:t>
            </w:r>
          </w:p>
        </w:tc>
      </w:tr>
      <w:tr w:rsidR="005D59D1" w:rsidRPr="0069588B" w14:paraId="38408592" w14:textId="77777777" w:rsidTr="005D59D1">
        <w:tc>
          <w:tcPr>
            <w:tcW w:w="2605" w:type="dxa"/>
            <w:shd w:val="clear" w:color="auto" w:fill="FABF8F" w:themeFill="accent6" w:themeFillTint="99"/>
            <w:vAlign w:val="center"/>
          </w:tcPr>
          <w:p w14:paraId="16A22D25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Whooping cough</w:t>
            </w:r>
          </w:p>
        </w:tc>
        <w:tc>
          <w:tcPr>
            <w:tcW w:w="1260" w:type="dxa"/>
            <w:shd w:val="clear" w:color="auto" w:fill="FABF8F" w:themeFill="accent6" w:themeFillTint="99"/>
            <w:vAlign w:val="center"/>
          </w:tcPr>
          <w:p w14:paraId="66AAA10E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350" w:type="dxa"/>
            <w:shd w:val="clear" w:color="auto" w:fill="FABF8F" w:themeFill="accent6" w:themeFillTint="99"/>
            <w:vAlign w:val="center"/>
          </w:tcPr>
          <w:p w14:paraId="3AF19444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60D1CA0B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FABF8F" w:themeFill="accent6" w:themeFillTint="99"/>
            <w:vAlign w:val="center"/>
          </w:tcPr>
          <w:p w14:paraId="6B4103ED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Yes</w:t>
            </w:r>
          </w:p>
        </w:tc>
      </w:tr>
      <w:tr w:rsidR="005D59D1" w:rsidRPr="0069588B" w14:paraId="55FC8A2D" w14:textId="77777777" w:rsidTr="005D59D1">
        <w:tc>
          <w:tcPr>
            <w:tcW w:w="2605" w:type="dxa"/>
            <w:shd w:val="clear" w:color="auto" w:fill="CCC0D9" w:themeFill="accent4" w:themeFillTint="66"/>
            <w:vAlign w:val="center"/>
          </w:tcPr>
          <w:p w14:paraId="1E51103A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Sinus infection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26E840E9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370EFB31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14:paraId="54C76AC1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CCC0D9" w:themeFill="accent4" w:themeFillTint="66"/>
            <w:vAlign w:val="center"/>
          </w:tcPr>
          <w:p w14:paraId="015753CC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Usually not</w:t>
            </w:r>
          </w:p>
          <w:p w14:paraId="0E3658E2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Antibiotic need depends on symptoms, duration</w:t>
            </w:r>
          </w:p>
        </w:tc>
      </w:tr>
      <w:tr w:rsidR="005D59D1" w:rsidRPr="0069588B" w14:paraId="1DA92882" w14:textId="77777777" w:rsidTr="005D59D1">
        <w:tc>
          <w:tcPr>
            <w:tcW w:w="2605" w:type="dxa"/>
            <w:shd w:val="clear" w:color="auto" w:fill="CCC0D9" w:themeFill="accent4" w:themeFillTint="66"/>
            <w:vAlign w:val="center"/>
          </w:tcPr>
          <w:p w14:paraId="544DCEE7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Middle ear infection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48076150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5E2D1B65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14:paraId="0380C9A9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CCC0D9" w:themeFill="accent4" w:themeFillTint="66"/>
            <w:vAlign w:val="center"/>
          </w:tcPr>
          <w:p w14:paraId="7EC5154F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Usually not</w:t>
            </w:r>
          </w:p>
          <w:p w14:paraId="69CF6B6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Most clear on their own</w:t>
            </w:r>
          </w:p>
          <w:p w14:paraId="5557A030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Swimmer’s ear can clear with ear drops</w:t>
            </w:r>
          </w:p>
        </w:tc>
      </w:tr>
      <w:tr w:rsidR="005D59D1" w:rsidRPr="0069588B" w14:paraId="2667A514" w14:textId="77777777" w:rsidTr="005D59D1">
        <w:tc>
          <w:tcPr>
            <w:tcW w:w="2605" w:type="dxa"/>
            <w:shd w:val="clear" w:color="auto" w:fill="CCC0D9" w:themeFill="accent4" w:themeFillTint="66"/>
            <w:vAlign w:val="center"/>
          </w:tcPr>
          <w:p w14:paraId="7D83B93F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Chest cold/ bronchitis*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4166A4AA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19C7F47D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14:paraId="26FB140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55" w:type="dxa"/>
            <w:shd w:val="clear" w:color="auto" w:fill="CCC0D9" w:themeFill="accent4" w:themeFillTint="66"/>
            <w:vAlign w:val="center"/>
          </w:tcPr>
          <w:p w14:paraId="093B7E33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Usually not</w:t>
            </w:r>
          </w:p>
          <w:p w14:paraId="4A652C77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Most clear on their own</w:t>
            </w:r>
          </w:p>
        </w:tc>
      </w:tr>
      <w:tr w:rsidR="005D59D1" w:rsidRPr="0069588B" w14:paraId="6C1BA0D9" w14:textId="77777777" w:rsidTr="005D59D1">
        <w:tc>
          <w:tcPr>
            <w:tcW w:w="2605" w:type="dxa"/>
            <w:shd w:val="clear" w:color="auto" w:fill="FFC1C0"/>
            <w:vAlign w:val="center"/>
          </w:tcPr>
          <w:p w14:paraId="7134AD8E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Head cold/runny nose</w:t>
            </w:r>
          </w:p>
        </w:tc>
        <w:tc>
          <w:tcPr>
            <w:tcW w:w="1260" w:type="dxa"/>
            <w:shd w:val="clear" w:color="auto" w:fill="FFC1C0"/>
            <w:vAlign w:val="center"/>
          </w:tcPr>
          <w:p w14:paraId="0CF310C2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C1C0"/>
            <w:vAlign w:val="center"/>
          </w:tcPr>
          <w:p w14:paraId="63D692CE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C1C0"/>
            <w:vAlign w:val="center"/>
          </w:tcPr>
          <w:p w14:paraId="39CAC8BF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3055" w:type="dxa"/>
            <w:shd w:val="clear" w:color="auto" w:fill="FFC1C0"/>
            <w:vAlign w:val="center"/>
          </w:tcPr>
          <w:p w14:paraId="33840E0C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No</w:t>
            </w:r>
          </w:p>
        </w:tc>
      </w:tr>
      <w:tr w:rsidR="005D59D1" w:rsidRPr="0069588B" w14:paraId="3B48087F" w14:textId="77777777" w:rsidTr="005D59D1">
        <w:tc>
          <w:tcPr>
            <w:tcW w:w="2605" w:type="dxa"/>
            <w:shd w:val="clear" w:color="auto" w:fill="FFC1C0"/>
            <w:vAlign w:val="center"/>
          </w:tcPr>
          <w:p w14:paraId="7AF69166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Sore throat (not Strep)</w:t>
            </w:r>
          </w:p>
        </w:tc>
        <w:tc>
          <w:tcPr>
            <w:tcW w:w="1260" w:type="dxa"/>
            <w:shd w:val="clear" w:color="auto" w:fill="FFC1C0"/>
            <w:vAlign w:val="center"/>
          </w:tcPr>
          <w:p w14:paraId="6034FDE6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C1C0"/>
            <w:vAlign w:val="center"/>
          </w:tcPr>
          <w:p w14:paraId="6BFD4688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C1C0"/>
            <w:vAlign w:val="center"/>
          </w:tcPr>
          <w:p w14:paraId="6E87B169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3055" w:type="dxa"/>
            <w:shd w:val="clear" w:color="auto" w:fill="FFC1C0"/>
            <w:vAlign w:val="center"/>
          </w:tcPr>
          <w:p w14:paraId="66ADF976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No</w:t>
            </w:r>
          </w:p>
        </w:tc>
      </w:tr>
      <w:tr w:rsidR="005D59D1" w:rsidRPr="0069588B" w14:paraId="3AB2F52A" w14:textId="77777777" w:rsidTr="005D59D1">
        <w:tc>
          <w:tcPr>
            <w:tcW w:w="2605" w:type="dxa"/>
            <w:shd w:val="clear" w:color="auto" w:fill="FFC1C0"/>
            <w:vAlign w:val="center"/>
          </w:tcPr>
          <w:p w14:paraId="557AC7CD" w14:textId="77777777" w:rsidR="005D59D1" w:rsidRPr="0069588B" w:rsidRDefault="005D59D1" w:rsidP="005D59D1">
            <w:p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69588B">
              <w:rPr>
                <w:rFonts w:asciiTheme="minorHAnsi" w:hAnsiTheme="minorHAnsi"/>
                <w:color w:val="000000" w:themeColor="text1"/>
              </w:rPr>
              <w:t>Flu</w:t>
            </w:r>
          </w:p>
        </w:tc>
        <w:tc>
          <w:tcPr>
            <w:tcW w:w="1260" w:type="dxa"/>
            <w:shd w:val="clear" w:color="auto" w:fill="FFC1C0"/>
            <w:vAlign w:val="center"/>
          </w:tcPr>
          <w:p w14:paraId="624FF13E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C1C0"/>
            <w:vAlign w:val="center"/>
          </w:tcPr>
          <w:p w14:paraId="2FE6B556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C1C0"/>
            <w:vAlign w:val="center"/>
          </w:tcPr>
          <w:p w14:paraId="40C7679A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69588B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3055" w:type="dxa"/>
            <w:shd w:val="clear" w:color="auto" w:fill="FFC1C0"/>
            <w:vAlign w:val="center"/>
          </w:tcPr>
          <w:p w14:paraId="3CDE6419" w14:textId="77777777" w:rsidR="005D59D1" w:rsidRPr="0069588B" w:rsidRDefault="005D59D1" w:rsidP="005D59D1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9588B">
              <w:rPr>
                <w:rFonts w:asciiTheme="minorHAnsi" w:hAnsiTheme="minorHAnsi"/>
                <w:b/>
                <w:color w:val="000000" w:themeColor="text1"/>
              </w:rPr>
              <w:t>No</w:t>
            </w:r>
          </w:p>
        </w:tc>
      </w:tr>
    </w:tbl>
    <w:p w14:paraId="1F76FC7B" w14:textId="77777777" w:rsidR="005D59D1" w:rsidRDefault="005D59D1" w:rsidP="005D59D1">
      <w:pPr>
        <w:keepNext/>
        <w:spacing w:before="0" w:after="0"/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11331B">
        <w:t>Printable poster for the clinic.</w:t>
      </w:r>
    </w:p>
    <w:p w14:paraId="32C0B4FB" w14:textId="77777777" w:rsidR="005D59D1" w:rsidRPr="0011331B" w:rsidRDefault="005D59D1" w:rsidP="005D59D1">
      <w:pPr>
        <w:keepNext/>
        <w:spacing w:before="0" w:after="0"/>
      </w:pPr>
      <w:r w:rsidRPr="0011331B">
        <w:t>*In otherwise healthy children and adults</w:t>
      </w:r>
      <w:r>
        <w:t>.</w:t>
      </w:r>
      <w:r w:rsidRPr="0011331B">
        <w:t xml:space="preserve"> </w:t>
      </w:r>
    </w:p>
    <w:p w14:paraId="25EBC0CD" w14:textId="77777777" w:rsidR="005D59D1" w:rsidRPr="0011331B" w:rsidRDefault="005D59D1" w:rsidP="005D59D1">
      <w:pPr>
        <w:keepNext/>
        <w:spacing w:before="0" w:after="0"/>
      </w:pPr>
      <w:r w:rsidRPr="0011331B">
        <w:t>Modified from the CDC’s Be Antibiotics Aware Campaign Materials to provide more specific, yet still concise, information for the patient</w:t>
      </w:r>
      <w:r>
        <w:t xml:space="preserve"> (5)</w:t>
      </w:r>
      <w:r w:rsidRPr="0011331B">
        <w:t xml:space="preserve">. </w:t>
      </w:r>
    </w:p>
    <w:p w14:paraId="3F36F104" w14:textId="1B32ACF5" w:rsidR="0011331B" w:rsidRDefault="0011331B" w:rsidP="00447B3B">
      <w:pPr>
        <w:keepNext/>
      </w:pPr>
    </w:p>
    <w:p w14:paraId="02220607" w14:textId="10ADBEFC" w:rsidR="004B34A8" w:rsidRDefault="004B34A8" w:rsidP="00447B3B">
      <w:pPr>
        <w:keepNext/>
      </w:pPr>
    </w:p>
    <w:p w14:paraId="748479A6" w14:textId="193BC6AD" w:rsidR="00CB312D" w:rsidRDefault="00CB312D" w:rsidP="00447B3B">
      <w:pPr>
        <w:keepNext/>
      </w:pPr>
    </w:p>
    <w:p w14:paraId="25418795" w14:textId="5DFB2376" w:rsidR="00CB312D" w:rsidRDefault="00CB312D" w:rsidP="00447B3B">
      <w:pPr>
        <w:keepNext/>
      </w:pPr>
    </w:p>
    <w:p w14:paraId="068C58E3" w14:textId="77777777" w:rsidR="00CB312D" w:rsidRDefault="00CB312D" w:rsidP="00447B3B">
      <w:pPr>
        <w:keepNext/>
      </w:pPr>
    </w:p>
    <w:p w14:paraId="52712E40" w14:textId="77777777" w:rsidR="00CB312D" w:rsidRDefault="00CB312D" w:rsidP="00CB312D">
      <w:pPr>
        <w:pStyle w:val="Heading1"/>
        <w:numPr>
          <w:ilvl w:val="0"/>
          <w:numId w:val="0"/>
        </w:numPr>
        <w:ind w:left="567"/>
      </w:pPr>
    </w:p>
    <w:p w14:paraId="5A56D6E6" w14:textId="513AA8F9" w:rsidR="0011331B" w:rsidRPr="00CC3FFE" w:rsidRDefault="0011331B" w:rsidP="0011331B">
      <w:pPr>
        <w:pStyle w:val="Heading1"/>
      </w:pPr>
      <w:r w:rsidRPr="00CC3FFE">
        <w:lastRenderedPageBreak/>
        <w:t>REFERENCES</w:t>
      </w:r>
    </w:p>
    <w:p w14:paraId="507F0A39" w14:textId="42966866" w:rsidR="0011331B" w:rsidRPr="00CC3FFE" w:rsidRDefault="0011331B" w:rsidP="00C1066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/>
        <w:ind w:left="629" w:hanging="629"/>
        <w:rPr>
          <w:noProof/>
        </w:rPr>
      </w:pPr>
      <w:r w:rsidRPr="00CC3FFE">
        <w:rPr>
          <w:noProof/>
        </w:rPr>
        <w:t xml:space="preserve">The Joint Commission. R3 Report, Issue 23: Antimicrobial Stewardship in Ambulatory Health Care (2019). </w:t>
      </w:r>
      <w:hyperlink r:id="rId12" w:history="1">
        <w:r w:rsidR="00A0434D" w:rsidRPr="00CC3FFE">
          <w:rPr>
            <w:rStyle w:val="Hyperlink"/>
            <w:noProof/>
            <w:color w:val="000000" w:themeColor="text1"/>
            <w:u w:val="none"/>
          </w:rPr>
          <w:t>https://www.jointcommission.org/standards/r3-report/r3-report-issue-23-antimicrobial-stewardship-in-ambulatory-health-care/</w:t>
        </w:r>
      </w:hyperlink>
      <w:r w:rsidRPr="00CC3FFE">
        <w:rPr>
          <w:noProof/>
        </w:rPr>
        <w:t>.</w:t>
      </w:r>
      <w:r w:rsidR="00A0434D" w:rsidRPr="00CC3FFE">
        <w:rPr>
          <w:noProof/>
        </w:rPr>
        <w:t xml:space="preserve"> </w:t>
      </w:r>
      <w:r w:rsidR="002B6EF6" w:rsidRPr="00CC3FFE">
        <w:rPr>
          <w:lang w:val="en-GB"/>
        </w:rPr>
        <w:t xml:space="preserve">[Accessed </w:t>
      </w:r>
      <w:r w:rsidR="00B84805">
        <w:rPr>
          <w:lang w:val="en-GB"/>
        </w:rPr>
        <w:t>December 14, 2021</w:t>
      </w:r>
      <w:r w:rsidR="002B6EF6" w:rsidRPr="00CC3FFE">
        <w:rPr>
          <w:lang w:val="en-GB"/>
        </w:rPr>
        <w:t>]</w:t>
      </w:r>
    </w:p>
    <w:p w14:paraId="4B5E8219" w14:textId="77777777" w:rsidR="00C1066B" w:rsidRPr="00CC3FFE" w:rsidRDefault="00C1066B" w:rsidP="00C1066B">
      <w:pPr>
        <w:pStyle w:val="ListParagraph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629"/>
        <w:rPr>
          <w:noProof/>
        </w:rPr>
      </w:pPr>
    </w:p>
    <w:p w14:paraId="34B8104A" w14:textId="5367857B" w:rsidR="0011331B" w:rsidRPr="00CC3FFE" w:rsidRDefault="0011331B" w:rsidP="00C1066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/>
        <w:ind w:left="630" w:hanging="630"/>
        <w:rPr>
          <w:noProof/>
        </w:rPr>
      </w:pPr>
      <w:r w:rsidRPr="00CC3FFE">
        <w:rPr>
          <w:noProof/>
        </w:rPr>
        <w:t xml:space="preserve">Lee GC, Burgess DS. </w:t>
      </w:r>
      <w:r w:rsidR="00321A40" w:rsidRPr="00CC3FFE">
        <w:rPr>
          <w:noProof/>
        </w:rPr>
        <w:t>“</w:t>
      </w:r>
      <w:r w:rsidRPr="00CC3FFE">
        <w:rPr>
          <w:noProof/>
        </w:rPr>
        <w:t>Antimicrobial regimen selection</w:t>
      </w:r>
      <w:r w:rsidR="00321A40" w:rsidRPr="00CC3FFE">
        <w:rPr>
          <w:noProof/>
        </w:rPr>
        <w:t>,”.</w:t>
      </w:r>
      <w:r w:rsidRPr="00CC3FFE">
        <w:rPr>
          <w:noProof/>
        </w:rPr>
        <w:t xml:space="preserve"> In: DiPiro JT, Talbert RL, Yee GC, et al., ed</w:t>
      </w:r>
      <w:r w:rsidR="00321A40" w:rsidRPr="00CC3FFE">
        <w:rPr>
          <w:noProof/>
        </w:rPr>
        <w:t>itor</w:t>
      </w:r>
      <w:r w:rsidRPr="00CC3FFE">
        <w:rPr>
          <w:noProof/>
        </w:rPr>
        <w:t>s. Pharmacotherapy: A Pathophysiologic Approach.</w:t>
      </w:r>
      <w:r w:rsidR="000D0676" w:rsidRPr="00CC3FFE">
        <w:rPr>
          <w:noProof/>
        </w:rPr>
        <w:t xml:space="preserve"> New York, NY: McGraw Hill Education (</w:t>
      </w:r>
      <w:r w:rsidRPr="00CC3FFE">
        <w:rPr>
          <w:noProof/>
        </w:rPr>
        <w:t>2017</w:t>
      </w:r>
      <w:r w:rsidR="000D0676" w:rsidRPr="00CC3FFE">
        <w:rPr>
          <w:noProof/>
        </w:rPr>
        <w:t>)</w:t>
      </w:r>
      <w:r w:rsidRPr="00CC3FFE">
        <w:rPr>
          <w:noProof/>
        </w:rPr>
        <w:t>.</w:t>
      </w:r>
      <w:r w:rsidR="0051251B" w:rsidRPr="00CC3FFE">
        <w:rPr>
          <w:noProof/>
        </w:rPr>
        <w:t xml:space="preserve"> P. 1731-1742.</w:t>
      </w:r>
    </w:p>
    <w:p w14:paraId="0CEE50A9" w14:textId="77777777" w:rsidR="00C1066B" w:rsidRPr="00CC3FFE" w:rsidRDefault="00C1066B" w:rsidP="00C1066B">
      <w:pPr>
        <w:pStyle w:val="ListParagraph"/>
        <w:numPr>
          <w:ilvl w:val="0"/>
          <w:numId w:val="0"/>
        </w:numPr>
        <w:ind w:left="1440"/>
        <w:rPr>
          <w:noProof/>
        </w:rPr>
      </w:pPr>
    </w:p>
    <w:p w14:paraId="1455A9B9" w14:textId="41EAF5B8" w:rsidR="0011331B" w:rsidRPr="00CC3FFE" w:rsidRDefault="0011331B" w:rsidP="00C1066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/>
        <w:ind w:left="630" w:hanging="630"/>
        <w:rPr>
          <w:noProof/>
        </w:rPr>
      </w:pPr>
      <w:r w:rsidRPr="00CC3FFE">
        <w:rPr>
          <w:noProof/>
        </w:rPr>
        <w:t xml:space="preserve">Fleming-Dutra KE, Mangione-Smith R, Hicks LA. How to prescribe fewer unnecessary antibiotics: Talking points that work. </w:t>
      </w:r>
      <w:r w:rsidRPr="00CC3FFE">
        <w:rPr>
          <w:i/>
          <w:iCs/>
          <w:noProof/>
        </w:rPr>
        <w:t>Am Fam Physician</w:t>
      </w:r>
      <w:r w:rsidRPr="00CC3FFE">
        <w:rPr>
          <w:noProof/>
        </w:rPr>
        <w:t xml:space="preserve">. </w:t>
      </w:r>
      <w:r w:rsidR="0051251B" w:rsidRPr="00CC3FFE">
        <w:rPr>
          <w:noProof/>
        </w:rPr>
        <w:t>(</w:t>
      </w:r>
      <w:r w:rsidRPr="00CC3FFE">
        <w:rPr>
          <w:noProof/>
        </w:rPr>
        <w:t>2016</w:t>
      </w:r>
      <w:r w:rsidR="0051251B" w:rsidRPr="00CC3FFE">
        <w:rPr>
          <w:noProof/>
        </w:rPr>
        <w:t xml:space="preserve">) </w:t>
      </w:r>
      <w:r w:rsidRPr="00CC3FFE">
        <w:rPr>
          <w:noProof/>
        </w:rPr>
        <w:t>94:200-2.</w:t>
      </w:r>
    </w:p>
    <w:p w14:paraId="4C088A88" w14:textId="77777777" w:rsidR="00C1066B" w:rsidRPr="00CC3FFE" w:rsidRDefault="00C1066B" w:rsidP="00C1066B">
      <w:pPr>
        <w:pStyle w:val="ListParagraph"/>
        <w:numPr>
          <w:ilvl w:val="0"/>
          <w:numId w:val="0"/>
        </w:numPr>
        <w:ind w:left="1440"/>
        <w:rPr>
          <w:noProof/>
        </w:rPr>
      </w:pPr>
    </w:p>
    <w:p w14:paraId="62A164DD" w14:textId="0F6016C4" w:rsidR="00C1066B" w:rsidRPr="00CC3FFE" w:rsidRDefault="0063204A" w:rsidP="00C1066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/>
        <w:ind w:left="630" w:hanging="630"/>
        <w:rPr>
          <w:noProof/>
        </w:rPr>
      </w:pPr>
      <w:r w:rsidRPr="00CC3FFE">
        <w:rPr>
          <w:noProof/>
        </w:rPr>
        <w:t xml:space="preserve">Centers for Disease Control and Prevention. </w:t>
      </w:r>
      <w:hyperlink r:id="rId13" w:history="1">
        <w:r w:rsidRPr="00CC3FFE">
          <w:rPr>
            <w:rStyle w:val="Hyperlink"/>
          </w:rPr>
          <w:t>https://www.cdc.gov/antibiotic-use/pdfs/Commitment-Poster-english-11x17-P.pdf</w:t>
        </w:r>
      </w:hyperlink>
      <w:r w:rsidRPr="00CC3FFE">
        <w:rPr>
          <w:rStyle w:val="Hyperlink"/>
          <w:u w:val="none"/>
        </w:rPr>
        <w:t xml:space="preserve"> </w:t>
      </w:r>
      <w:r w:rsidRPr="00CC3FFE">
        <w:rPr>
          <w:lang w:val="en-GB"/>
        </w:rPr>
        <w:t xml:space="preserve">[Accessed </w:t>
      </w:r>
      <w:r w:rsidR="00B84805">
        <w:rPr>
          <w:lang w:val="en-GB"/>
        </w:rPr>
        <w:t>December 14, 2021</w:t>
      </w:r>
      <w:r w:rsidRPr="00CC3FFE">
        <w:rPr>
          <w:lang w:val="en-GB"/>
        </w:rPr>
        <w:t>]</w:t>
      </w:r>
      <w:r w:rsidR="006609A7">
        <w:t>.</w:t>
      </w:r>
    </w:p>
    <w:p w14:paraId="10B1A1F2" w14:textId="77777777" w:rsidR="00C1066B" w:rsidRPr="00CC3FFE" w:rsidRDefault="00C1066B" w:rsidP="00C1066B">
      <w:pPr>
        <w:pStyle w:val="ListParagraph"/>
        <w:numPr>
          <w:ilvl w:val="0"/>
          <w:numId w:val="0"/>
        </w:numPr>
        <w:ind w:left="1440"/>
        <w:rPr>
          <w:noProof/>
        </w:rPr>
      </w:pPr>
    </w:p>
    <w:p w14:paraId="5852E63F" w14:textId="2162CEB6" w:rsidR="00C1066B" w:rsidRPr="00CC3FFE" w:rsidRDefault="00C1066B" w:rsidP="00C1066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630" w:hanging="630"/>
      </w:pPr>
      <w:r w:rsidRPr="00CC3FFE">
        <w:rPr>
          <w:noProof/>
        </w:rPr>
        <w:t>Centers for Disease Control and Prevention</w:t>
      </w:r>
      <w:r w:rsidRPr="00CC3FFE">
        <w:t xml:space="preserve"> Be Antibiotics Aware Campaign Materials. </w:t>
      </w:r>
      <w:hyperlink r:id="rId14" w:history="1">
        <w:r w:rsidRPr="00CC3FFE">
          <w:rPr>
            <w:rStyle w:val="Hyperlink"/>
          </w:rPr>
          <w:t>https://www.cdc.gov/antibiotic-use/materials-references/index.html</w:t>
        </w:r>
      </w:hyperlink>
      <w:r w:rsidRPr="00CC3FFE">
        <w:t xml:space="preserve"> </w:t>
      </w:r>
      <w:r w:rsidRPr="00CC3FFE">
        <w:rPr>
          <w:lang w:val="en-GB"/>
        </w:rPr>
        <w:t xml:space="preserve">[Accessed </w:t>
      </w:r>
      <w:r w:rsidR="00B84805">
        <w:rPr>
          <w:lang w:val="en-GB"/>
        </w:rPr>
        <w:t>December 14, 2021</w:t>
      </w:r>
      <w:r w:rsidRPr="00CC3FFE">
        <w:rPr>
          <w:lang w:val="en-GB"/>
        </w:rPr>
        <w:t>]</w:t>
      </w:r>
      <w:r w:rsidR="006609A7">
        <w:t>.</w:t>
      </w:r>
    </w:p>
    <w:p w14:paraId="19F89F83" w14:textId="689803F0" w:rsidR="0098528F" w:rsidRPr="0011331B" w:rsidRDefault="0098528F" w:rsidP="00C1066B">
      <w:pPr>
        <w:pStyle w:val="ListParagraph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ind w:left="630"/>
      </w:pPr>
    </w:p>
    <w:p w14:paraId="439347EE" w14:textId="77777777" w:rsidR="0046209F" w:rsidRDefault="0046209F" w:rsidP="00447B3B">
      <w:pPr>
        <w:keepNext/>
      </w:pPr>
    </w:p>
    <w:p w14:paraId="6FCEAC21" w14:textId="014B290A" w:rsidR="0046209F" w:rsidRDefault="0046209F" w:rsidP="00447B3B">
      <w:pPr>
        <w:keepNext/>
      </w:pPr>
    </w:p>
    <w:p w14:paraId="2423B3C0" w14:textId="77777777" w:rsidR="0046209F" w:rsidRPr="00447B3B" w:rsidRDefault="0046209F" w:rsidP="00447B3B">
      <w:pPr>
        <w:keepNext/>
        <w:rPr>
          <w:b/>
        </w:rPr>
      </w:pPr>
    </w:p>
    <w:p w14:paraId="3AE196DF" w14:textId="2F8513A2" w:rsidR="00994A3D" w:rsidRPr="002B4A57" w:rsidRDefault="00994A3D" w:rsidP="002B4A57">
      <w:pPr>
        <w:keepNext/>
        <w:rPr>
          <w:rFonts w:cs="Times New Roman"/>
          <w:b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5"/>
      <w:footerReference w:type="even" r:id="rId16"/>
      <w:footerReference w:type="default" r:id="rId17"/>
      <w:head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8BF9" w14:textId="77777777" w:rsidR="00D21F5D" w:rsidRDefault="00D21F5D" w:rsidP="00117666">
      <w:pPr>
        <w:spacing w:after="0"/>
      </w:pPr>
      <w:r>
        <w:separator/>
      </w:r>
    </w:p>
  </w:endnote>
  <w:endnote w:type="continuationSeparator" w:id="0">
    <w:p w14:paraId="2BD5043F" w14:textId="77777777" w:rsidR="00D21F5D" w:rsidRDefault="00D21F5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A68A" w14:textId="77777777" w:rsidR="00D21F5D" w:rsidRDefault="00D21F5D" w:rsidP="00117666">
      <w:pPr>
        <w:spacing w:after="0"/>
      </w:pPr>
      <w:r>
        <w:separator/>
      </w:r>
    </w:p>
  </w:footnote>
  <w:footnote w:type="continuationSeparator" w:id="0">
    <w:p w14:paraId="6B3AEC0E" w14:textId="77777777" w:rsidR="00D21F5D" w:rsidRDefault="00D21F5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734CFD"/>
    <w:multiLevelType w:val="hybridMultilevel"/>
    <w:tmpl w:val="2A92876E"/>
    <w:lvl w:ilvl="0" w:tplc="9EDAB0BA">
      <w:start w:val="1"/>
      <w:numFmt w:val="bullet"/>
      <w:pStyle w:val="Bullets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C5BA1"/>
    <w:multiLevelType w:val="hybridMultilevel"/>
    <w:tmpl w:val="E9F26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502964044">
    <w:abstractNumId w:val="0"/>
  </w:num>
  <w:num w:numId="2" w16cid:durableId="1794446150">
    <w:abstractNumId w:val="6"/>
  </w:num>
  <w:num w:numId="3" w16cid:durableId="2109692485">
    <w:abstractNumId w:val="1"/>
  </w:num>
  <w:num w:numId="4" w16cid:durableId="1905214030">
    <w:abstractNumId w:val="7"/>
  </w:num>
  <w:num w:numId="5" w16cid:durableId="25902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111854">
    <w:abstractNumId w:val="3"/>
  </w:num>
  <w:num w:numId="7" w16cid:durableId="2079206289">
    <w:abstractNumId w:val="8"/>
  </w:num>
  <w:num w:numId="8" w16cid:durableId="1586376530">
    <w:abstractNumId w:val="8"/>
  </w:num>
  <w:num w:numId="9" w16cid:durableId="241718295">
    <w:abstractNumId w:val="8"/>
  </w:num>
  <w:num w:numId="10" w16cid:durableId="686756131">
    <w:abstractNumId w:val="8"/>
  </w:num>
  <w:num w:numId="11" w16cid:durableId="2128700591">
    <w:abstractNumId w:val="8"/>
  </w:num>
  <w:num w:numId="12" w16cid:durableId="1013606248">
    <w:abstractNumId w:val="8"/>
  </w:num>
  <w:num w:numId="13" w16cid:durableId="913124590">
    <w:abstractNumId w:val="3"/>
  </w:num>
  <w:num w:numId="14" w16cid:durableId="182019184">
    <w:abstractNumId w:val="2"/>
  </w:num>
  <w:num w:numId="15" w16cid:durableId="715469506">
    <w:abstractNumId w:val="2"/>
  </w:num>
  <w:num w:numId="16" w16cid:durableId="2079862179">
    <w:abstractNumId w:val="2"/>
  </w:num>
  <w:num w:numId="17" w16cid:durableId="1594362538">
    <w:abstractNumId w:val="2"/>
  </w:num>
  <w:num w:numId="18" w16cid:durableId="196822821">
    <w:abstractNumId w:val="2"/>
  </w:num>
  <w:num w:numId="19" w16cid:durableId="50274281">
    <w:abstractNumId w:val="2"/>
  </w:num>
  <w:num w:numId="20" w16cid:durableId="909344660">
    <w:abstractNumId w:val="4"/>
  </w:num>
  <w:num w:numId="21" w16cid:durableId="1720936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D0676"/>
    <w:rsid w:val="00105FD9"/>
    <w:rsid w:val="0011331B"/>
    <w:rsid w:val="00117666"/>
    <w:rsid w:val="001549D3"/>
    <w:rsid w:val="00160065"/>
    <w:rsid w:val="00177D84"/>
    <w:rsid w:val="001F1C23"/>
    <w:rsid w:val="00215B77"/>
    <w:rsid w:val="00267D18"/>
    <w:rsid w:val="00274347"/>
    <w:rsid w:val="002868E2"/>
    <w:rsid w:val="002869C3"/>
    <w:rsid w:val="002936E4"/>
    <w:rsid w:val="002B4A57"/>
    <w:rsid w:val="002B6EF6"/>
    <w:rsid w:val="002C74CA"/>
    <w:rsid w:val="003123F4"/>
    <w:rsid w:val="00321A40"/>
    <w:rsid w:val="003544FB"/>
    <w:rsid w:val="003D1323"/>
    <w:rsid w:val="003D2F2D"/>
    <w:rsid w:val="00401590"/>
    <w:rsid w:val="00446312"/>
    <w:rsid w:val="00447801"/>
    <w:rsid w:val="00447B3B"/>
    <w:rsid w:val="00452E9C"/>
    <w:rsid w:val="0046209F"/>
    <w:rsid w:val="004735C8"/>
    <w:rsid w:val="004947A6"/>
    <w:rsid w:val="004961FF"/>
    <w:rsid w:val="004B34A8"/>
    <w:rsid w:val="0051251B"/>
    <w:rsid w:val="00517A89"/>
    <w:rsid w:val="005250F2"/>
    <w:rsid w:val="00526077"/>
    <w:rsid w:val="00533D75"/>
    <w:rsid w:val="005433A4"/>
    <w:rsid w:val="00593EEA"/>
    <w:rsid w:val="005A4FCD"/>
    <w:rsid w:val="005A5EEE"/>
    <w:rsid w:val="005D1D43"/>
    <w:rsid w:val="005D59D1"/>
    <w:rsid w:val="00624164"/>
    <w:rsid w:val="0063204A"/>
    <w:rsid w:val="006375C7"/>
    <w:rsid w:val="00650145"/>
    <w:rsid w:val="00654E8F"/>
    <w:rsid w:val="006609A7"/>
    <w:rsid w:val="00660D05"/>
    <w:rsid w:val="006820B1"/>
    <w:rsid w:val="006B7D14"/>
    <w:rsid w:val="006F04EA"/>
    <w:rsid w:val="00701727"/>
    <w:rsid w:val="0070566C"/>
    <w:rsid w:val="00714C50"/>
    <w:rsid w:val="007179A6"/>
    <w:rsid w:val="00725A7D"/>
    <w:rsid w:val="007501BE"/>
    <w:rsid w:val="00790BB3"/>
    <w:rsid w:val="007C206C"/>
    <w:rsid w:val="00817DD6"/>
    <w:rsid w:val="00823942"/>
    <w:rsid w:val="0083759F"/>
    <w:rsid w:val="00885156"/>
    <w:rsid w:val="009151AA"/>
    <w:rsid w:val="0093429D"/>
    <w:rsid w:val="00943573"/>
    <w:rsid w:val="00964134"/>
    <w:rsid w:val="00970F7D"/>
    <w:rsid w:val="0098528F"/>
    <w:rsid w:val="00994A3D"/>
    <w:rsid w:val="009C2B12"/>
    <w:rsid w:val="009F26D1"/>
    <w:rsid w:val="00A0434D"/>
    <w:rsid w:val="00A174D9"/>
    <w:rsid w:val="00AA4D24"/>
    <w:rsid w:val="00AB6715"/>
    <w:rsid w:val="00B1671E"/>
    <w:rsid w:val="00B25EB8"/>
    <w:rsid w:val="00B37F4D"/>
    <w:rsid w:val="00B84805"/>
    <w:rsid w:val="00C1066B"/>
    <w:rsid w:val="00C52A7B"/>
    <w:rsid w:val="00C56BAF"/>
    <w:rsid w:val="00C679AA"/>
    <w:rsid w:val="00C75972"/>
    <w:rsid w:val="00C95343"/>
    <w:rsid w:val="00CB0354"/>
    <w:rsid w:val="00CB312D"/>
    <w:rsid w:val="00CC3FFE"/>
    <w:rsid w:val="00CD066B"/>
    <w:rsid w:val="00CE4FEE"/>
    <w:rsid w:val="00D060CF"/>
    <w:rsid w:val="00D11ED4"/>
    <w:rsid w:val="00D21F5D"/>
    <w:rsid w:val="00D87AE9"/>
    <w:rsid w:val="00DB59C3"/>
    <w:rsid w:val="00DC259A"/>
    <w:rsid w:val="00DE23E8"/>
    <w:rsid w:val="00E07AA9"/>
    <w:rsid w:val="00E340BB"/>
    <w:rsid w:val="00E52377"/>
    <w:rsid w:val="00E537AD"/>
    <w:rsid w:val="00E64E17"/>
    <w:rsid w:val="00E64E59"/>
    <w:rsid w:val="00E866C9"/>
    <w:rsid w:val="00E92BA0"/>
    <w:rsid w:val="00EA3D3C"/>
    <w:rsid w:val="00EB25E9"/>
    <w:rsid w:val="00EC090A"/>
    <w:rsid w:val="00ED20B5"/>
    <w:rsid w:val="00EF30A2"/>
    <w:rsid w:val="00F46900"/>
    <w:rsid w:val="00F61D89"/>
    <w:rsid w:val="00F75997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aliases w:val="Numbered List level 1"/>
    <w:basedOn w:val="Normal"/>
    <w:link w:val="ListParagraphChar"/>
    <w:uiPriority w:val="99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1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ListTable3">
    <w:name w:val="List Table 3"/>
    <w:basedOn w:val="TableNormal"/>
    <w:uiPriority w:val="48"/>
    <w:rsid w:val="00E340B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BulletsL1">
    <w:name w:val="Bullets L1"/>
    <w:basedOn w:val="ListParagraph"/>
    <w:link w:val="BulletsL1Char"/>
    <w:qFormat/>
    <w:rsid w:val="00E340BB"/>
    <w:pPr>
      <w:numPr>
        <w:numId w:val="20"/>
      </w:numPr>
      <w:spacing w:before="0" w:after="0" w:line="360" w:lineRule="auto"/>
      <w:ind w:left="0" w:firstLine="0"/>
    </w:pPr>
    <w:rPr>
      <w:rFonts w:asciiTheme="minorHAnsi" w:eastAsia="MS Mincho" w:hAnsiTheme="minorHAnsi" w:cstheme="minorHAnsi"/>
      <w:sz w:val="22"/>
      <w:szCs w:val="21"/>
      <w:lang w:val="en-GB" w:eastAsia="ja-JP"/>
    </w:rPr>
  </w:style>
  <w:style w:type="character" w:customStyle="1" w:styleId="BulletsL1Char">
    <w:name w:val="Bullets L1 Char"/>
    <w:link w:val="BulletsL1"/>
    <w:rsid w:val="00E340BB"/>
    <w:rPr>
      <w:rFonts w:eastAsia="MS Mincho" w:cstheme="minorHAnsi"/>
      <w:szCs w:val="21"/>
      <w:lang w:val="en-GB" w:eastAsia="ja-JP"/>
    </w:rPr>
  </w:style>
  <w:style w:type="paragraph" w:customStyle="1" w:styleId="Tablefiguretitle">
    <w:name w:val="Table/figure title"/>
    <w:basedOn w:val="Heading2"/>
    <w:link w:val="TablefiguretitleChar"/>
    <w:qFormat/>
    <w:rsid w:val="00E340BB"/>
    <w:pPr>
      <w:keepNext/>
      <w:numPr>
        <w:ilvl w:val="0"/>
        <w:numId w:val="0"/>
      </w:numPr>
      <w:spacing w:before="120" w:after="120" w:line="276" w:lineRule="auto"/>
      <w:contextualSpacing/>
    </w:pPr>
    <w:rPr>
      <w:rFonts w:eastAsiaTheme="minorEastAsia" w:cstheme="minorHAnsi"/>
      <w:b w:val="0"/>
      <w:bCs/>
      <w:lang w:val="en-GB" w:eastAsia="ja-JP"/>
    </w:rPr>
  </w:style>
  <w:style w:type="character" w:customStyle="1" w:styleId="TablefiguretitleChar">
    <w:name w:val="Table/figure title Char"/>
    <w:basedOn w:val="Heading2Char"/>
    <w:link w:val="Tablefiguretitle"/>
    <w:rsid w:val="00E340BB"/>
    <w:rPr>
      <w:rFonts w:ascii="Times New Roman" w:eastAsiaTheme="minorEastAsia" w:hAnsi="Times New Roman" w:cstheme="minorHAnsi"/>
      <w:b w:val="0"/>
      <w:bCs/>
      <w:sz w:val="24"/>
      <w:szCs w:val="24"/>
      <w:lang w:val="en-GB" w:eastAsia="ja-JP"/>
    </w:rPr>
  </w:style>
  <w:style w:type="paragraph" w:customStyle="1" w:styleId="Tablefigurefootnote">
    <w:name w:val="Table/figure footnote"/>
    <w:basedOn w:val="Normal"/>
    <w:link w:val="TablefigurefootnoteChar"/>
    <w:qFormat/>
    <w:rsid w:val="00E340BB"/>
    <w:pPr>
      <w:spacing w:after="0" w:line="276" w:lineRule="auto"/>
    </w:pPr>
    <w:rPr>
      <w:rFonts w:asciiTheme="minorHAnsi" w:eastAsia="MS Mincho" w:hAnsiTheme="minorHAnsi" w:cstheme="minorHAnsi"/>
      <w:sz w:val="20"/>
      <w:szCs w:val="20"/>
      <w:lang w:val="en-GB" w:eastAsia="ja-JP"/>
    </w:rPr>
  </w:style>
  <w:style w:type="character" w:customStyle="1" w:styleId="TablefigurefootnoteChar">
    <w:name w:val="Table/figure footnote Char"/>
    <w:basedOn w:val="DefaultParagraphFont"/>
    <w:link w:val="Tablefigurefootnote"/>
    <w:rsid w:val="00E340BB"/>
    <w:rPr>
      <w:rFonts w:eastAsia="MS Mincho" w:cstheme="minorHAnsi"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47B3B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List level 1 Char"/>
    <w:link w:val="ListParagraph"/>
    <w:uiPriority w:val="99"/>
    <w:rsid w:val="0011331B"/>
    <w:rPr>
      <w:rFonts w:ascii="Times New Roman" w:eastAsia="Cambr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6EF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antibiotic-use/pdfs/Commitment-Poster-english-11x17-P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ointcommission.org/standards/r3-report/r3-report-issue-23-antimicrobial-stewardship-in-ambulatory-health-car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antibiotic-use/materials-references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 xmlns="8d590538-8742-4351-b699-db0c9477e9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9079B84280478006098BD8474DFE" ma:contentTypeVersion="16" ma:contentTypeDescription="Create a new document." ma:contentTypeScope="" ma:versionID="8554d146a6ffbd45c8788310f8b06940">
  <xsd:schema xmlns:xsd="http://www.w3.org/2001/XMLSchema" xmlns:xs="http://www.w3.org/2001/XMLSchema" xmlns:p="http://schemas.microsoft.com/office/2006/metadata/properties" xmlns:ns2="8d590538-8742-4351-b699-db0c9477e9e9" xmlns:ns3="5f72f43c-338f-4d7b-bd93-fd919f75cf86" targetNamespace="http://schemas.microsoft.com/office/2006/metadata/properties" ma:root="true" ma:fieldsID="5fa4a37635e904b2e9532405671a6d61" ns2:_="" ns3:_="">
    <xsd:import namespace="8d590538-8742-4351-b699-db0c9477e9e9"/>
    <xsd:import namespace="5f72f43c-338f-4d7b-bd93-fd919f75c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Extrainf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90538-8742-4351-b699-db0c9477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xtrainfo" ma:index="20" nillable="true" ma:displayName="Extra info" ma:format="Dropdown" ma:internalName="Extrainfo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2f43c-338f-4d7b-bd93-fd919f75c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CD6F3-52C6-4A42-83FE-3D70A787B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9AEE4-F3BC-465D-A843-6BB3D4E03CD6}">
  <ds:schemaRefs>
    <ds:schemaRef ds:uri="http://schemas.microsoft.com/office/2006/metadata/properties"/>
    <ds:schemaRef ds:uri="http://schemas.microsoft.com/office/infopath/2007/PartnerControls"/>
    <ds:schemaRef ds:uri="8d590538-8742-4351-b699-db0c9477e9e9"/>
  </ds:schemaRefs>
</ds:datastoreItem>
</file>

<file path=customXml/itemProps3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9E2142-2400-48D6-B5EB-F35CAE4D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90538-8742-4351-b699-db0c9477e9e9"/>
    <ds:schemaRef ds:uri="5f72f43c-338f-4d7b-bd93-fd919f75c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2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Megan Kennedy</cp:lastModifiedBy>
  <cp:revision>3</cp:revision>
  <cp:lastPrinted>2013-10-03T12:51:00Z</cp:lastPrinted>
  <dcterms:created xsi:type="dcterms:W3CDTF">2022-03-19T20:04:00Z</dcterms:created>
  <dcterms:modified xsi:type="dcterms:W3CDTF">2022-03-19T20:05:00Z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0x0101002ACD9079B84280478006098BD8474DFE</vt:lpwstr>
  </property>
</Properties>
</file>