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5770" w14:textId="77777777" w:rsidR="00811847" w:rsidRPr="00811847" w:rsidRDefault="00811847" w:rsidP="00811847">
      <w:pPr>
        <w:rPr>
          <w:rFonts w:ascii="Times New Roman" w:eastAsia="Times New Roman" w:hAnsi="Times New Roman" w:cs="Times New Roman"/>
          <w:sz w:val="24"/>
          <w:szCs w:val="24"/>
        </w:rPr>
      </w:pPr>
      <w:r w:rsidRPr="00811847">
        <w:rPr>
          <w:rFonts w:ascii="Times New Roman" w:eastAsia="Times New Roman" w:hAnsi="Times New Roman" w:cs="Times New Roman"/>
          <w:b/>
          <w:bCs/>
          <w:sz w:val="24"/>
          <w:szCs w:val="24"/>
        </w:rPr>
        <w:t>Table S3.</w:t>
      </w:r>
      <w:r w:rsidRPr="00811847">
        <w:rPr>
          <w:rFonts w:ascii="Times New Roman" w:eastAsia="Times New Roman" w:hAnsi="Times New Roman" w:cs="Times New Roman"/>
          <w:sz w:val="24"/>
          <w:szCs w:val="24"/>
        </w:rPr>
        <w:t xml:space="preserve"> Literature based confirmation of predicted drugs and the drugs which were not confirmed from the literature and are proceeded for the molecular docking.</w:t>
      </w:r>
    </w:p>
    <w:tbl>
      <w:tblPr>
        <w:tblStyle w:val="TableGrid"/>
        <w:tblW w:w="8635" w:type="dxa"/>
        <w:tblLayout w:type="fixed"/>
        <w:tblLook w:val="04A0" w:firstRow="1" w:lastRow="0" w:firstColumn="1" w:lastColumn="0" w:noHBand="0" w:noVBand="1"/>
      </w:tblPr>
      <w:tblGrid>
        <w:gridCol w:w="535"/>
        <w:gridCol w:w="1710"/>
        <w:gridCol w:w="1530"/>
        <w:gridCol w:w="1440"/>
        <w:gridCol w:w="1710"/>
        <w:gridCol w:w="1710"/>
      </w:tblGrid>
      <w:tr w:rsidR="00811847" w:rsidRPr="00811847" w14:paraId="674010EF" w14:textId="77777777" w:rsidTr="00AE3E50">
        <w:tc>
          <w:tcPr>
            <w:tcW w:w="535" w:type="dxa"/>
          </w:tcPr>
          <w:p w14:paraId="4C1B0A5A" w14:textId="77777777" w:rsidR="00811847" w:rsidRPr="00811847" w:rsidRDefault="00811847" w:rsidP="00AE3E50">
            <w:pPr>
              <w:rPr>
                <w:rFonts w:ascii="Times New Roman" w:eastAsia="Times New Roman" w:hAnsi="Times New Roman" w:cs="Times New Roman"/>
                <w:sz w:val="24"/>
                <w:szCs w:val="24"/>
              </w:rPr>
            </w:pPr>
          </w:p>
        </w:tc>
        <w:tc>
          <w:tcPr>
            <w:tcW w:w="1710" w:type="dxa"/>
          </w:tcPr>
          <w:p w14:paraId="4468EE0B"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Drug name</w:t>
            </w:r>
          </w:p>
        </w:tc>
        <w:tc>
          <w:tcPr>
            <w:tcW w:w="1530" w:type="dxa"/>
          </w:tcPr>
          <w:p w14:paraId="0881038D"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DrugBank ID</w:t>
            </w:r>
          </w:p>
        </w:tc>
        <w:tc>
          <w:tcPr>
            <w:tcW w:w="1440" w:type="dxa"/>
          </w:tcPr>
          <w:p w14:paraId="5871ECBF"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Prediction Confidence</w:t>
            </w:r>
          </w:p>
        </w:tc>
        <w:tc>
          <w:tcPr>
            <w:tcW w:w="1710" w:type="dxa"/>
          </w:tcPr>
          <w:p w14:paraId="259441E4"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Targets</w:t>
            </w:r>
          </w:p>
        </w:tc>
        <w:tc>
          <w:tcPr>
            <w:tcW w:w="1710" w:type="dxa"/>
          </w:tcPr>
          <w:p w14:paraId="43B08DE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Reference. Link</w:t>
            </w:r>
          </w:p>
        </w:tc>
      </w:tr>
      <w:tr w:rsidR="00811847" w:rsidRPr="00811847" w14:paraId="522EBE57" w14:textId="77777777" w:rsidTr="00AE3E50">
        <w:tc>
          <w:tcPr>
            <w:tcW w:w="535" w:type="dxa"/>
          </w:tcPr>
          <w:p w14:paraId="1FD68801"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1</w:t>
            </w:r>
          </w:p>
        </w:tc>
        <w:tc>
          <w:tcPr>
            <w:tcW w:w="1710" w:type="dxa"/>
          </w:tcPr>
          <w:p w14:paraId="042C466A"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Nitrendipine</w:t>
            </w:r>
          </w:p>
        </w:tc>
        <w:tc>
          <w:tcPr>
            <w:tcW w:w="1530" w:type="dxa"/>
          </w:tcPr>
          <w:p w14:paraId="3195FEE4"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DB01054</w:t>
            </w:r>
          </w:p>
        </w:tc>
        <w:tc>
          <w:tcPr>
            <w:tcW w:w="1440" w:type="dxa"/>
          </w:tcPr>
          <w:p w14:paraId="62603503"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0.909</w:t>
            </w:r>
          </w:p>
        </w:tc>
        <w:tc>
          <w:tcPr>
            <w:tcW w:w="1710" w:type="dxa"/>
          </w:tcPr>
          <w:p w14:paraId="1FDE992C"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39A6E1BC"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{"citationItems":[{"id":"ITEM-1","itemData":{"DOI":"10.3390/MOLECULES25173830","ISSN":"14203049","PMID":"32842509","abstract":"The SARS-CoV-2 outbreak caused an unprecedented global public health threat, having a high transmission rate with currently no drugs or vaccines approved. An alternative powerful additional approach to counteract COVID-19 is in silico drug repurposing. The SARS-CoV-2 main protease is essential for viral replication and an attractive drug target. In this study, we used the virtual screening protocol with both long-range and short-range interactions to select candidate SARS-CoV-2 main protease inhibitors. First, the Informational spectrum method applied for small molecules was used for searching the Drugbank database and further followed by molecular docking. After in silico screening of drug space, we identified 57 drugs as potential SARS-CoV-2 main protease inhibitors that we propose for further experimental testing.","author":[{"dropping-particle":"","family":"Sencanski","given":"Milan","non-dropping-particle":"","parse-names":false,"suffix":""},{"dropping-particle":"","family":"Perovic","given":"Vladimir","non-dropping-particle":"","parse-names":false,"suffix":""},{"dropping-particle":"","family":"Pajovic","given":"Snezana B.","non-dropping-particle":"","parse-names":false,"suffix":""},{"dropping-particle":"","family":"Adzic","given":"Miroslav","non-dropping-particle":"","parse-names":false,"suffix":""},{"dropping-particle":"","family":"Paessler","given":"Slobodan","non-dropping-particle":"","parse-names":false,"suffix":""},{"dropping-particle":"","family":"Glisic","given":"Sanja","non-dropping-particle":"","parse-names":false,"suffix":""}],"container-title":"Molecules","id":"ITEM-1","issue":"17","issued":{"date-parts":[["2020","9","1"]]},"publisher":"Multidisciplinary Digital Publishing Institute  (MDPI)","title":"Drug Repurposing for Candidate SARS-CoV-2 Main Protease Inhibitors by a Novel In Silico Method","type":"article-journal","volume":"25"},"uris":["http://www.mendeley.com/documents/?uuid=28e3fd1b-0393-3f12-b840-def3cbff09d7"]}],"mendeley":{"formattedCitation":"[85]","plainTextFormattedCitation":"[85]","previouslyFormattedCitation":"[85]"},"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[85]</w:t>
            </w:r>
            <w:r w:rsidRPr="00811847">
              <w:rPr>
                <w:rFonts w:ascii="Times New Roman" w:hAnsi="Times New Roman" w:cs="Times New Roman"/>
                <w:sz w:val="24"/>
                <w:szCs w:val="24"/>
              </w:rPr>
              <w:fldChar w:fldCharType="end"/>
            </w:r>
          </w:p>
        </w:tc>
      </w:tr>
      <w:tr w:rsidR="00811847" w:rsidRPr="00811847" w14:paraId="7F27545C" w14:textId="77777777" w:rsidTr="00AE3E50">
        <w:trPr>
          <w:trHeight w:val="899"/>
        </w:trPr>
        <w:tc>
          <w:tcPr>
            <w:tcW w:w="535" w:type="dxa"/>
          </w:tcPr>
          <w:p w14:paraId="6648EFA9"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2</w:t>
            </w:r>
          </w:p>
        </w:tc>
        <w:tc>
          <w:tcPr>
            <w:tcW w:w="1710" w:type="dxa"/>
          </w:tcPr>
          <w:p w14:paraId="171F215B" w14:textId="77777777" w:rsidR="00811847" w:rsidRPr="00811847" w:rsidRDefault="00811847" w:rsidP="00AE3E50">
            <w:pPr>
              <w:pStyle w:val="NoSpacing"/>
              <w:rPr>
                <w:rFonts w:ascii="Times New Roman" w:hAnsi="Times New Roman" w:cs="Times New Roman"/>
                <w:kern w:val="36"/>
                <w:sz w:val="24"/>
                <w:szCs w:val="24"/>
              </w:rPr>
            </w:pPr>
            <w:proofErr w:type="spellStart"/>
            <w:r w:rsidRPr="00811847">
              <w:rPr>
                <w:rFonts w:ascii="Times New Roman" w:hAnsi="Times New Roman" w:cs="Times New Roman"/>
                <w:kern w:val="36"/>
                <w:sz w:val="24"/>
                <w:szCs w:val="24"/>
              </w:rPr>
              <w:t>Ebselen</w:t>
            </w:r>
            <w:proofErr w:type="spellEnd"/>
          </w:p>
        </w:tc>
        <w:tc>
          <w:tcPr>
            <w:tcW w:w="1530" w:type="dxa"/>
          </w:tcPr>
          <w:p w14:paraId="204F564F"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DB12610</w:t>
            </w:r>
          </w:p>
          <w:p w14:paraId="1EAEDBA9" w14:textId="77777777" w:rsidR="00811847" w:rsidRPr="00811847" w:rsidRDefault="00811847" w:rsidP="00AE3E50">
            <w:pPr>
              <w:pStyle w:val="NoSpacing"/>
              <w:rPr>
                <w:rFonts w:ascii="Times New Roman" w:hAnsi="Times New Roman" w:cs="Times New Roman"/>
                <w:sz w:val="24"/>
                <w:szCs w:val="24"/>
              </w:rPr>
            </w:pPr>
          </w:p>
        </w:tc>
        <w:tc>
          <w:tcPr>
            <w:tcW w:w="1440" w:type="dxa"/>
          </w:tcPr>
          <w:p w14:paraId="352D9665" w14:textId="77777777" w:rsidR="00811847" w:rsidRPr="00811847" w:rsidRDefault="00811847" w:rsidP="00AE3E50">
            <w:pPr>
              <w:pStyle w:val="NoSpacing"/>
              <w:rPr>
                <w:rFonts w:ascii="Times New Roman" w:hAnsi="Times New Roman" w:cs="Times New Roman"/>
                <w:sz w:val="24"/>
                <w:szCs w:val="24"/>
              </w:rPr>
            </w:pPr>
            <w:r w:rsidRPr="00811847">
              <w:rPr>
                <w:rFonts w:ascii="Times New Roman" w:hAnsi="Times New Roman" w:cs="Times New Roman"/>
                <w:sz w:val="24"/>
                <w:szCs w:val="24"/>
              </w:rPr>
              <w:t>0.916</w:t>
            </w:r>
          </w:p>
        </w:tc>
        <w:tc>
          <w:tcPr>
            <w:tcW w:w="17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7"/>
            </w:tblGrid>
            <w:tr w:rsidR="00811847" w:rsidRPr="00811847" w14:paraId="6E92C132" w14:textId="77777777" w:rsidTr="00AE3E50">
              <w:trPr>
                <w:trHeight w:val="225"/>
                <w:tblCellSpacing w:w="15" w:type="dxa"/>
              </w:trPr>
              <w:tc>
                <w:tcPr>
                  <w:tcW w:w="857" w:type="dxa"/>
                  <w:vAlign w:val="center"/>
                  <w:hideMark/>
                </w:tcPr>
                <w:p w14:paraId="30EF7CC8"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P09958</w:t>
                  </w:r>
                </w:p>
              </w:tc>
            </w:tr>
            <w:tr w:rsidR="00811847" w:rsidRPr="00811847" w14:paraId="239E466B" w14:textId="77777777" w:rsidTr="00AE3E50">
              <w:trPr>
                <w:tblCellSpacing w:w="15" w:type="dxa"/>
              </w:trPr>
              <w:tc>
                <w:tcPr>
                  <w:tcW w:w="857" w:type="dxa"/>
                  <w:vAlign w:val="center"/>
                  <w:hideMark/>
                </w:tcPr>
                <w:p w14:paraId="0F0A9261"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Q2M2I8</w:t>
                  </w:r>
                </w:p>
              </w:tc>
            </w:tr>
          </w:tbl>
          <w:p w14:paraId="0A002CAC" w14:textId="77777777" w:rsidR="00811847" w:rsidRPr="00811847" w:rsidRDefault="00811847" w:rsidP="00AE3E50">
            <w:pPr>
              <w:rPr>
                <w:rFonts w:ascii="Times New Roman" w:hAnsi="Times New Roman" w:cs="Times New Roman"/>
              </w:rPr>
            </w:pPr>
          </w:p>
        </w:tc>
        <w:tc>
          <w:tcPr>
            <w:tcW w:w="1710" w:type="dxa"/>
          </w:tcPr>
          <w:p w14:paraId="43BE85FF"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{"citationItems":[{"id":"ITEM-1","itemData":{"DOI":"10.1038/s41598-021-83229-6","ISBN":"0123456789","ISSN":"2045-2322","PMID":"33574416","abstract":"An efficient treatment against a COVID-19 disease, caused by the novel coronavirus SARS-CoV-2 (CoV2), remains a challenge. The papain-like protease (PLpro) from the human coronavirus is a protease that plays a critical role in virus replication. Moreover, CoV2 uses this enzyme to modulate the host’s immune system to its own benefit. Therefore, it represents a highly promising target for the development of antiviral drugs. We used Approximate Bayesian Computation tools, molecular modelling and enzyme activity studies to identify highly active inhibitors of the PLpro. We discovered organoselenium compounds, ebselen and its structural analogues, as a novel approach for inhibiting the activity of PLproCoV2. Furthermore, we identified, for the first time, inhibitors of PLproCoV2 showing potency in the nanomolar range. Moreover, we found a difference between PLpro from SARS and CoV2 that can be correlated with the diverse dynamics of their replication, and, putatively to disease progression.","author":[{"dropping-particle":"","family":"Weglarz-Tomczak","given":"Ewelina","non-dropping-particle":"","parse-names":false,"suffix":""},{"dropping-particle":"","family":"Tomczak","given":"Jakub M.","non-dropping-particle":"","parse-names":false,"suffix":""},{"dropping-particle":"","family":"Talma","given":"Michał","non-dropping-particle":"","parse-names":false,"suffix":""},{"dropping-particle":"","family":"Burda-Grabowska","given":"Małgorzata","non-dropping-particle":"","parse-names":false,"suffix":""},{"dropping-particle":"","family":"Giurg","given":"Mirosław","non-dropping-particle":"","parse-names":false,"suffix":""},{"dropping-particle":"","family":"Brul","given":"Stanley","non-dropping-particle":"","parse-names":false,"suffix":""}],"container-title":"Scientific Reports 2021 11:1","id":"ITEM-1","issue":"1","issued":{"date-parts":[["2021","2","11"]]},"page":"1-10","publisher":"Nature Publishing Group","title":"Identification of ebselen and its analogues as potent covalent inhibitors of papain-like protease from SARS-CoV-2","type":"article-journal","volume":"11"},"uris":["http://www.mendeley.com/documents/?uuid=187dee0b-f0d3-3fc4-9750-34fd2327d7d1"]},{"id":"ITEM-2","itemData":{"DOI":"10.1016/J.IJSU.2020.10.018","ISSN":"17439159","PMID":"33120196","author":[{"dropping-particle":"V.","family":"Haritha","given":"C.","non-dropping-particle":"","parse-names":false,"suffix":""},{"dropping-particle":"","family":"Sharun","given":"Khan","non-dropping-particle":"","parse-names":false,"suffix":""},{"dropping-particle":"","family":"Jose","given":"Bosco","non-dropping-particle":"","parse-names":false,"suffix":""}],"container-title":"International Journal of Surgery (London, England)","id":"ITEM-2","issued":{"date-parts":[["2020","12","1"]]},"page":"53","publisher":"Elsevier","title":"Ebselen, a new candidate therapeutic against SARS-CoV-2","type":"article-journal","volume":"84"},"uris":["http://www.mendeley.com/documents/?uuid=3ed52700-168f-318d-8fc6-332bebc40493"]}],"mendeley":{"formattedCitation":"[86], [87]","plainTextFormattedCitation":"[86], [87]","previouslyFormattedCitation":"[86], [87]"},"properties":{"noteIndex":0},"schema":"https://github.com/citation-style-language/schema/raw/master/csl-citation.json"}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[86], [87]</w:t>
            </w:r>
            <w:r w:rsidRPr="00811847">
              <w:rPr>
                <w:rFonts w:ascii="Times New Roman" w:hAnsi="Times New Roman" w:cs="Times New Roman"/>
                <w:sz w:val="24"/>
                <w:szCs w:val="24"/>
              </w:rPr>
              <w:fldChar w:fldCharType="end"/>
            </w:r>
          </w:p>
        </w:tc>
      </w:tr>
      <w:tr w:rsidR="00811847" w:rsidRPr="00811847" w14:paraId="2F6AEFF3" w14:textId="77777777" w:rsidTr="00AE3E50">
        <w:tc>
          <w:tcPr>
            <w:tcW w:w="535" w:type="dxa"/>
          </w:tcPr>
          <w:p w14:paraId="22DC4DA0"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3</w:t>
            </w:r>
          </w:p>
        </w:tc>
        <w:tc>
          <w:tcPr>
            <w:tcW w:w="1710" w:type="dxa"/>
          </w:tcPr>
          <w:p w14:paraId="789AC4DE" w14:textId="77777777" w:rsidR="00811847" w:rsidRPr="00811847" w:rsidRDefault="00811847" w:rsidP="00AE3E50">
            <w:pPr>
              <w:rPr>
                <w:rFonts w:ascii="Times New Roman" w:hAnsi="Times New Roman" w:cs="Times New Roman"/>
                <w:sz w:val="24"/>
                <w:szCs w:val="24"/>
                <w:shd w:val="clear" w:color="auto" w:fill="FFFFFF"/>
              </w:rPr>
            </w:pPr>
            <w:proofErr w:type="spellStart"/>
            <w:r w:rsidRPr="00811847">
              <w:rPr>
                <w:rFonts w:ascii="Times New Roman" w:hAnsi="Times New Roman" w:cs="Times New Roman"/>
                <w:sz w:val="24"/>
                <w:szCs w:val="24"/>
                <w:shd w:val="clear" w:color="auto" w:fill="FFFFFF"/>
              </w:rPr>
              <w:t>Clidinium</w:t>
            </w:r>
            <w:proofErr w:type="spellEnd"/>
          </w:p>
          <w:p w14:paraId="647F7F5E" w14:textId="77777777" w:rsidR="00811847" w:rsidRPr="00811847" w:rsidRDefault="00811847" w:rsidP="00AE3E50">
            <w:pPr>
              <w:rPr>
                <w:rFonts w:ascii="Times New Roman" w:eastAsia="Times New Roman" w:hAnsi="Times New Roman" w:cs="Times New Roman"/>
                <w:sz w:val="24"/>
                <w:szCs w:val="24"/>
              </w:rPr>
            </w:pPr>
          </w:p>
        </w:tc>
        <w:tc>
          <w:tcPr>
            <w:tcW w:w="1530" w:type="dxa"/>
          </w:tcPr>
          <w:p w14:paraId="0A4629C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DB00771</w:t>
            </w:r>
          </w:p>
        </w:tc>
        <w:tc>
          <w:tcPr>
            <w:tcW w:w="1440" w:type="dxa"/>
          </w:tcPr>
          <w:p w14:paraId="40BD1E44"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0.926</w:t>
            </w:r>
          </w:p>
        </w:tc>
        <w:tc>
          <w:tcPr>
            <w:tcW w:w="17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7"/>
            </w:tblGrid>
            <w:tr w:rsidR="00811847" w:rsidRPr="00811847" w14:paraId="3587802F" w14:textId="77777777" w:rsidTr="00AE3E50">
              <w:trPr>
                <w:tblCellSpacing w:w="15" w:type="dxa"/>
              </w:trPr>
              <w:tc>
                <w:tcPr>
                  <w:tcW w:w="857" w:type="dxa"/>
                  <w:vAlign w:val="center"/>
                  <w:hideMark/>
                </w:tcPr>
                <w:p w14:paraId="323EFD48"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P09958</w:t>
                  </w:r>
                </w:p>
              </w:tc>
            </w:tr>
            <w:tr w:rsidR="00811847" w:rsidRPr="00811847" w14:paraId="7492C8C8" w14:textId="77777777" w:rsidTr="00AE3E50">
              <w:trPr>
                <w:tblCellSpacing w:w="15" w:type="dxa"/>
              </w:trPr>
              <w:tc>
                <w:tcPr>
                  <w:tcW w:w="857" w:type="dxa"/>
                  <w:vAlign w:val="center"/>
                  <w:hideMark/>
                </w:tcPr>
                <w:p w14:paraId="2A4D5A6D"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Q2M2I8</w:t>
                  </w:r>
                </w:p>
              </w:tc>
            </w:tr>
          </w:tbl>
          <w:p w14:paraId="3E2DA1E8" w14:textId="77777777" w:rsidR="00811847" w:rsidRPr="00811847" w:rsidRDefault="00811847" w:rsidP="00AE3E50">
            <w:pPr>
              <w:rPr>
                <w:rFonts w:ascii="Times New Roman" w:eastAsia="Times New Roman" w:hAnsi="Times New Roman" w:cs="Times New Roman"/>
              </w:rPr>
            </w:pPr>
          </w:p>
        </w:tc>
        <w:tc>
          <w:tcPr>
            <w:tcW w:w="1710" w:type="dxa"/>
          </w:tcPr>
          <w:p w14:paraId="77A927DB"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047D9349" w14:textId="77777777" w:rsidTr="00AE3E50">
        <w:tc>
          <w:tcPr>
            <w:tcW w:w="535" w:type="dxa"/>
          </w:tcPr>
          <w:p w14:paraId="34840CA1"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4</w:t>
            </w:r>
          </w:p>
        </w:tc>
        <w:tc>
          <w:tcPr>
            <w:tcW w:w="1710" w:type="dxa"/>
          </w:tcPr>
          <w:p w14:paraId="48E53DAD"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Molindone</w:t>
            </w:r>
          </w:p>
        </w:tc>
        <w:tc>
          <w:tcPr>
            <w:tcW w:w="1530" w:type="dxa"/>
          </w:tcPr>
          <w:p w14:paraId="1D7BF0BD"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DB01618</w:t>
            </w:r>
          </w:p>
        </w:tc>
        <w:tc>
          <w:tcPr>
            <w:tcW w:w="1440" w:type="dxa"/>
          </w:tcPr>
          <w:p w14:paraId="36CF42CD"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0.926</w:t>
            </w:r>
          </w:p>
        </w:tc>
        <w:tc>
          <w:tcPr>
            <w:tcW w:w="17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7"/>
            </w:tblGrid>
            <w:tr w:rsidR="00811847" w:rsidRPr="00811847" w14:paraId="3916CCE1" w14:textId="77777777" w:rsidTr="00AE3E50">
              <w:trPr>
                <w:tblCellSpacing w:w="15" w:type="dxa"/>
              </w:trPr>
              <w:tc>
                <w:tcPr>
                  <w:tcW w:w="857" w:type="dxa"/>
                  <w:vAlign w:val="center"/>
                  <w:hideMark/>
                </w:tcPr>
                <w:p w14:paraId="48427888"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P09958</w:t>
                  </w:r>
                </w:p>
              </w:tc>
            </w:tr>
            <w:tr w:rsidR="00811847" w:rsidRPr="00811847" w14:paraId="3C55C3A2" w14:textId="77777777" w:rsidTr="00AE3E50">
              <w:trPr>
                <w:tblCellSpacing w:w="15" w:type="dxa"/>
              </w:trPr>
              <w:tc>
                <w:tcPr>
                  <w:tcW w:w="857" w:type="dxa"/>
                  <w:vAlign w:val="center"/>
                  <w:hideMark/>
                </w:tcPr>
                <w:p w14:paraId="3ABE948D"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Q2M2I8</w:t>
                  </w:r>
                </w:p>
              </w:tc>
            </w:tr>
          </w:tbl>
          <w:p w14:paraId="413EF299" w14:textId="77777777" w:rsidR="00811847" w:rsidRPr="00811847" w:rsidRDefault="00811847" w:rsidP="00AE3E50">
            <w:pPr>
              <w:rPr>
                <w:rFonts w:ascii="Times New Roman" w:eastAsia="Times New Roman" w:hAnsi="Times New Roman" w:cs="Times New Roman"/>
              </w:rPr>
            </w:pPr>
          </w:p>
        </w:tc>
        <w:tc>
          <w:tcPr>
            <w:tcW w:w="1710" w:type="dxa"/>
          </w:tcPr>
          <w:p w14:paraId="26ED9BC5"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38E70DC6" w14:textId="77777777" w:rsidTr="00AE3E50">
        <w:tc>
          <w:tcPr>
            <w:tcW w:w="535" w:type="dxa"/>
          </w:tcPr>
          <w:p w14:paraId="60880C44"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5</w:t>
            </w:r>
          </w:p>
        </w:tc>
        <w:tc>
          <w:tcPr>
            <w:tcW w:w="1710" w:type="dxa"/>
          </w:tcPr>
          <w:p w14:paraId="5E4B881C"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Ezogabine</w:t>
            </w:r>
          </w:p>
        </w:tc>
        <w:tc>
          <w:tcPr>
            <w:tcW w:w="1530" w:type="dxa"/>
          </w:tcPr>
          <w:p w14:paraId="12B17A3C"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DB04953</w:t>
            </w:r>
          </w:p>
        </w:tc>
        <w:tc>
          <w:tcPr>
            <w:tcW w:w="1440" w:type="dxa"/>
          </w:tcPr>
          <w:p w14:paraId="3DAAFE07"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0.904</w:t>
            </w:r>
          </w:p>
        </w:tc>
        <w:tc>
          <w:tcPr>
            <w:tcW w:w="1710" w:type="dxa"/>
          </w:tcPr>
          <w:p w14:paraId="63E02F27" w14:textId="77777777" w:rsidR="00811847" w:rsidRPr="00811847" w:rsidRDefault="00811847" w:rsidP="00AE3E50">
            <w:pPr>
              <w:rPr>
                <w:rFonts w:ascii="Times New Roman" w:eastAsia="Times New Roman" w:hAnsi="Times New Roman" w:cs="Times New Roman"/>
              </w:rPr>
            </w:pPr>
            <w:r w:rsidRPr="00811847">
              <w:rPr>
                <w:rFonts w:ascii="Times New Roman" w:hAnsi="Times New Roman" w:cs="Times New Roman"/>
              </w:rPr>
              <w:t>Q2M2I8</w:t>
            </w:r>
          </w:p>
        </w:tc>
        <w:tc>
          <w:tcPr>
            <w:tcW w:w="1710" w:type="dxa"/>
          </w:tcPr>
          <w:p w14:paraId="2A7DD87D"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0E811560" w14:textId="77777777" w:rsidTr="00AE3E50">
        <w:tc>
          <w:tcPr>
            <w:tcW w:w="535" w:type="dxa"/>
          </w:tcPr>
          <w:p w14:paraId="1308410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6</w:t>
            </w:r>
          </w:p>
        </w:tc>
        <w:tc>
          <w:tcPr>
            <w:tcW w:w="1710" w:type="dxa"/>
          </w:tcPr>
          <w:p w14:paraId="3EB3195C"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Tecadenoson</w:t>
            </w:r>
            <w:proofErr w:type="spellEnd"/>
          </w:p>
        </w:tc>
        <w:tc>
          <w:tcPr>
            <w:tcW w:w="1530" w:type="dxa"/>
          </w:tcPr>
          <w:tbl>
            <w:tblPr>
              <w:tblW w:w="100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2"/>
            </w:tblGrid>
            <w:tr w:rsidR="00811847" w:rsidRPr="00811847" w14:paraId="01B0C389" w14:textId="77777777" w:rsidTr="00AE3E50">
              <w:trPr>
                <w:tblCellSpacing w:w="15" w:type="dxa"/>
              </w:trPr>
              <w:tc>
                <w:tcPr>
                  <w:tcW w:w="942" w:type="dxa"/>
                  <w:vAlign w:val="center"/>
                  <w:hideMark/>
                </w:tcPr>
                <w:p w14:paraId="77E0AF44" w14:textId="77777777" w:rsidR="00811847" w:rsidRPr="00811847" w:rsidRDefault="00811847" w:rsidP="00AE3E50">
                  <w:pPr>
                    <w:spacing w:after="0" w:line="240" w:lineRule="auto"/>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DB04954</w:t>
                  </w:r>
                </w:p>
              </w:tc>
            </w:tr>
            <w:tr w:rsidR="00811847" w:rsidRPr="00811847" w14:paraId="34FE5452" w14:textId="77777777" w:rsidTr="00AE3E50">
              <w:trPr>
                <w:tblCellSpacing w:w="15" w:type="dxa"/>
              </w:trPr>
              <w:tc>
                <w:tcPr>
                  <w:tcW w:w="942" w:type="dxa"/>
                  <w:vAlign w:val="center"/>
                  <w:hideMark/>
                </w:tcPr>
                <w:p w14:paraId="754A0DBF" w14:textId="77777777" w:rsidR="00811847" w:rsidRPr="00811847" w:rsidRDefault="00811847" w:rsidP="00AE3E50">
                  <w:pPr>
                    <w:spacing w:after="0" w:line="240" w:lineRule="auto"/>
                    <w:rPr>
                      <w:rFonts w:ascii="Times New Roman" w:eastAsia="Times New Roman" w:hAnsi="Times New Roman" w:cs="Times New Roman"/>
                      <w:sz w:val="24"/>
                      <w:szCs w:val="24"/>
                    </w:rPr>
                  </w:pPr>
                </w:p>
              </w:tc>
            </w:tr>
          </w:tbl>
          <w:p w14:paraId="1BF5A8FB" w14:textId="77777777" w:rsidR="00811847" w:rsidRPr="00811847" w:rsidRDefault="00811847" w:rsidP="00AE3E50">
            <w:pPr>
              <w:rPr>
                <w:rFonts w:ascii="Times New Roman" w:eastAsia="Times New Roman" w:hAnsi="Times New Roman" w:cs="Times New Roman"/>
                <w:sz w:val="24"/>
                <w:szCs w:val="24"/>
              </w:rPr>
            </w:pPr>
          </w:p>
        </w:tc>
        <w:tc>
          <w:tcPr>
            <w:tcW w:w="1440" w:type="dxa"/>
          </w:tcPr>
          <w:p w14:paraId="3A605AD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0.912</w:t>
            </w:r>
          </w:p>
        </w:tc>
        <w:tc>
          <w:tcPr>
            <w:tcW w:w="1710" w:type="dxa"/>
          </w:tcPr>
          <w:p w14:paraId="1D897951"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Q2M2I8</w:t>
            </w:r>
          </w:p>
          <w:p w14:paraId="3DFFED65" w14:textId="77777777" w:rsidR="00811847" w:rsidRPr="00811847" w:rsidRDefault="00811847" w:rsidP="00AE3E50">
            <w:pPr>
              <w:rPr>
                <w:rFonts w:ascii="Times New Roman" w:hAnsi="Times New Roman" w:cs="Times New Roman"/>
              </w:rPr>
            </w:pPr>
          </w:p>
        </w:tc>
        <w:tc>
          <w:tcPr>
            <w:tcW w:w="1710" w:type="dxa"/>
          </w:tcPr>
          <w:p w14:paraId="1E4314C9" w14:textId="77777777" w:rsidR="00811847" w:rsidRPr="00811847" w:rsidRDefault="00811847" w:rsidP="00AE3E50">
            <w:pPr>
              <w:rPr>
                <w:rFonts w:ascii="Times New Roman" w:hAnsi="Times New Roman" w:cs="Times New Roman"/>
                <w:sz w:val="24"/>
                <w:szCs w:val="24"/>
              </w:rPr>
            </w:pPr>
            <w:r w:rsidRPr="00811847">
              <w:rPr>
                <w:rFonts w:ascii="Times New Roman" w:eastAsia="Times New Roman" w:hAnsi="Times New Roman" w:cs="Times New Roman"/>
                <w:sz w:val="24"/>
                <w:szCs w:val="24"/>
              </w:rPr>
              <w:fldChar w:fldCharType="begin" w:fldLock="1"/>
            </w:r>
            <w:r w:rsidRPr="00811847">
              <w:rPr>
                <w:rFonts w:ascii="Times New Roman" w:eastAsia="Times New Roman" w:hAnsi="Times New Roman" w:cs="Times New Roman"/>
                <w:sz w:val="24"/>
                <w:szCs w:val="24"/>
              </w:rPr>
              <w:instrText>ADDIN CSL_CITATION {"citationItems":[{"id":"ITEM-1","itemData":{"DOI":"10.26434/CHEMRXIV.12021330.V1","abstract":"The World Health Organization (WHO) has declared a pandemic of the 2019 novel cornavirus SARS-CoV-2 infection (COVID-19). There is, however, no confirmed anti-COVID-19 therapeutic currently. In order to assist structure-based discovery of repurposing drugs against this disease, knowledge-based models of SARS-CoV-2 proteins were constructed using MODELLER software, and their models were refined by PHENIX and COOT. The model quality was assessed with MolProbity. The ligand molecules in the template structures were compared with approved/experimental drugs and components of natural medicines from the KEGG and KNApSAcK databases. The models suggested several drugs, such as carfilzomib, sinefungin, tecadenoson, and trabodenoson, as potential drugs for COVID-19.","author":[{"dropping-particle":"","family":"Hijikata","given":"Atsushi","non-dropping-particle":"","parse-names":false,"suffix":""},{"dropping-particle":"","family":"Shionyu-Mitsuyama","given":"Clara","non-dropping-particle":"","parse-names":false,"suffix":""},{"dropping-particle":"","family":"Nakae","given":"Setsu","non-dropping-particle":"","parse-names":false,"suffix":""},{"dropping-particle":"","family":"Shionyu","given":"Masafumi","non-dropping-particle":"","parse-names":false,"suffix":""},{"dropping-particle":"","family":"Ota","given":"Motonori","non-dropping-particle":"","parse-names":false,"suffix":""},{"dropping-particle":"","family":"Kanaya","given":"Shigehiko","non-dropping-particle":"","parse-names":false,"suffix":""},{"dropping-particle":"","family":"Shirai","given":"Tsuyoshi","non-dropping-particle":"","parse-names":false,"suffix":""}],"id":"ITEM-1","issued":{"date-parts":[["2020","3","24"]]},"title":"Knowledge-Based Structural Models of SARS-CoV-2 Proteins and Their Complex with Potential Drugs","type":"article-journal"},"uris":["http://www.mendeley.com/documents/?uuid=31c39665-9219-3250-abbb-4be7af5546a0"]}],"mendeley":{"formattedCitation":"[88]","plainTextFormattedCitation":"[88]","previouslyFormattedCitation":"[88]"},"properties":{"noteIndex":0},"schema":"https://github.com/citation-style-language/schema/raw/master/csl-citation.json"}</w:instrText>
            </w:r>
            <w:r w:rsidRPr="00811847">
              <w:rPr>
                <w:rFonts w:ascii="Times New Roman" w:eastAsia="Times New Roman" w:hAnsi="Times New Roman" w:cs="Times New Roman"/>
                <w:sz w:val="24"/>
                <w:szCs w:val="24"/>
              </w:rPr>
              <w:fldChar w:fldCharType="separate"/>
            </w:r>
            <w:r w:rsidRPr="00811847">
              <w:rPr>
                <w:rFonts w:ascii="Times New Roman" w:eastAsia="Times New Roman" w:hAnsi="Times New Roman" w:cs="Times New Roman"/>
                <w:noProof/>
                <w:sz w:val="24"/>
                <w:szCs w:val="24"/>
              </w:rPr>
              <w:t>[88]</w:t>
            </w:r>
            <w:r w:rsidRPr="00811847">
              <w:rPr>
                <w:rFonts w:ascii="Times New Roman" w:eastAsia="Times New Roman" w:hAnsi="Times New Roman" w:cs="Times New Roman"/>
                <w:sz w:val="24"/>
                <w:szCs w:val="24"/>
              </w:rPr>
              <w:fldChar w:fldCharType="end"/>
            </w:r>
          </w:p>
        </w:tc>
      </w:tr>
      <w:tr w:rsidR="00811847" w:rsidRPr="00811847" w14:paraId="6FA20DC2" w14:textId="77777777" w:rsidTr="00AE3E50">
        <w:tc>
          <w:tcPr>
            <w:tcW w:w="535" w:type="dxa"/>
          </w:tcPr>
          <w:p w14:paraId="091DB9C1"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7</w:t>
            </w:r>
          </w:p>
        </w:tc>
        <w:tc>
          <w:tcPr>
            <w:tcW w:w="1710" w:type="dxa"/>
          </w:tcPr>
          <w:p w14:paraId="546BC53A"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Troxacitabine</w:t>
            </w:r>
          </w:p>
        </w:tc>
        <w:tc>
          <w:tcPr>
            <w:tcW w:w="1530" w:type="dxa"/>
          </w:tcPr>
          <w:p w14:paraId="457A310A"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DB04961</w:t>
            </w:r>
          </w:p>
        </w:tc>
        <w:tc>
          <w:tcPr>
            <w:tcW w:w="1440" w:type="dxa"/>
          </w:tcPr>
          <w:p w14:paraId="7BB826D8"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4</w:t>
            </w:r>
          </w:p>
        </w:tc>
        <w:tc>
          <w:tcPr>
            <w:tcW w:w="1710" w:type="dxa"/>
          </w:tcPr>
          <w:p w14:paraId="62B720FB"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Q2M2I8</w:t>
            </w:r>
          </w:p>
          <w:p w14:paraId="26792868" w14:textId="77777777" w:rsidR="00811847" w:rsidRPr="00811847" w:rsidRDefault="00811847" w:rsidP="00AE3E50">
            <w:pPr>
              <w:rPr>
                <w:rFonts w:ascii="Times New Roman" w:hAnsi="Times New Roman" w:cs="Times New Roman"/>
              </w:rPr>
            </w:pPr>
            <w:r w:rsidRPr="00811847">
              <w:rPr>
                <w:rFonts w:ascii="Times New Roman" w:hAnsi="Times New Roman" w:cs="Times New Roman"/>
              </w:rPr>
              <w:t>P09958</w:t>
            </w:r>
          </w:p>
          <w:p w14:paraId="110FF4DA" w14:textId="77777777" w:rsidR="00811847" w:rsidRPr="00811847" w:rsidRDefault="00811847" w:rsidP="00AE3E50">
            <w:pPr>
              <w:rPr>
                <w:rFonts w:ascii="Times New Roman" w:eastAsia="Times New Roman" w:hAnsi="Times New Roman" w:cs="Times New Roman"/>
              </w:rPr>
            </w:pPr>
            <w:r w:rsidRPr="00811847">
              <w:rPr>
                <w:rFonts w:ascii="Times New Roman" w:hAnsi="Times New Roman" w:cs="Times New Roman"/>
              </w:rPr>
              <w:t>O14976</w:t>
            </w:r>
          </w:p>
        </w:tc>
        <w:tc>
          <w:tcPr>
            <w:tcW w:w="1710" w:type="dxa"/>
          </w:tcPr>
          <w:p w14:paraId="2C310538"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044CAB22" w14:textId="77777777" w:rsidTr="00AE3E50">
        <w:tc>
          <w:tcPr>
            <w:tcW w:w="535" w:type="dxa"/>
          </w:tcPr>
          <w:p w14:paraId="36F6B234"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8</w:t>
            </w:r>
          </w:p>
        </w:tc>
        <w:tc>
          <w:tcPr>
            <w:tcW w:w="1710" w:type="dxa"/>
          </w:tcPr>
          <w:p w14:paraId="311F4FEE"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Amonafide</w:t>
            </w:r>
            <w:proofErr w:type="spellEnd"/>
          </w:p>
        </w:tc>
        <w:tc>
          <w:tcPr>
            <w:tcW w:w="1530" w:type="dxa"/>
          </w:tcPr>
          <w:p w14:paraId="194A2B8A"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DB05022</w:t>
            </w:r>
          </w:p>
        </w:tc>
        <w:tc>
          <w:tcPr>
            <w:tcW w:w="1440" w:type="dxa"/>
          </w:tcPr>
          <w:p w14:paraId="4D750AF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0.90</w:t>
            </w:r>
            <w:r w:rsidRPr="00811847">
              <w:rPr>
                <w:rFonts w:ascii="Times New Roman" w:hAnsi="Times New Roman" w:cs="Times New Roman"/>
                <w:sz w:val="24"/>
                <w:szCs w:val="24"/>
              </w:rPr>
              <w:t>7</w:t>
            </w:r>
          </w:p>
        </w:tc>
        <w:tc>
          <w:tcPr>
            <w:tcW w:w="1710" w:type="dxa"/>
          </w:tcPr>
          <w:p w14:paraId="1E31E080"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p w14:paraId="7A7E4844" w14:textId="77777777" w:rsidR="00811847" w:rsidRPr="00811847" w:rsidRDefault="00811847" w:rsidP="00AE3E50">
            <w:pPr>
              <w:rPr>
                <w:rFonts w:ascii="Times New Roman" w:eastAsia="Times New Roman" w:hAnsi="Times New Roman" w:cs="Times New Roman"/>
                <w:sz w:val="24"/>
                <w:szCs w:val="24"/>
              </w:rPr>
            </w:pPr>
          </w:p>
        </w:tc>
        <w:tc>
          <w:tcPr>
            <w:tcW w:w="1710" w:type="dxa"/>
          </w:tcPr>
          <w:p w14:paraId="59A75AA1"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630FA87C" w14:textId="77777777" w:rsidTr="00AE3E50">
        <w:tc>
          <w:tcPr>
            <w:tcW w:w="535" w:type="dxa"/>
          </w:tcPr>
          <w:p w14:paraId="0C4DE64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9</w:t>
            </w:r>
          </w:p>
        </w:tc>
        <w:tc>
          <w:tcPr>
            <w:tcW w:w="1710" w:type="dxa"/>
          </w:tcPr>
          <w:p w14:paraId="23874094"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Ganaxolone</w:t>
            </w:r>
            <w:proofErr w:type="spellEnd"/>
          </w:p>
        </w:tc>
        <w:tc>
          <w:tcPr>
            <w:tcW w:w="1530" w:type="dxa"/>
          </w:tcPr>
          <w:p w14:paraId="16C53600"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DB05087</w:t>
            </w:r>
          </w:p>
        </w:tc>
        <w:tc>
          <w:tcPr>
            <w:tcW w:w="1440" w:type="dxa"/>
          </w:tcPr>
          <w:p w14:paraId="26B55560"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48</w:t>
            </w:r>
          </w:p>
        </w:tc>
        <w:tc>
          <w:tcPr>
            <w:tcW w:w="1710" w:type="dxa"/>
          </w:tcPr>
          <w:p w14:paraId="1599004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p w14:paraId="29AC19FB"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O15393</w:t>
            </w:r>
          </w:p>
        </w:tc>
        <w:tc>
          <w:tcPr>
            <w:tcW w:w="1710" w:type="dxa"/>
          </w:tcPr>
          <w:p w14:paraId="4A6D6D87"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7304D8D1" w14:textId="77777777" w:rsidTr="00AE3E50">
        <w:tc>
          <w:tcPr>
            <w:tcW w:w="535" w:type="dxa"/>
          </w:tcPr>
          <w:p w14:paraId="6ABF921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10</w:t>
            </w:r>
          </w:p>
        </w:tc>
        <w:tc>
          <w:tcPr>
            <w:tcW w:w="1710" w:type="dxa"/>
          </w:tcPr>
          <w:p w14:paraId="52542531"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16-Bromoepiandrosterone</w:t>
            </w:r>
          </w:p>
        </w:tc>
        <w:tc>
          <w:tcPr>
            <w:tcW w:w="1530" w:type="dxa"/>
          </w:tcPr>
          <w:p w14:paraId="0123A26B"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DB05107</w:t>
            </w:r>
          </w:p>
        </w:tc>
        <w:tc>
          <w:tcPr>
            <w:tcW w:w="1440" w:type="dxa"/>
          </w:tcPr>
          <w:p w14:paraId="4F1A9FA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0.902</w:t>
            </w:r>
          </w:p>
        </w:tc>
        <w:tc>
          <w:tcPr>
            <w:tcW w:w="1710" w:type="dxa"/>
            <w:shd w:val="clear" w:color="auto" w:fill="FFFFFF" w:themeFill="background1"/>
          </w:tcPr>
          <w:p w14:paraId="4B6B15F8"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p w14:paraId="6636A3A8" w14:textId="77777777" w:rsidR="00811847" w:rsidRPr="00811847" w:rsidRDefault="00811847" w:rsidP="00AE3E50">
            <w:pPr>
              <w:rPr>
                <w:rFonts w:ascii="Times New Roman" w:hAnsi="Times New Roman" w:cs="Times New Roman"/>
                <w:sz w:val="24"/>
                <w:szCs w:val="24"/>
              </w:rPr>
            </w:pPr>
          </w:p>
          <w:p w14:paraId="593158B2" w14:textId="77777777" w:rsidR="00811847" w:rsidRPr="00811847" w:rsidRDefault="00811847" w:rsidP="00AE3E50">
            <w:pPr>
              <w:jc w:val="center"/>
              <w:rPr>
                <w:rFonts w:ascii="Times New Roman" w:hAnsi="Times New Roman" w:cs="Times New Roman"/>
                <w:sz w:val="24"/>
                <w:szCs w:val="24"/>
              </w:rPr>
            </w:pPr>
          </w:p>
        </w:tc>
        <w:tc>
          <w:tcPr>
            <w:tcW w:w="1710" w:type="dxa"/>
          </w:tcPr>
          <w:p w14:paraId="55247762"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0FE079E3" w14:textId="77777777" w:rsidTr="00AE3E50">
        <w:tc>
          <w:tcPr>
            <w:tcW w:w="535" w:type="dxa"/>
          </w:tcPr>
          <w:p w14:paraId="1BFED18C"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11</w:t>
            </w:r>
          </w:p>
        </w:tc>
        <w:tc>
          <w:tcPr>
            <w:tcW w:w="1710" w:type="dxa"/>
          </w:tcPr>
          <w:p w14:paraId="19B9B902"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Pracinostat</w:t>
            </w:r>
            <w:proofErr w:type="spellEnd"/>
          </w:p>
        </w:tc>
        <w:tc>
          <w:tcPr>
            <w:tcW w:w="1530" w:type="dxa"/>
          </w:tcPr>
          <w:p w14:paraId="04FB50B4"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DB05223</w:t>
            </w:r>
          </w:p>
        </w:tc>
        <w:tc>
          <w:tcPr>
            <w:tcW w:w="1440" w:type="dxa"/>
          </w:tcPr>
          <w:p w14:paraId="3853CE1A"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1</w:t>
            </w:r>
            <w:r w:rsidRPr="00811847">
              <w:rPr>
                <w:rFonts w:ascii="Times New Roman" w:eastAsia="Times New Roman" w:hAnsi="Times New Roman" w:cs="Times New Roman"/>
                <w:sz w:val="24"/>
                <w:szCs w:val="24"/>
              </w:rPr>
              <w:t>3</w:t>
            </w:r>
          </w:p>
        </w:tc>
        <w:tc>
          <w:tcPr>
            <w:tcW w:w="1710" w:type="dxa"/>
          </w:tcPr>
          <w:p w14:paraId="02168494"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O14976</w:t>
            </w:r>
          </w:p>
          <w:p w14:paraId="34E8E008"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O15393</w:t>
            </w:r>
          </w:p>
          <w:p w14:paraId="64E76A93"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P09958</w:t>
            </w:r>
          </w:p>
          <w:p w14:paraId="1CF067D1"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4DCB6B4E"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15F552F4" w14:textId="77777777" w:rsidTr="00AE3E50">
        <w:tc>
          <w:tcPr>
            <w:tcW w:w="535" w:type="dxa"/>
          </w:tcPr>
          <w:p w14:paraId="31B0B82E"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12</w:t>
            </w:r>
          </w:p>
        </w:tc>
        <w:tc>
          <w:tcPr>
            <w:tcW w:w="1710" w:type="dxa"/>
          </w:tcPr>
          <w:p w14:paraId="639697D2"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Rolofylline</w:t>
            </w:r>
            <w:proofErr w:type="spellEnd"/>
          </w:p>
        </w:tc>
        <w:tc>
          <w:tcPr>
            <w:tcW w:w="1530" w:type="dxa"/>
          </w:tcPr>
          <w:p w14:paraId="234B4EB3"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DB12670</w:t>
            </w:r>
          </w:p>
        </w:tc>
        <w:tc>
          <w:tcPr>
            <w:tcW w:w="1440" w:type="dxa"/>
          </w:tcPr>
          <w:p w14:paraId="1B16E2BA"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12</w:t>
            </w:r>
          </w:p>
        </w:tc>
        <w:tc>
          <w:tcPr>
            <w:tcW w:w="1710" w:type="dxa"/>
          </w:tcPr>
          <w:p w14:paraId="5804A7CD"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45A64016"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4A4C953C" w14:textId="77777777" w:rsidTr="00AE3E50">
        <w:tc>
          <w:tcPr>
            <w:tcW w:w="535" w:type="dxa"/>
          </w:tcPr>
          <w:p w14:paraId="7F7C0EA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13</w:t>
            </w:r>
          </w:p>
        </w:tc>
        <w:tc>
          <w:tcPr>
            <w:tcW w:w="1710" w:type="dxa"/>
          </w:tcPr>
          <w:p w14:paraId="554A85AA" w14:textId="77777777" w:rsidR="00811847" w:rsidRPr="00811847" w:rsidRDefault="00811847" w:rsidP="00AE3E50">
            <w:pPr>
              <w:tabs>
                <w:tab w:val="left" w:pos="750"/>
              </w:tabs>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ab/>
            </w:r>
            <w:r w:rsidRPr="00811847">
              <w:rPr>
                <w:rFonts w:ascii="Times New Roman" w:hAnsi="Times New Roman" w:cs="Times New Roman"/>
                <w:sz w:val="24"/>
                <w:szCs w:val="24"/>
              </w:rPr>
              <w:br/>
            </w:r>
            <w:proofErr w:type="spellStart"/>
            <w:r w:rsidRPr="00811847">
              <w:rPr>
                <w:rFonts w:ascii="Times New Roman" w:hAnsi="Times New Roman" w:cs="Times New Roman"/>
                <w:sz w:val="24"/>
                <w:szCs w:val="24"/>
                <w:shd w:val="clear" w:color="auto" w:fill="FFFFFF"/>
              </w:rPr>
              <w:t>Velusetrag</w:t>
            </w:r>
            <w:proofErr w:type="spellEnd"/>
          </w:p>
        </w:tc>
        <w:tc>
          <w:tcPr>
            <w:tcW w:w="1530" w:type="dxa"/>
          </w:tcPr>
          <w:p w14:paraId="26F6ADBD"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DB12702</w:t>
            </w:r>
          </w:p>
        </w:tc>
        <w:tc>
          <w:tcPr>
            <w:tcW w:w="1440" w:type="dxa"/>
          </w:tcPr>
          <w:p w14:paraId="60740379"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44</w:t>
            </w:r>
          </w:p>
        </w:tc>
        <w:tc>
          <w:tcPr>
            <w:tcW w:w="1710" w:type="dxa"/>
          </w:tcPr>
          <w:p w14:paraId="5DB634AA"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P09958</w:t>
            </w:r>
          </w:p>
          <w:p w14:paraId="320F3354"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0C30E1A1"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508ACCB0" w14:textId="77777777" w:rsidTr="00AE3E50">
        <w:tc>
          <w:tcPr>
            <w:tcW w:w="535" w:type="dxa"/>
          </w:tcPr>
          <w:p w14:paraId="7705FE07"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14</w:t>
            </w:r>
          </w:p>
        </w:tc>
        <w:tc>
          <w:tcPr>
            <w:tcW w:w="1710" w:type="dxa"/>
          </w:tcPr>
          <w:p w14:paraId="3BEF4D9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br/>
            </w:r>
            <w:proofErr w:type="spellStart"/>
            <w:r w:rsidRPr="00811847">
              <w:rPr>
                <w:rFonts w:ascii="Times New Roman" w:hAnsi="Times New Roman" w:cs="Times New Roman"/>
                <w:sz w:val="24"/>
                <w:szCs w:val="24"/>
                <w:shd w:val="clear" w:color="auto" w:fill="FFFFFF"/>
              </w:rPr>
              <w:t>Balaglitazone</w:t>
            </w:r>
            <w:proofErr w:type="spellEnd"/>
          </w:p>
        </w:tc>
        <w:tc>
          <w:tcPr>
            <w:tcW w:w="1530" w:type="dxa"/>
          </w:tcPr>
          <w:p w14:paraId="667FE421"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DB12781</w:t>
            </w:r>
          </w:p>
        </w:tc>
        <w:tc>
          <w:tcPr>
            <w:tcW w:w="1440" w:type="dxa"/>
          </w:tcPr>
          <w:p w14:paraId="535FBD20"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4</w:t>
            </w:r>
            <w:r w:rsidRPr="00811847">
              <w:rPr>
                <w:rFonts w:ascii="Times New Roman" w:eastAsia="Times New Roman" w:hAnsi="Times New Roman" w:cs="Times New Roman"/>
                <w:sz w:val="24"/>
                <w:szCs w:val="24"/>
              </w:rPr>
              <w:t>6</w:t>
            </w:r>
          </w:p>
        </w:tc>
        <w:tc>
          <w:tcPr>
            <w:tcW w:w="1710" w:type="dxa"/>
          </w:tcPr>
          <w:p w14:paraId="1AE74720"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P09958</w:t>
            </w:r>
          </w:p>
          <w:p w14:paraId="35A04994"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p w14:paraId="61337A0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O14976</w:t>
            </w:r>
          </w:p>
        </w:tc>
        <w:tc>
          <w:tcPr>
            <w:tcW w:w="1710" w:type="dxa"/>
          </w:tcPr>
          <w:p w14:paraId="0EDD080E"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4787C133" w14:textId="77777777" w:rsidTr="00AE3E50">
        <w:tc>
          <w:tcPr>
            <w:tcW w:w="535" w:type="dxa"/>
          </w:tcPr>
          <w:p w14:paraId="77DB6057"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15</w:t>
            </w:r>
          </w:p>
        </w:tc>
        <w:tc>
          <w:tcPr>
            <w:tcW w:w="1710" w:type="dxa"/>
          </w:tcPr>
          <w:p w14:paraId="360BD2BB"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Gabexate</w:t>
            </w:r>
            <w:proofErr w:type="spellEnd"/>
          </w:p>
        </w:tc>
        <w:tc>
          <w:tcPr>
            <w:tcW w:w="1530" w:type="dxa"/>
          </w:tcPr>
          <w:p w14:paraId="7EA023C6"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DB12831</w:t>
            </w:r>
          </w:p>
        </w:tc>
        <w:tc>
          <w:tcPr>
            <w:tcW w:w="1440" w:type="dxa"/>
          </w:tcPr>
          <w:p w14:paraId="60896CF2"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0.912</w:t>
            </w:r>
          </w:p>
        </w:tc>
        <w:tc>
          <w:tcPr>
            <w:tcW w:w="1710" w:type="dxa"/>
          </w:tcPr>
          <w:p w14:paraId="1325703C"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p w14:paraId="1E4F6BFD"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P07711</w:t>
            </w:r>
          </w:p>
        </w:tc>
        <w:tc>
          <w:tcPr>
            <w:tcW w:w="1710" w:type="dxa"/>
          </w:tcPr>
          <w:p w14:paraId="67EE999B"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{"citationItems":[{"id":"ITEM-1","itemData":{"DOI":"10.1016/J.HELIYON.2021.E06284","ISSN":"2405-8440","abstract":"The COVID-19 situation had escalated into an unprecedented global crisis in just a few weeks. On the 30th of January 2020, World Health Organization officially declared the COVID-19 epidemic as a public health emergency of international concern. The confirmed cases were reported to exceed 105,856,046 globally, with the death toll of above 2,311,048, according to the dashboard from Johns Hopkins University on the 7th of February, 2021, though the actual figures may be much higher. Conserved regions of the South Asian strains were used to construct a phylogenetic tree to find evolutionary relationships among the novel virus. Off target similarities were searched with other microorganisms that have been previously reported using Basic Local Alignment Search Tool (BLAST). The conserved regions did not match with any previously reported microorganisms or viruses, which confirmed the novelty of SARS-CoV-2. Currently there is no approved drug for the prevention and treatment of COVID-19, but researchers globally are attempting to come up with one or more soon. Therapeutic strategies need to be addressed urgently to combat COVID-19. Successful drug repurposing is a tool that uses old and safe drugs, is time effective and requires lower development costs, and was thus considered for the study. Molecular docking was used for repurposing drugs from our own comprehensive database of approximately 300 highly characterized, existing drugs with known safety profile, to identify compounds that will inhibit the chosen molecular targets - SARS-CoV-2, ACE2, and TMPRSS2. The study has identified and proposed twenty seven candidates for further in vitro and in vivo studies for the treatment of SARS-CoV-2 infection. SARS-CoV-2; COVID-19; Drug repurposing; Molecular modeling; ACE2; TMPRSS2; Lopinavir; Remdesivir; Pacritinib","author":[{"dropping-particle":"","family":"Kabir","given":"Eva Rahman","non-dropping-particle":"","parse-names":false,"suffix":""},{"dropping-particle":"","family":"Mustafa","given":"Nashrah","non-dropping-particle":"","parse-names":false,"suffix":""},{"dropping-particle":"","family":"Nausheen","given":"Nahid","non-dropping-particle":"","parse-names":false,"suffix":""},{"dropping-particle":"","family":"Sharif Siam","given":"Mohammad Kawsar","non-dropping-particle":"","parse-names":false,"suffix":""},{"dropping-particle":"","family":"Syed","given":"Easin Uddin","non-dropping-particle":"","parse-names":false,"suffix":""}],"container-title":"Heliyon","id":"ITEM-1","issue":"2","issued":{"date-parts":[["2021","2","1"]]},"page":"e06284","publisher":"Elsevier","title":"Exploring existing drugs: proposing potential compounds in the treatment of COVID-19","type":"article-journal","volume":"7"},"uris":["http://www.mendeley.com/documents/?uuid=3eb7559b-3ede-3516-9940-ea6e214c2f6d"]}],"mendeley":{"formattedCitation":"[89]","plainTextFormattedCitation":"[89]","previouslyFormattedCitation":"[89]"},"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[89]</w:t>
            </w:r>
            <w:r w:rsidRPr="00811847">
              <w:rPr>
                <w:rFonts w:ascii="Times New Roman" w:hAnsi="Times New Roman" w:cs="Times New Roman"/>
                <w:sz w:val="24"/>
                <w:szCs w:val="24"/>
              </w:rPr>
              <w:fldChar w:fldCharType="end"/>
            </w:r>
          </w:p>
        </w:tc>
      </w:tr>
      <w:tr w:rsidR="00811847" w:rsidRPr="00811847" w14:paraId="3587E0D7" w14:textId="77777777" w:rsidTr="00AE3E50">
        <w:tc>
          <w:tcPr>
            <w:tcW w:w="535" w:type="dxa"/>
          </w:tcPr>
          <w:p w14:paraId="3E0B9EF7"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16</w:t>
            </w:r>
          </w:p>
        </w:tc>
        <w:tc>
          <w:tcPr>
            <w:tcW w:w="1710" w:type="dxa"/>
          </w:tcPr>
          <w:p w14:paraId="5EDE309C"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Dihydrexidine</w:t>
            </w:r>
            <w:proofErr w:type="spellEnd"/>
          </w:p>
        </w:tc>
        <w:tc>
          <w:tcPr>
            <w:tcW w:w="1530" w:type="dxa"/>
          </w:tcPr>
          <w:p w14:paraId="0CFBCA6F"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DB12890</w:t>
            </w:r>
          </w:p>
        </w:tc>
        <w:tc>
          <w:tcPr>
            <w:tcW w:w="1440" w:type="dxa"/>
          </w:tcPr>
          <w:p w14:paraId="3291BE2C"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0.93</w:t>
            </w:r>
            <w:r w:rsidRPr="00811847">
              <w:rPr>
                <w:rFonts w:ascii="Times New Roman" w:hAnsi="Times New Roman" w:cs="Times New Roman"/>
                <w:sz w:val="24"/>
                <w:szCs w:val="24"/>
              </w:rPr>
              <w:t>9</w:t>
            </w:r>
          </w:p>
        </w:tc>
        <w:tc>
          <w:tcPr>
            <w:tcW w:w="1710" w:type="dxa"/>
          </w:tcPr>
          <w:p w14:paraId="1C395A28"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O14976</w:t>
            </w:r>
          </w:p>
          <w:p w14:paraId="5F445E89"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p w14:paraId="5CEB9BD6"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P09958</w:t>
            </w:r>
          </w:p>
        </w:tc>
        <w:tc>
          <w:tcPr>
            <w:tcW w:w="1710" w:type="dxa"/>
          </w:tcPr>
          <w:p w14:paraId="55C65A6D"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1AE45BEE" w14:textId="77777777" w:rsidTr="00AE3E50">
        <w:tc>
          <w:tcPr>
            <w:tcW w:w="535" w:type="dxa"/>
          </w:tcPr>
          <w:p w14:paraId="38C9586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17</w:t>
            </w:r>
          </w:p>
        </w:tc>
        <w:tc>
          <w:tcPr>
            <w:tcW w:w="1710" w:type="dxa"/>
          </w:tcPr>
          <w:p w14:paraId="1F50EEB0"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Dihydralazine</w:t>
            </w:r>
            <w:proofErr w:type="spellEnd"/>
          </w:p>
        </w:tc>
        <w:tc>
          <w:tcPr>
            <w:tcW w:w="1530" w:type="dxa"/>
          </w:tcPr>
          <w:p w14:paraId="7EE1A129"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DB12945</w:t>
            </w:r>
          </w:p>
        </w:tc>
        <w:tc>
          <w:tcPr>
            <w:tcW w:w="1440" w:type="dxa"/>
          </w:tcPr>
          <w:p w14:paraId="30F0B02F"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0.946</w:t>
            </w:r>
          </w:p>
        </w:tc>
        <w:tc>
          <w:tcPr>
            <w:tcW w:w="1710" w:type="dxa"/>
          </w:tcPr>
          <w:p w14:paraId="1CA3D28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O15393</w:t>
            </w:r>
          </w:p>
          <w:p w14:paraId="53CFEAD1"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lastRenderedPageBreak/>
              <w:t>P07711</w:t>
            </w:r>
          </w:p>
          <w:p w14:paraId="6A703E19"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tc>
        <w:tc>
          <w:tcPr>
            <w:tcW w:w="1710" w:type="dxa"/>
          </w:tcPr>
          <w:p w14:paraId="6F0B2DAE"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lastRenderedPageBreak/>
              <w:fldChar w:fldCharType="begin" w:fldLock="1"/>
            </w:r>
            <w:r w:rsidRPr="00811847">
              <w:rPr>
                <w:rFonts w:ascii="Times New Roman" w:hAnsi="Times New Roman" w:cs="Times New Roman"/>
                <w:sz w:val="24"/>
                <w:szCs w:val="24"/>
              </w:rPr>
              <w:instrText>ADDIN CSL_CITATION {"citationItems":[{"id":"ITEM-1","itemData":{"URL":"https://go.drugbank.com/drugs/DB01275/clinical_trials?conditions=DBCOND0129755%2CDBCOND0127821%2CDBCOND0040789&amp;status=completed","accessed":{"date-parts":[["2022","1","25"]]},"id":"ITEM-1","issued":{"date-parts":[["0"]]},"title":"Hydralazine Completed Phase N/A Trials for COVID / Coronavirus Disease 2019 (COVID‑19) / High Blood Pressure (Hypertension) | DrugBank Online","type":"webpage"},"uris":["http://www.mendeley.com/documents/?uuid=6c75134e-4206-3a59-8205-751e2089e05d"]}],"mendeley":{"formattedCitation":"[90]","plainTextFormattedCitation":"[90]","previouslyFormattedCitation":"[90]"},"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[90]</w:t>
            </w:r>
            <w:r w:rsidRPr="00811847">
              <w:rPr>
                <w:rFonts w:ascii="Times New Roman" w:hAnsi="Times New Roman" w:cs="Times New Roman"/>
                <w:sz w:val="24"/>
                <w:szCs w:val="24"/>
              </w:rPr>
              <w:fldChar w:fldCharType="end"/>
            </w:r>
          </w:p>
        </w:tc>
      </w:tr>
      <w:tr w:rsidR="00811847" w:rsidRPr="00811847" w14:paraId="3B201BBC" w14:textId="77777777" w:rsidTr="00AE3E50">
        <w:tc>
          <w:tcPr>
            <w:tcW w:w="535" w:type="dxa"/>
          </w:tcPr>
          <w:p w14:paraId="45A78CB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18</w:t>
            </w:r>
          </w:p>
        </w:tc>
        <w:tc>
          <w:tcPr>
            <w:tcW w:w="1710" w:type="dxa"/>
          </w:tcPr>
          <w:p w14:paraId="47CDCE06"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Cortivazol</w:t>
            </w:r>
            <w:proofErr w:type="spellEnd"/>
          </w:p>
        </w:tc>
        <w:tc>
          <w:tcPr>
            <w:tcW w:w="1530" w:type="dxa"/>
          </w:tcPr>
          <w:p w14:paraId="3D65A6F4"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DB13003</w:t>
            </w:r>
          </w:p>
        </w:tc>
        <w:tc>
          <w:tcPr>
            <w:tcW w:w="1440" w:type="dxa"/>
          </w:tcPr>
          <w:p w14:paraId="7FC2B242"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4</w:t>
            </w:r>
          </w:p>
        </w:tc>
        <w:tc>
          <w:tcPr>
            <w:tcW w:w="1710" w:type="dxa"/>
          </w:tcPr>
          <w:p w14:paraId="6B3D8316"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p w14:paraId="31DADF99"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P07711</w:t>
            </w:r>
          </w:p>
          <w:p w14:paraId="34C0CD1F"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O15393</w:t>
            </w:r>
          </w:p>
        </w:tc>
        <w:tc>
          <w:tcPr>
            <w:tcW w:w="1710" w:type="dxa"/>
          </w:tcPr>
          <w:p w14:paraId="6389DE40" w14:textId="77777777" w:rsidR="00811847" w:rsidRPr="00811847" w:rsidRDefault="00811847" w:rsidP="00AE3E50">
            <w:pPr>
              <w:rPr>
                <w:rFonts w:ascii="Times New Roman" w:eastAsia="Times New Roman" w:hAnsi="Times New Roman" w:cs="Times New Roman"/>
                <w:sz w:val="24"/>
                <w:szCs w:val="24"/>
              </w:rPr>
            </w:pPr>
          </w:p>
        </w:tc>
      </w:tr>
      <w:tr w:rsidR="00811847" w:rsidRPr="00811847" w14:paraId="714484CD" w14:textId="77777777" w:rsidTr="00AE3E50">
        <w:tc>
          <w:tcPr>
            <w:tcW w:w="535" w:type="dxa"/>
          </w:tcPr>
          <w:p w14:paraId="59D4D702"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19</w:t>
            </w:r>
          </w:p>
        </w:tc>
        <w:tc>
          <w:tcPr>
            <w:tcW w:w="1710" w:type="dxa"/>
          </w:tcPr>
          <w:p w14:paraId="55494E27"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Hypericin</w:t>
            </w:r>
          </w:p>
        </w:tc>
        <w:tc>
          <w:tcPr>
            <w:tcW w:w="1530" w:type="dxa"/>
          </w:tcPr>
          <w:p w14:paraId="7848139E"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DB13014</w:t>
            </w:r>
          </w:p>
        </w:tc>
        <w:tc>
          <w:tcPr>
            <w:tcW w:w="1440" w:type="dxa"/>
          </w:tcPr>
          <w:p w14:paraId="0025925B"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0.901</w:t>
            </w:r>
          </w:p>
        </w:tc>
        <w:tc>
          <w:tcPr>
            <w:tcW w:w="1710" w:type="dxa"/>
          </w:tcPr>
          <w:p w14:paraId="3C6C6D93"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26B462F1"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{"citationItems":[{"id":"ITEM-1","itemData":{"DOI":"10.1007/S40495-021-00254-9/TABLES/3","ISSN":"2198641X","abstract":"The novel human coronavirus was firstly emerged in December 2019 in Wuhan, China, and has spread rapidly around the world. There is no known specific effective treatment of COVID-19. The most commonly used agents against this disease both in Turkey and around the world include chloroquine, hydroxychloroquine, lopinavir/ritonavir, favipiravir, and remdesivir. In the study, we investigated the drug potential of molecules that the components of an important medicinal plant Hypericum perforatum by using molecular docking and drug possibility properties of these molecules. The molecular docking results showed that the most stable complex was obtained with COVID-19 main protease and hypericin/isohypericin ligands with − 11 kcal/mol binding energy. Furthermore, ADMET, drug-likeness features of compounds of H. perforatum were investigated using the rules of Lipinski, Veber, and Ghose. According to the results obtained, it has been shown that H. perforatum has the potential to be an effective drug in the COVID-19 pandemic. In the next stage, it is necessary to carry out the clinically necessary reliability studies of these components. It is thought that it can be used for the treatment of COVID-19 if our molecular docking results are found to be in high correlation with clinical studies.","author":[{"dropping-particle":"","family":"Yalçın","given":"Serap","non-dropping-particle":"","parse-names":false,"suffix":""},{"dropping-particle":"","family":"Yalçınkaya","given":"Seda","non-dropping-particle":"","parse-names":false,"suffix":""},{"dropping-particle":"","family":"Ercan","given":"Fahriye","non-dropping-particle":"","parse-names":false,"suffix":""}],"container-title":"Current Pharmacology Reports","id":"ITEM-1","issue":"2","issued":{"date-parts":[["2021","4","1"]]},"page":"42-48","publisher":"Springer Science and Business Media Deutschland GmbH","title":"Determination of Potential Drug Candidate Molecules of the Hypericum perforatum for COVID-19 Treatment","type":"article-journal","volume":"7"},"uris":["http://www.mendeley.com/documents/?uuid=2011ae9c-b418-31da-8173-7c1226d61151"]}],"mendeley":{"formattedCitation":"[91]","plainTextFormattedCitation":"[91]","previouslyFormattedCitation":"[91]"},"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[91]</w:t>
            </w:r>
            <w:r w:rsidRPr="00811847">
              <w:rPr>
                <w:rFonts w:ascii="Times New Roman" w:hAnsi="Times New Roman" w:cs="Times New Roman"/>
                <w:sz w:val="24"/>
                <w:szCs w:val="24"/>
              </w:rPr>
              <w:fldChar w:fldCharType="end"/>
            </w:r>
          </w:p>
        </w:tc>
      </w:tr>
      <w:tr w:rsidR="00811847" w:rsidRPr="00811847" w14:paraId="66671AF5" w14:textId="77777777" w:rsidTr="00AE3E50">
        <w:tc>
          <w:tcPr>
            <w:tcW w:w="535" w:type="dxa"/>
          </w:tcPr>
          <w:p w14:paraId="6CA790B9"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20</w:t>
            </w:r>
          </w:p>
        </w:tc>
        <w:tc>
          <w:tcPr>
            <w:tcW w:w="1710" w:type="dxa"/>
          </w:tcPr>
          <w:p w14:paraId="73680AE8"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Tiapride</w:t>
            </w:r>
          </w:p>
        </w:tc>
        <w:tc>
          <w:tcPr>
            <w:tcW w:w="1530" w:type="dxa"/>
          </w:tcPr>
          <w:p w14:paraId="7977504D"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DB13025</w:t>
            </w:r>
          </w:p>
        </w:tc>
        <w:tc>
          <w:tcPr>
            <w:tcW w:w="1440" w:type="dxa"/>
          </w:tcPr>
          <w:p w14:paraId="71509B12"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0.917</w:t>
            </w:r>
          </w:p>
        </w:tc>
        <w:tc>
          <w:tcPr>
            <w:tcW w:w="1710" w:type="dxa"/>
          </w:tcPr>
          <w:p w14:paraId="3C5A008B"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P09958</w:t>
            </w:r>
          </w:p>
          <w:p w14:paraId="63D3A9D6"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4A2772AC"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{"citationItems":[{"id":"ITEM-1","itemData":{"DOI":"10.1016/J.LFS.2020.118889","ISSN":"18790631","PMID":"33310043","abstract":"Aim: The coronavirus disease 2019 (COVID-19) pandemic has swept the globe and no specific effective drug has been identified. Drug repurposing is a well-known method to address the crisis in a time-critical fashion. Antipsychotic drugs (APDs) have been reported to inhibit DNA replication of hepatitis B virus, measles virus germination, and HIV infection, along with replication of SARS-CoV and MERS-CoV, both of which interact with host cells as SARS-CoV-2. Methods: Nineteen APDs were screened using ACE2-HEK293T cell membrane chromatography (ACE2-HEK293T/CMC). Cytotoxicity assay, coronavirus spike pseudotype virus entry assay, surface plasmon resonance, and virtual molecular docking were applied to detect affinity between ACE2 protein and drugs and a potential antiviral property of the screened compounds. Key findings: After the CMC screening, 8 of the 19 APDs were well-retained on ACE2-HEK293T/CMC column and showed significant antiviral activities in vitro. Three quarters of them belong to phenothiazine and could significantly inhibit the entrance of coronavirus into ACE2-HEK293T cells. Aother two drugs, aripiprazole and tiapride, exhibited weaker inhibition. We selected five of the drugs for subsequent evaluation. All five showed similar affinity to ACE2 and virtual molecular docking demonstrated they bound with different amino acids respectively on ACE2 which SARS-CoV-2 binds to. Significance: Eight APDs were screened for binding with ACE2, five of which demonstrated potential protective effects against SARS-CoV-2 through acting on ACE2. Although the five drugs have a weak ability to block SARS-CoV-2 with a single binding site, they may provide a synergistic effect in adjuvant therapy of COVID-19 infection.","author":[{"dropping-particle":"","family":"Lu","given":"Jiayu","non-dropping-particle":"","parse-names":false,"suffix":""},{"dropping-particle":"","family":"Hou","given":"Yajing","non-dropping-particle":"","parse-names":false,"suffix":""},{"dropping-particle":"","family":"Ge","given":"Shuai","non-dropping-particle":"","parse-names":false,"suffix":""},{"dropping-particle":"","family":"Wang","given":"Xiangjun","non-dropping-particle":"","parse-names":false,"suffix":""},{"dropping-particle":"","family":"Wang","given":"Jue","non-dropping-particle":"","parse-names":false,"suffix":""},{"dropping-particle":"","family":"Hu","given":"Tian","non-dropping-particle":"","parse-names":false,"suffix":""},{"dropping-particle":"","family":"Lv","given":"Yuexin","non-dropping-particle":"","parse-names":false,"suffix":""},{"dropping-particle":"","family":"He","given":"Huaizhen","non-dropping-particle":"","parse-names":false,"suffix":""},{"dropping-particle":"","family":"Wang","given":"Cheng","non-dropping-particle":"","parse-names":false,"suffix":""}],"container-title":"Life Sciences","id":"ITEM-1","issued":{"date-parts":[["2021","2","1"]]},"page":"118889","publisher":"Elsevier","title":"Screened antipsychotic drugs inhibit SARS-CoV-2 binding with ACE2 in vitro","type":"article-journal","volume":"266"},"uris":["http://www.mendeley.com/documents/?uuid=18348bb5-a634-3a8f-9acc-d75c61d4b200"]}],"mendeley":{"formattedCitation":"[92]","plainTextFormattedCitation":"[92]","previouslyFormattedCitation":"[92]"},"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[92]</w:t>
            </w:r>
            <w:r w:rsidRPr="00811847">
              <w:rPr>
                <w:rFonts w:ascii="Times New Roman" w:hAnsi="Times New Roman" w:cs="Times New Roman"/>
                <w:sz w:val="24"/>
                <w:szCs w:val="24"/>
              </w:rPr>
              <w:fldChar w:fldCharType="end"/>
            </w:r>
          </w:p>
        </w:tc>
      </w:tr>
      <w:tr w:rsidR="00811847" w:rsidRPr="00811847" w14:paraId="09F891BF" w14:textId="77777777" w:rsidTr="00AE3E50">
        <w:tc>
          <w:tcPr>
            <w:tcW w:w="535" w:type="dxa"/>
          </w:tcPr>
          <w:p w14:paraId="1C82071E"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21</w:t>
            </w:r>
          </w:p>
        </w:tc>
        <w:tc>
          <w:tcPr>
            <w:tcW w:w="1710" w:type="dxa"/>
          </w:tcPr>
          <w:p w14:paraId="4357C2C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Artemisinin</w:t>
            </w:r>
          </w:p>
        </w:tc>
        <w:tc>
          <w:tcPr>
            <w:tcW w:w="1530" w:type="dxa"/>
          </w:tcPr>
          <w:p w14:paraId="18D7D43D" w14:textId="77777777" w:rsidR="00811847" w:rsidRPr="00811847" w:rsidRDefault="00811847" w:rsidP="00AE3E50">
            <w:pPr>
              <w:tabs>
                <w:tab w:val="left" w:pos="747"/>
              </w:tabs>
              <w:rPr>
                <w:rFonts w:ascii="Times New Roman" w:hAnsi="Times New Roman" w:cs="Times New Roman"/>
                <w:sz w:val="24"/>
                <w:szCs w:val="24"/>
              </w:rPr>
            </w:pPr>
            <w:r w:rsidRPr="00811847">
              <w:rPr>
                <w:rFonts w:ascii="Times New Roman" w:hAnsi="Times New Roman" w:cs="Times New Roman"/>
                <w:sz w:val="24"/>
                <w:szCs w:val="24"/>
              </w:rPr>
              <w:t>DB13132</w:t>
            </w:r>
          </w:p>
        </w:tc>
        <w:tc>
          <w:tcPr>
            <w:tcW w:w="1440" w:type="dxa"/>
          </w:tcPr>
          <w:p w14:paraId="2AF5E561"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0.964</w:t>
            </w:r>
          </w:p>
        </w:tc>
        <w:tc>
          <w:tcPr>
            <w:tcW w:w="1710" w:type="dxa"/>
          </w:tcPr>
          <w:p w14:paraId="366D7D13"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P07711</w:t>
            </w:r>
          </w:p>
          <w:p w14:paraId="21641CA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tc>
        <w:tc>
          <w:tcPr>
            <w:tcW w:w="1710" w:type="dxa"/>
          </w:tcPr>
          <w:p w14:paraId="18AB982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{"citationItems":[{"id":"ITEM-1","itemData":{"DOI":"10.3389/FPHAR.2021.649532/BIBTEX","ISSN":"16639812","abstract":"Artemisinin is an anti-inflammatory phytomedicine with broad-spectrum antiviral activity. Artemisinin and its antimalarial properties were discovered by the Chinese scientist Tu Youyu, who became one of the laureates of the 2015 Nobel Prize in Physiology or Medicine for this breakthrough in tropical medicine. It is a commonly used anti-malaria drug. Artemisinin has recently been repurposed as a potential COVID-19 drug. Its documented anti-SARS-CoV-2 activity has been attributed to its ability to inhibit spike-protein mediated and TGF-β-dependent early steps in the infection process as well as its ability to disrupt the post-entry intracellular events of the SARS-CoV-2 infection cycle required for viral replication. In addition, Artemisinin has anti-inflammatory activity and reduces the systemic levels of inflammatory cytokines that contribute to cytokine storm and inflammatory organ injury in high-risk COVID-19 patients. We postulate that Artemisinin may prevent the worsening of the health condition of patients with mild-moderate COVID-19 when administered early in the course of their disease.","author":[{"dropping-particle":"","family":"Uckun","given":"Fatih M.","non-dropping-particle":"","parse-names":false,"suffix":""},{"dropping-particle":"","family":"Saund","given":"Saran","non-dropping-particle":"","parse-names":false,"suffix":""},{"dropping-particle":"","family":"Windlass","given":"Hitesh","non-dropping-particle":"","parse-names":false,"suffix":""},{"dropping-particle":"","family":"Trieu","given":"Vuong","non-dropping-particle":"","parse-names":false,"suffix":""}],"container-title":"Frontiers in Pharmacology","id":"ITEM-1","issued":{"date-parts":[["2021","3","19"]]},"page":"407","publisher":"Frontiers Media S.A.","title":"Repurposing Anti-Malaria Phytomedicine Artemisinin as a COVID-19 Drug","type":"article-journal","volume":"12"},"uris":["http://www.mendeley.com/documents/?uuid=b344a615-e337-3498-874d-42674703e6f3"]}],"mendeley":{"formattedCitation":"[93]","plainTextFormattedCitation":"[93]","previouslyFormattedCitation":"[93]"},"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[93]</w:t>
            </w:r>
            <w:r w:rsidRPr="00811847">
              <w:rPr>
                <w:rFonts w:ascii="Times New Roman" w:hAnsi="Times New Roman" w:cs="Times New Roman"/>
                <w:sz w:val="24"/>
                <w:szCs w:val="24"/>
              </w:rPr>
              <w:fldChar w:fldCharType="end"/>
            </w:r>
          </w:p>
        </w:tc>
      </w:tr>
      <w:tr w:rsidR="00811847" w:rsidRPr="00811847" w14:paraId="0907FBE7" w14:textId="77777777" w:rsidTr="00AE3E50">
        <w:tc>
          <w:tcPr>
            <w:tcW w:w="535" w:type="dxa"/>
          </w:tcPr>
          <w:p w14:paraId="1FFBF8BF"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22</w:t>
            </w:r>
          </w:p>
        </w:tc>
        <w:tc>
          <w:tcPr>
            <w:tcW w:w="1710" w:type="dxa"/>
          </w:tcPr>
          <w:p w14:paraId="20827F3F"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Ambroxol</w:t>
            </w:r>
            <w:proofErr w:type="spellEnd"/>
            <w:r w:rsidRPr="00811847">
              <w:rPr>
                <w:rFonts w:ascii="Times New Roman" w:hAnsi="Times New Roman" w:cs="Times New Roman"/>
                <w:sz w:val="24"/>
                <w:szCs w:val="24"/>
                <w:shd w:val="clear" w:color="auto" w:fill="FFFFFF"/>
              </w:rPr>
              <w:t xml:space="preserve"> </w:t>
            </w:r>
            <w:proofErr w:type="spellStart"/>
            <w:r w:rsidRPr="00811847">
              <w:rPr>
                <w:rFonts w:ascii="Times New Roman" w:hAnsi="Times New Roman" w:cs="Times New Roman"/>
                <w:sz w:val="24"/>
                <w:szCs w:val="24"/>
                <w:shd w:val="clear" w:color="auto" w:fill="FFFFFF"/>
              </w:rPr>
              <w:t>acefyllinate</w:t>
            </w:r>
            <w:proofErr w:type="spellEnd"/>
          </w:p>
        </w:tc>
        <w:tc>
          <w:tcPr>
            <w:tcW w:w="1530" w:type="dxa"/>
          </w:tcPr>
          <w:p w14:paraId="49584EC8"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DB13141</w:t>
            </w:r>
          </w:p>
        </w:tc>
        <w:tc>
          <w:tcPr>
            <w:tcW w:w="1440" w:type="dxa"/>
          </w:tcPr>
          <w:p w14:paraId="5BD31FA7" w14:textId="77777777" w:rsidR="00811847" w:rsidRPr="00811847" w:rsidRDefault="00811847" w:rsidP="00AE3E50">
            <w:pPr>
              <w:tabs>
                <w:tab w:val="left" w:pos="1425"/>
              </w:tabs>
              <w:rPr>
                <w:rFonts w:ascii="Times New Roman" w:hAnsi="Times New Roman" w:cs="Times New Roman"/>
                <w:sz w:val="24"/>
                <w:szCs w:val="24"/>
              </w:rPr>
            </w:pPr>
            <w:r w:rsidRPr="00811847">
              <w:rPr>
                <w:rFonts w:ascii="Times New Roman" w:hAnsi="Times New Roman" w:cs="Times New Roman"/>
                <w:sz w:val="24"/>
                <w:szCs w:val="24"/>
              </w:rPr>
              <w:t>0.94</w:t>
            </w:r>
          </w:p>
        </w:tc>
        <w:tc>
          <w:tcPr>
            <w:tcW w:w="17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1"/>
            </w:tblGrid>
            <w:tr w:rsidR="00811847" w:rsidRPr="00811847" w14:paraId="364031D7" w14:textId="77777777" w:rsidTr="00AE3E50">
              <w:trPr>
                <w:trHeight w:val="1484"/>
                <w:tblCellSpacing w:w="15" w:type="dxa"/>
              </w:trPr>
              <w:tc>
                <w:tcPr>
                  <w:tcW w:w="911" w:type="dxa"/>
                  <w:vAlign w:val="center"/>
                  <w:hideMark/>
                </w:tcPr>
                <w:p w14:paraId="4D723112"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O15393</w:t>
                  </w:r>
                </w:p>
                <w:p w14:paraId="30D14C7E"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P07711</w:t>
                  </w:r>
                </w:p>
                <w:p w14:paraId="68704627"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tc>
            </w:tr>
          </w:tbl>
          <w:p w14:paraId="57C4DF9E" w14:textId="77777777" w:rsidR="00811847" w:rsidRPr="00811847" w:rsidRDefault="00811847" w:rsidP="00AE3E50">
            <w:pPr>
              <w:tabs>
                <w:tab w:val="left" w:pos="1425"/>
              </w:tabs>
              <w:rPr>
                <w:rFonts w:ascii="Times New Roman" w:hAnsi="Times New Roman" w:cs="Times New Roman"/>
                <w:sz w:val="24"/>
                <w:szCs w:val="24"/>
              </w:rPr>
            </w:pPr>
          </w:p>
        </w:tc>
        <w:tc>
          <w:tcPr>
            <w:tcW w:w="1710" w:type="dxa"/>
          </w:tcPr>
          <w:p w14:paraId="36C39A6C" w14:textId="77777777" w:rsidR="00811847" w:rsidRPr="00811847" w:rsidRDefault="00811847" w:rsidP="00AE3E50">
            <w:pPr>
              <w:tabs>
                <w:tab w:val="left" w:pos="1425"/>
              </w:tabs>
              <w:rPr>
                <w:rFonts w:ascii="Times New Roman" w:hAnsi="Times New Roman" w:cs="Times New Roman"/>
                <w:sz w:val="24"/>
                <w:szCs w:val="24"/>
              </w:rPr>
            </w:pPr>
            <w:r w:rsidRPr="00811847">
              <w:rPr>
                <w:rFonts w:ascii="Times New Roman" w:hAnsi="Times New Roman" w:cs="Times New Roman"/>
                <w:sz w:val="24"/>
                <w:szCs w:val="24"/>
              </w:rPr>
              <w:fldChar w:fldCharType="begin" w:fldLock="1"/>
            </w:r>
            <w:r w:rsidRPr="00811847">
              <w:rPr>
                <w:rFonts w:ascii="Times New Roman" w:hAnsi="Times New Roman" w:cs="Times New Roman"/>
                <w:sz w:val="24"/>
                <w:szCs w:val="24"/>
              </w:rPr>
              <w:instrText>ADDIN CSL_CITATION {"citationItems":[{"id":"ITEM-1","itemData":{"DOI":"10.1016/J.IJANTIMICAG.2020.106192","ISSN":"18727913","PMID":"33045350","abstract":"Knowing the ability of severe acute respiratory syndrome coronavirus 2 (SARS-CoV-2) to bind to the angiotensin-converting enzyme 2 (ACE2) receptor and to enter cells via endocytosis paved the way for repositioning of old drugs as potential treatment of COVID-19, the disease caused by SARS-CoV-2 infection. This paper highlights the potential of azithromycin and ambroxol to treat COVID-19. Azithromycin and ambroxol share lysosomotropic characteristics, i.e. they penetrate and accumulate inside the late endosomes and lysosomes and may possibly interfere with multiplication of the virus inside cells. In addition, both of these drugs have anti-inflammatory effects. Ambroxol has a proven antiviral effect and a unique stimulatory action on the secretion of surfactant by alveolar type II cells, the main target of SARS-CoV-2. Surfactant may form a fundamental defence mechanism against the virus. Involvement of nasal epithelial cells in SARS-CoV-2 entry suggested advantageous use of inhaled drug delivery of these two drugs over the use of systemic administration. Inhaled drug delivery could aid in targeting the drug to the exact site of action with little or no side effects. To conclude, administration of these two drugs using a special drug delivery system provides two kinds of drug targeting: (i) tissue targeting through using an inhaled drug delivery system to achieve high drug concentrations at the respiratory epithelial tissue that overexpress the ACE2 receptor for virus binding; and (ii) cellular targeting of the virus in the acidic vesicles (late endosomes and lysosomes), which represent the fate of endocytic viruses.","author":[{"dropping-particle":"","family":"Alkotaji","given":"Myasar","non-dropping-particle":"","parse-names":false,"suffix":""}],"container-title":"International Journal of Antimicrobial Agents","id":"ITEM-1","issue":"6","issued":{"date-parts":[["2020","12","1"]]},"page":"106192","publisher":"Elsevier","title":"Azithromycin and ambroxol as potential pharmacotherapy for SARS-CoV-2","type":"article-journal","volume":"56"},"uris":["http://www.mendeley.com/documents/?uuid=c72c4227-2940-36f2-b662-e195b64398b1"]}],"mendeley":{"formattedCitation":"[94]","plainTextFormattedCitation":"[94]","previouslyFormattedCitation":"[94]"},"properties":{"noteIndex":0},"schema":"https://github.com/citation-style-language/schema/raw/master/csl-citation.json"}</w:instrText>
            </w:r>
            <w:r w:rsidRPr="00811847">
              <w:rPr>
                <w:rFonts w:ascii="Times New Roman" w:hAnsi="Times New Roman" w:cs="Times New Roman"/>
                <w:sz w:val="24"/>
                <w:szCs w:val="24"/>
              </w:rPr>
              <w:fldChar w:fldCharType="separate"/>
            </w:r>
            <w:r w:rsidRPr="00811847">
              <w:rPr>
                <w:rFonts w:ascii="Times New Roman" w:hAnsi="Times New Roman" w:cs="Times New Roman"/>
                <w:noProof/>
                <w:sz w:val="24"/>
                <w:szCs w:val="24"/>
              </w:rPr>
              <w:t>[94]</w:t>
            </w:r>
            <w:r w:rsidRPr="00811847">
              <w:rPr>
                <w:rFonts w:ascii="Times New Roman" w:hAnsi="Times New Roman" w:cs="Times New Roman"/>
                <w:sz w:val="24"/>
                <w:szCs w:val="24"/>
              </w:rPr>
              <w:fldChar w:fldCharType="end"/>
            </w:r>
          </w:p>
        </w:tc>
      </w:tr>
      <w:tr w:rsidR="00811847" w:rsidRPr="00811847" w14:paraId="5C3F111E" w14:textId="77777777" w:rsidTr="00AE3E50">
        <w:tc>
          <w:tcPr>
            <w:tcW w:w="535" w:type="dxa"/>
          </w:tcPr>
          <w:p w14:paraId="12577828"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23</w:t>
            </w:r>
          </w:p>
        </w:tc>
        <w:tc>
          <w:tcPr>
            <w:tcW w:w="1710" w:type="dxa"/>
          </w:tcPr>
          <w:p w14:paraId="40A94297"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shd w:val="clear" w:color="auto" w:fill="FFFFFF"/>
              </w:rPr>
              <w:t>Potassium gluconate</w:t>
            </w:r>
          </w:p>
        </w:tc>
        <w:tc>
          <w:tcPr>
            <w:tcW w:w="1530" w:type="dxa"/>
          </w:tcPr>
          <w:p w14:paraId="386C6D34"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DB13620</w:t>
            </w:r>
          </w:p>
        </w:tc>
        <w:tc>
          <w:tcPr>
            <w:tcW w:w="1440" w:type="dxa"/>
          </w:tcPr>
          <w:p w14:paraId="32A62F4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11</w:t>
            </w:r>
          </w:p>
        </w:tc>
        <w:tc>
          <w:tcPr>
            <w:tcW w:w="1710" w:type="dxa"/>
          </w:tcPr>
          <w:p w14:paraId="2C703991"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t>Q2M2I8</w:t>
            </w:r>
          </w:p>
        </w:tc>
        <w:tc>
          <w:tcPr>
            <w:tcW w:w="1710" w:type="dxa"/>
          </w:tcPr>
          <w:p w14:paraId="685D3ECC"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fldChar w:fldCharType="begin" w:fldLock="1"/>
            </w:r>
            <w:r w:rsidRPr="00811847">
              <w:rPr>
                <w:rFonts w:ascii="Times New Roman" w:eastAsia="Times New Roman" w:hAnsi="Times New Roman" w:cs="Times New Roman"/>
                <w:sz w:val="24"/>
                <w:szCs w:val="24"/>
              </w:rPr>
              <w:instrText>ADDIN CSL_CITATION {"citationItems":[{"id":"ITEM-1","itemData":{"DOI":"10.1002/RMV.2262","ISSN":"1099-1654","PMID":"34077995","abstract":"Coronavirus disease (Covid-19), caused by severe acute respiratory syndrome coronavirus 2 (SARS-CoV-2), is currently the largest health crisis facing most countries. Several factors have been linked with a poor prognosis for this disease, including demographic factors, pre-existing comorbidities and laboratory parameters such as white blood cell count, D-dimer, C-reactive protein, albumin, lactate dehydrogenase, creatinine and electrolytes. Electrolyte abnormalities particularly potassium disorders are common among Covid-19 patients. Based on our pooled analysis, hypokalemia and hyperkalemia occur in 24.3% and 4.15% of Covid-19 patients, respectively. Potassium level deviation from the normal range may increase the chances of unfavorable outcomes and even death. Therefore, this article reviewed the epidemiology of potassium disorders and explained how hypokalemia and hyperkalemia are capable of deteriorating cardiac outcomes and the prognosis of Covid-19 for infected patients. The article finishes by highlighting some important considerations in the management of hypokalemia and hyperkalemia in these patients.","author":[{"dropping-particle":"","family":"Noori","given":"Maryam","non-dropping-particle":"","parse-names":false,"suffix":""},{"dropping-particle":"","family":"Nejadghaderi","given":"Seyed A.","non-dropping-particle":"","parse-names":false,"suffix":""},{"dropping-particle":"","family":"Sullman","given":"Mark J.M.","non-dropping-particle":"","parse-names":false,"suffix":""},{"dropping-particle":"","family":"Carson-Chahhoud","given":"Kristin","non-dropping-particle":"","parse-names":false,"suffix":""},{"dropping-particle":"","family":"Kolahi","given":"Ali Asghar","non-dropping-particle":"","parse-names":false,"suffix":""},{"dropping-particle":"","family":"Safiri","given":"Saeid","non-dropping-particle":"","parse-names":false,"suffix":""}],"container-title":"Reviews in medical virology","id":"ITEM-1","issue":"1","issued":{"date-parts":[["2022","1","1"]]},"publisher":"Rev Med Virol","title":"Epidemiology, prognosis and management of potassium disorders in Covid-19","type":"article-journal","volume":"32"},"uris":["http://www.mendeley.com/documents/?uuid=f39c8ecf-ccba-38a1-bec0-f676d77e62ca"]}],"mendeley":{"formattedCitation":"[95]","plainTextFormattedCitation":"[95]","previouslyFormattedCitation":"[95]"},"properties":{"noteIndex":0},"schema":"https://github.com/citation-style-language/schema/raw/master/csl-citation.json"}</w:instrText>
            </w:r>
            <w:r w:rsidRPr="00811847">
              <w:rPr>
                <w:rFonts w:ascii="Times New Roman" w:eastAsia="Times New Roman" w:hAnsi="Times New Roman" w:cs="Times New Roman"/>
                <w:sz w:val="24"/>
                <w:szCs w:val="24"/>
              </w:rPr>
              <w:fldChar w:fldCharType="separate"/>
            </w:r>
            <w:r w:rsidRPr="00811847">
              <w:rPr>
                <w:rFonts w:ascii="Times New Roman" w:eastAsia="Times New Roman" w:hAnsi="Times New Roman" w:cs="Times New Roman"/>
                <w:noProof/>
                <w:sz w:val="24"/>
                <w:szCs w:val="24"/>
              </w:rPr>
              <w:t>[95]</w:t>
            </w:r>
            <w:r w:rsidRPr="00811847">
              <w:rPr>
                <w:rFonts w:ascii="Times New Roman" w:eastAsia="Times New Roman" w:hAnsi="Times New Roman" w:cs="Times New Roman"/>
                <w:sz w:val="24"/>
                <w:szCs w:val="24"/>
              </w:rPr>
              <w:fldChar w:fldCharType="end"/>
            </w:r>
          </w:p>
        </w:tc>
      </w:tr>
      <w:tr w:rsidR="00811847" w:rsidRPr="00811847" w14:paraId="647C5BD5" w14:textId="77777777" w:rsidTr="00AE3E50">
        <w:tc>
          <w:tcPr>
            <w:tcW w:w="535" w:type="dxa"/>
          </w:tcPr>
          <w:p w14:paraId="7A809325"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24</w:t>
            </w:r>
          </w:p>
        </w:tc>
        <w:tc>
          <w:tcPr>
            <w:tcW w:w="1710" w:type="dxa"/>
          </w:tcPr>
          <w:p w14:paraId="3199FE2F"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hAnsi="Times New Roman" w:cs="Times New Roman"/>
                <w:sz w:val="24"/>
                <w:szCs w:val="24"/>
              </w:rPr>
              <w:br/>
            </w:r>
            <w:r w:rsidRPr="00811847">
              <w:rPr>
                <w:rFonts w:ascii="Times New Roman" w:hAnsi="Times New Roman" w:cs="Times New Roman"/>
                <w:sz w:val="24"/>
                <w:szCs w:val="24"/>
                <w:shd w:val="clear" w:color="auto" w:fill="FFFFFF"/>
              </w:rPr>
              <w:t>Harmaline</w:t>
            </w:r>
          </w:p>
        </w:tc>
        <w:tc>
          <w:tcPr>
            <w:tcW w:w="1530" w:type="dxa"/>
          </w:tcPr>
          <w:p w14:paraId="7BB921C5"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DB13875</w:t>
            </w:r>
          </w:p>
        </w:tc>
        <w:tc>
          <w:tcPr>
            <w:tcW w:w="1440" w:type="dxa"/>
          </w:tcPr>
          <w:p w14:paraId="08517476"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w:t>
            </w:r>
            <w:r w:rsidRPr="00811847">
              <w:rPr>
                <w:rFonts w:ascii="Times New Roman" w:hAnsi="Times New Roman" w:cs="Times New Roman"/>
                <w:sz w:val="24"/>
                <w:szCs w:val="24"/>
              </w:rPr>
              <w:t>43</w:t>
            </w:r>
          </w:p>
          <w:p w14:paraId="37ED89F1" w14:textId="77777777" w:rsidR="00811847" w:rsidRPr="00811847" w:rsidRDefault="00811847" w:rsidP="00AE3E50">
            <w:pPr>
              <w:jc w:val="center"/>
              <w:rPr>
                <w:rFonts w:ascii="Times New Roman" w:eastAsia="Times New Roman" w:hAnsi="Times New Roman" w:cs="Times New Roman"/>
                <w:sz w:val="24"/>
                <w:szCs w:val="24"/>
              </w:rPr>
            </w:pPr>
          </w:p>
        </w:tc>
        <w:tc>
          <w:tcPr>
            <w:tcW w:w="17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1"/>
            </w:tblGrid>
            <w:tr w:rsidR="00811847" w:rsidRPr="00811847" w14:paraId="3C5DDAB8" w14:textId="77777777" w:rsidTr="00AE3E50">
              <w:trPr>
                <w:tblCellSpacing w:w="15" w:type="dxa"/>
              </w:trPr>
              <w:tc>
                <w:tcPr>
                  <w:tcW w:w="911" w:type="dxa"/>
                  <w:vAlign w:val="center"/>
                  <w:hideMark/>
                </w:tcPr>
                <w:p w14:paraId="2ED1A96F"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O14976</w:t>
                  </w:r>
                </w:p>
              </w:tc>
            </w:tr>
            <w:tr w:rsidR="00811847" w:rsidRPr="00811847" w14:paraId="4F74C641" w14:textId="77777777" w:rsidTr="00AE3E50">
              <w:trPr>
                <w:tblCellSpacing w:w="15" w:type="dxa"/>
              </w:trPr>
              <w:tc>
                <w:tcPr>
                  <w:tcW w:w="911" w:type="dxa"/>
                  <w:vAlign w:val="center"/>
                  <w:hideMark/>
                </w:tcPr>
                <w:p w14:paraId="779CA50C"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P09958</w:t>
                  </w:r>
                </w:p>
              </w:tc>
            </w:tr>
            <w:tr w:rsidR="00811847" w:rsidRPr="00811847" w14:paraId="1ECB8E20" w14:textId="77777777" w:rsidTr="00AE3E50">
              <w:trPr>
                <w:tblCellSpacing w:w="15" w:type="dxa"/>
              </w:trPr>
              <w:tc>
                <w:tcPr>
                  <w:tcW w:w="911" w:type="dxa"/>
                  <w:vAlign w:val="center"/>
                  <w:hideMark/>
                </w:tcPr>
                <w:p w14:paraId="4DE6800F"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tc>
            </w:tr>
          </w:tbl>
          <w:p w14:paraId="021830D4" w14:textId="77777777" w:rsidR="00811847" w:rsidRPr="00811847" w:rsidRDefault="00811847" w:rsidP="00AE3E50">
            <w:pPr>
              <w:rPr>
                <w:rFonts w:ascii="Times New Roman" w:eastAsia="Times New Roman" w:hAnsi="Times New Roman" w:cs="Times New Roman"/>
                <w:sz w:val="24"/>
                <w:szCs w:val="24"/>
              </w:rPr>
            </w:pPr>
          </w:p>
        </w:tc>
        <w:tc>
          <w:tcPr>
            <w:tcW w:w="1710" w:type="dxa"/>
          </w:tcPr>
          <w:p w14:paraId="7515E84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fldChar w:fldCharType="begin" w:fldLock="1"/>
            </w:r>
            <w:r w:rsidRPr="00811847">
              <w:rPr>
                <w:rFonts w:ascii="Times New Roman" w:eastAsia="Times New Roman" w:hAnsi="Times New Roman" w:cs="Times New Roman"/>
                <w:sz w:val="24"/>
                <w:szCs w:val="24"/>
              </w:rPr>
              <w:instrText>ADDIN CSL_CITATION {"citationItems":[{"id":"ITEM-1","itemData":{"DOI":"10.4149/BLL","ISBN":"9781493907939","ISSN":"00069248","PMID":"25924638","abstract":"BACKGROUND Natural killer (NK) cells play important roles in the immune defense against tumors such as colorectal cancer. In humans, NKG2D is an activating immune receptor constitutively expressed in most cytotoxic lymphocytes including NK and CD8+ T cells. In this study, the expression of NKG2D molecule was investigated in peripheral blood NK cells from colorectal cancer patients and compared with healthy subjects. METHODS We studied 21 non-metastatic (low-grade), 17 non-metastatic (high-grade), 16 metastatic colorectal cancer patients, and 24 healthy controls. Peripheral blood samples were obtained to isolate peripheral blood mononuclear cells (PBMCs) and the percentage of peripheral blood NKG2D+CD3-CD56+ NK cells was analyzed by flow cytometry. The expression of NKG2D at mRNA level was also measured by real-time PCR in both, patients and control subjects. RESULTS The results showed a significant reduction in the percentage of NKG2D+NK cells as well as NKG2D mRNA expression in peripheral blood of metastatic colon cancer patients. CONCLUSION This result suggests that decreased expression of activating NKG2D receptor in metastatic colorectal cancer might compromise NK cell function and allow tumor to evade immunity (Tab. 3, Fig. 4, Ref. 33).","author":[{"dropping-particle":"","family":"Gharagozloo","given":"M.","non-dropping-particle":"","parse-names":false,"suffix":""},{"dropping-particle":"","family":"Kalantari","given":"H.","non-dropping-particle":"","parse-names":false,"suffix":""},{"dropping-particle":"","family":"Rezaei","given":"A.","non-dropping-particle":"","parse-names":false,"suffix":""},{"dropping-particle":"","family":"Maracy","given":"M. R.","non-dropping-particle":"","parse-names":false,"suffix":""},{"dropping-particle":"","family":"Salehi","given":"M.","non-dropping-particle":"","parse-names":false,"suffix":""},{"dropping-particle":"","family":"Bahador","given":"A.","non-dropping-particle":"","parse-names":false,"suffix":""},{"dropping-particle":"","family":"Hassannejad","given":"N.","non-dropping-particle":"","parse-names":false,"suffix":""},{"dropping-particle":"","family":"Narimani","given":"M.","non-dropping-particle":"","parse-names":false,"suffix":""},{"dropping-particle":"","family":"Sanei","given":"M. H.","non-dropping-particle":"","parse-names":false,"suffix":""},{"dropping-particle":"","family":"Bayat","given":"B.","non-dropping-particle":"","parse-names":false,"suffix":""},{"dropping-particle":"","family":"Ghazanfari","given":"H.","non-dropping-particle":"","parse-names":false,"suffix":""}],"container-title":"Bratislavsk?? lek??rske listy","id":"ITEM-1","issue":"5","issued":{"date-parts":[["2015"]]},"page":"296-301","title":"CLINICAL STUDY Immune-mediated cochleovestibular disease","type":"article-journal","volume":"116"},"uris":["http://www.mendeley.com/documents/?uuid=34b4bca6-4143-42ce-af9e-2ba2e4fab26b"]}],"mendeley":{"formattedCitation":"[96]","plainTextFormattedCitation":"[96]","previouslyFormattedCitation":"[96]"},"properties":{"noteIndex":0},"schema":"https://github.com/citation-style-language/schema/raw/master/csl-citation.json"}</w:instrText>
            </w:r>
            <w:r w:rsidRPr="00811847">
              <w:rPr>
                <w:rFonts w:ascii="Times New Roman" w:eastAsia="Times New Roman" w:hAnsi="Times New Roman" w:cs="Times New Roman"/>
                <w:sz w:val="24"/>
                <w:szCs w:val="24"/>
              </w:rPr>
              <w:fldChar w:fldCharType="separate"/>
            </w:r>
            <w:r w:rsidRPr="00811847">
              <w:rPr>
                <w:rFonts w:ascii="Times New Roman" w:eastAsia="Times New Roman" w:hAnsi="Times New Roman" w:cs="Times New Roman"/>
                <w:noProof/>
                <w:sz w:val="24"/>
                <w:szCs w:val="24"/>
              </w:rPr>
              <w:t>[96]</w:t>
            </w:r>
            <w:r w:rsidRPr="00811847">
              <w:rPr>
                <w:rFonts w:ascii="Times New Roman" w:eastAsia="Times New Roman" w:hAnsi="Times New Roman" w:cs="Times New Roman"/>
                <w:sz w:val="24"/>
                <w:szCs w:val="24"/>
              </w:rPr>
              <w:fldChar w:fldCharType="end"/>
            </w:r>
          </w:p>
        </w:tc>
      </w:tr>
      <w:tr w:rsidR="00811847" w:rsidRPr="00811847" w14:paraId="3B815415" w14:textId="77777777" w:rsidTr="00AE3E50">
        <w:tc>
          <w:tcPr>
            <w:tcW w:w="535" w:type="dxa"/>
          </w:tcPr>
          <w:p w14:paraId="11DBF723"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25</w:t>
            </w:r>
          </w:p>
        </w:tc>
        <w:tc>
          <w:tcPr>
            <w:tcW w:w="1710" w:type="dxa"/>
          </w:tcPr>
          <w:p w14:paraId="3EA4BDC0" w14:textId="77777777" w:rsidR="00811847" w:rsidRPr="00811847" w:rsidRDefault="00811847" w:rsidP="00AE3E50">
            <w:pPr>
              <w:rPr>
                <w:rFonts w:ascii="Times New Roman" w:eastAsia="Times New Roman" w:hAnsi="Times New Roman" w:cs="Times New Roman"/>
                <w:sz w:val="24"/>
                <w:szCs w:val="24"/>
              </w:rPr>
            </w:pPr>
            <w:proofErr w:type="spellStart"/>
            <w:r w:rsidRPr="00811847">
              <w:rPr>
                <w:rFonts w:ascii="Times New Roman" w:hAnsi="Times New Roman" w:cs="Times New Roman"/>
                <w:sz w:val="24"/>
                <w:szCs w:val="24"/>
                <w:shd w:val="clear" w:color="auto" w:fill="FFFFFF"/>
              </w:rPr>
              <w:t>Brofaromine</w:t>
            </w:r>
            <w:proofErr w:type="spellEnd"/>
          </w:p>
        </w:tc>
        <w:tc>
          <w:tcPr>
            <w:tcW w:w="1530" w:type="dxa"/>
          </w:tcPr>
          <w:p w14:paraId="511045E4"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DB13876</w:t>
            </w:r>
          </w:p>
        </w:tc>
        <w:tc>
          <w:tcPr>
            <w:tcW w:w="1440" w:type="dxa"/>
          </w:tcPr>
          <w:p w14:paraId="78561F2E"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t>0.94</w:t>
            </w:r>
            <w:r w:rsidRPr="00811847">
              <w:rPr>
                <w:rFonts w:ascii="Times New Roman" w:hAnsi="Times New Roman" w:cs="Times New Roman"/>
                <w:sz w:val="24"/>
                <w:szCs w:val="24"/>
              </w:rPr>
              <w:t>8</w:t>
            </w:r>
          </w:p>
        </w:tc>
        <w:tc>
          <w:tcPr>
            <w:tcW w:w="17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1"/>
            </w:tblGrid>
            <w:tr w:rsidR="00811847" w:rsidRPr="00811847" w14:paraId="15EE5754" w14:textId="77777777" w:rsidTr="00AE3E50">
              <w:trPr>
                <w:tblCellSpacing w:w="15" w:type="dxa"/>
              </w:trPr>
              <w:tc>
                <w:tcPr>
                  <w:tcW w:w="911" w:type="dxa"/>
                  <w:vAlign w:val="center"/>
                  <w:hideMark/>
                </w:tcPr>
                <w:p w14:paraId="1AF7225F" w14:textId="77777777" w:rsidR="00811847" w:rsidRPr="00811847" w:rsidRDefault="00811847" w:rsidP="00AE3E50">
                  <w:pPr>
                    <w:rPr>
                      <w:rFonts w:ascii="Times New Roman" w:hAnsi="Times New Roman" w:cs="Times New Roman"/>
                      <w:sz w:val="24"/>
                      <w:szCs w:val="24"/>
                    </w:rPr>
                  </w:pPr>
                </w:p>
              </w:tc>
            </w:tr>
            <w:tr w:rsidR="00811847" w:rsidRPr="00811847" w14:paraId="4C450E0E" w14:textId="77777777" w:rsidTr="00AE3E50">
              <w:trPr>
                <w:tblCellSpacing w:w="15" w:type="dxa"/>
              </w:trPr>
              <w:tc>
                <w:tcPr>
                  <w:tcW w:w="911" w:type="dxa"/>
                  <w:vAlign w:val="center"/>
                  <w:hideMark/>
                </w:tcPr>
                <w:p w14:paraId="7398E98F"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O15393</w:t>
                  </w:r>
                </w:p>
              </w:tc>
            </w:tr>
            <w:tr w:rsidR="00811847" w:rsidRPr="00811847" w14:paraId="799C20CC" w14:textId="77777777" w:rsidTr="00AE3E50">
              <w:trPr>
                <w:tblCellSpacing w:w="15" w:type="dxa"/>
              </w:trPr>
              <w:tc>
                <w:tcPr>
                  <w:tcW w:w="911" w:type="dxa"/>
                  <w:vAlign w:val="center"/>
                  <w:hideMark/>
                </w:tcPr>
                <w:p w14:paraId="103919B6"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P07711</w:t>
                  </w:r>
                </w:p>
              </w:tc>
            </w:tr>
            <w:tr w:rsidR="00811847" w:rsidRPr="00811847" w14:paraId="1060BDBA" w14:textId="77777777" w:rsidTr="00AE3E50">
              <w:trPr>
                <w:tblCellSpacing w:w="15" w:type="dxa"/>
              </w:trPr>
              <w:tc>
                <w:tcPr>
                  <w:tcW w:w="911" w:type="dxa"/>
                  <w:vAlign w:val="center"/>
                  <w:hideMark/>
                </w:tcPr>
                <w:p w14:paraId="75A32F76" w14:textId="77777777" w:rsidR="00811847" w:rsidRPr="00811847" w:rsidRDefault="00811847" w:rsidP="00AE3E50">
                  <w:pPr>
                    <w:rPr>
                      <w:rFonts w:ascii="Times New Roman" w:hAnsi="Times New Roman" w:cs="Times New Roman"/>
                      <w:sz w:val="24"/>
                      <w:szCs w:val="24"/>
                    </w:rPr>
                  </w:pPr>
                  <w:r w:rsidRPr="00811847">
                    <w:rPr>
                      <w:rFonts w:ascii="Times New Roman" w:hAnsi="Times New Roman" w:cs="Times New Roman"/>
                      <w:sz w:val="24"/>
                      <w:szCs w:val="24"/>
                    </w:rPr>
                    <w:t>Q9BYF1</w:t>
                  </w:r>
                </w:p>
              </w:tc>
            </w:tr>
          </w:tbl>
          <w:p w14:paraId="6A5B45C9" w14:textId="77777777" w:rsidR="00811847" w:rsidRPr="00811847" w:rsidRDefault="00811847" w:rsidP="00AE3E50">
            <w:pPr>
              <w:rPr>
                <w:rFonts w:ascii="Times New Roman" w:eastAsia="Times New Roman" w:hAnsi="Times New Roman" w:cs="Times New Roman"/>
                <w:sz w:val="24"/>
                <w:szCs w:val="24"/>
              </w:rPr>
            </w:pPr>
          </w:p>
        </w:tc>
        <w:tc>
          <w:tcPr>
            <w:tcW w:w="1710" w:type="dxa"/>
          </w:tcPr>
          <w:p w14:paraId="4A911938" w14:textId="77777777" w:rsidR="00811847" w:rsidRPr="00811847" w:rsidRDefault="00811847" w:rsidP="00AE3E50">
            <w:pPr>
              <w:rPr>
                <w:rFonts w:ascii="Times New Roman" w:eastAsia="Times New Roman" w:hAnsi="Times New Roman" w:cs="Times New Roman"/>
                <w:sz w:val="24"/>
                <w:szCs w:val="24"/>
              </w:rPr>
            </w:pPr>
            <w:r w:rsidRPr="00811847">
              <w:rPr>
                <w:rFonts w:ascii="Times New Roman" w:eastAsia="Times New Roman" w:hAnsi="Times New Roman" w:cs="Times New Roman"/>
                <w:sz w:val="24"/>
                <w:szCs w:val="24"/>
              </w:rPr>
              <w:fldChar w:fldCharType="begin" w:fldLock="1"/>
            </w:r>
            <w:r w:rsidRPr="00811847">
              <w:rPr>
                <w:rFonts w:ascii="Times New Roman" w:eastAsia="Times New Roman" w:hAnsi="Times New Roman" w:cs="Times New Roman"/>
                <w:sz w:val="24"/>
                <w:szCs w:val="24"/>
              </w:rPr>
              <w:instrText>ADDIN CSL_CITATION {"citationItems":[{"id":"ITEM-1","itemData":{"DOI":"10.3892/MMR.2021.12479/HTML","ISSN":"17913004","PMID":"34633054","abstract":"The present study aimed to review major depression, including its types, epidemiology, association with different diseases status and treatments, as well as its correlation with the current COVID-19 pandemic. Mental depression is a common disorder that affects most individuals at one time or another. During depression, there are changes in mood and behavior, accompanied by feelings of defeat, hopelessness, or even suicidal thoughts. Depression has a direct or indirect relation with a number of other diseases including Alzheimer's disease, stroke, epilepsy, diabetes, cardiovascular disease and cancer. In addition, antidepressant drugs have several side effects including sedation, increased weight, indigestion, sexual dysfunction, or a decrease in blood pressure. Stopping medication may cause a relapse of the symptoms of depression and pose a risk of attempted suicide. The pandemic of COVID-19 has affected the mental health of individuals, including patients, individuals contacting patients and medical staff with a number of mental disorders that may adversely affect the immune ability of their bodies. Some of the drugs currently included in the protocols for treating COVID-19 may negatively affect the mental health of patients. Evidence accumulated over the years indicates that serotonin (5HT) deficiencies and norepinephrine (NE) in the brain can lead to mental depression. Drugs that increase levels of NE and 5HT are commonly used in the treatment of depression. The common reason for mood disorders, including mania and bipolar disease are not clearly understood. It is assumed that hyperactivity in specific parts of the brain and excessive activity of neurotransmitters may be involved. Early diagnosis and developing new treatment strategies are essential for the prevention of the severe consequences of depression. In addition, extensive research should be directed towards the investigation of the mental health disturbances occurring during and/or after COVID-19 infection. This may lead to the incorporation of a suitable antidepressant into the current treatment protocols.","author":[{"dropping-particle":"","family":"Abdel-Bakky","given":"Mohamed S.","non-dropping-particle":"","parse-names":false,"suffix":""},{"dropping-particle":"","family":"Amin","given":"Elham","non-dropping-particle":"","parse-names":false,"suffix":""},{"dropping-particle":"","family":"Faris","given":"Tarek M.","non-dropping-particle":"","parse-names":false,"suffix":""},{"dropping-particle":"","family":"Abdellatif","given":"Ahmed A.H.","non-dropping-particle":"","parse-names":false,"suffix":""}],"container-title":"Molecular Medicine Reports","id":"ITEM-1","issue":"6","issued":{"date-parts":[["2021","12","1"]]},"page":"1-17","publisher":"Spandidos Publications","title":"Mental depression: Relation to different disease status, newer treatments and its association with COVID-19 pandemic (Review)","type":"article-journal","volume":"24"},"uris":["http://www.mendeley.com/documents/?uuid=668fdf1b-fd09-3332-8d38-d243aa1b025d"]}],"mendeley":{"formattedCitation":"[97]","plainTextFormattedCitation":"[97]"},"properties":{"noteIndex":0},"schema":"https://github.com/citation-style-language/schema/raw/master/csl-citation.json"}</w:instrText>
            </w:r>
            <w:r w:rsidRPr="00811847">
              <w:rPr>
                <w:rFonts w:ascii="Times New Roman" w:eastAsia="Times New Roman" w:hAnsi="Times New Roman" w:cs="Times New Roman"/>
                <w:sz w:val="24"/>
                <w:szCs w:val="24"/>
              </w:rPr>
              <w:fldChar w:fldCharType="separate"/>
            </w:r>
            <w:r w:rsidRPr="00811847">
              <w:rPr>
                <w:rFonts w:ascii="Times New Roman" w:eastAsia="Times New Roman" w:hAnsi="Times New Roman" w:cs="Times New Roman"/>
                <w:noProof/>
                <w:sz w:val="24"/>
                <w:szCs w:val="24"/>
              </w:rPr>
              <w:t>[97]</w:t>
            </w:r>
            <w:r w:rsidRPr="00811847">
              <w:rPr>
                <w:rFonts w:ascii="Times New Roman" w:eastAsia="Times New Roman" w:hAnsi="Times New Roman" w:cs="Times New Roman"/>
                <w:sz w:val="24"/>
                <w:szCs w:val="24"/>
              </w:rPr>
              <w:fldChar w:fldCharType="end"/>
            </w:r>
          </w:p>
        </w:tc>
      </w:tr>
    </w:tbl>
    <w:p w14:paraId="221F8BC7" w14:textId="77777777" w:rsidR="00993156" w:rsidRPr="00811847" w:rsidRDefault="00993156">
      <w:pPr>
        <w:rPr>
          <w:rFonts w:ascii="Times New Roman" w:hAnsi="Times New Roman" w:cs="Times New Roman"/>
        </w:rPr>
      </w:pPr>
    </w:p>
    <w:sectPr w:rsidR="00993156" w:rsidRPr="00811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47"/>
    <w:rsid w:val="002B699E"/>
    <w:rsid w:val="003E5447"/>
    <w:rsid w:val="00811847"/>
    <w:rsid w:val="0099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FF24"/>
  <w15:chartTrackingRefBased/>
  <w15:docId w15:val="{6BFA2003-568B-486B-A5A8-C5BF5D9F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5019</Words>
  <Characters>28613</Characters>
  <Application>Microsoft Office Word</Application>
  <DocSecurity>0</DocSecurity>
  <Lines>238</Lines>
  <Paragraphs>67</Paragraphs>
  <ScaleCrop>false</ScaleCrop>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 Ahmed</dc:creator>
  <cp:keywords/>
  <dc:description/>
  <cp:lastModifiedBy>Faheem Ahmed</cp:lastModifiedBy>
  <cp:revision>1</cp:revision>
  <dcterms:created xsi:type="dcterms:W3CDTF">2022-03-22T14:53:00Z</dcterms:created>
  <dcterms:modified xsi:type="dcterms:W3CDTF">2022-03-22T14:53:00Z</dcterms:modified>
</cp:coreProperties>
</file>