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200" w:line="276" w:lineRule="auto"/>
        <w:ind w:firstLine="0" w:firstLineChars="0"/>
        <w:rPr>
          <w:rFonts w:ascii="Palatino Linotype" w:hAnsi="Palatino Linotype" w:eastAsia="宋体" w:cs="Times New Roman"/>
          <w:color w:val="000000"/>
          <w:kern w:val="0"/>
          <w:sz w:val="18"/>
          <w:szCs w:val="18"/>
          <w:highlight w:val="none"/>
        </w:rPr>
      </w:pPr>
      <w:r>
        <w:rPr>
          <w:rFonts w:hint="eastAsia" w:ascii="PalatinoLinotype,Bold" w:hAnsi="PalatinoLinotype,Bold" w:eastAsia="等线" w:cs="PalatinoLinotype,Bold"/>
          <w:b/>
          <w:bCs/>
          <w:color w:val="000000"/>
          <w:kern w:val="0"/>
          <w:sz w:val="17"/>
          <w:szCs w:val="17"/>
          <w:highlight w:val="none"/>
        </w:rPr>
        <w:t>T</w:t>
      </w:r>
      <w:r>
        <w:rPr>
          <w:rFonts w:ascii="PalatinoLinotype,Bold" w:hAnsi="PalatinoLinotype,Bold" w:eastAsia="等线" w:cs="PalatinoLinotype,Bold"/>
          <w:b/>
          <w:bCs/>
          <w:color w:val="000000"/>
          <w:kern w:val="0"/>
          <w:sz w:val="17"/>
          <w:szCs w:val="17"/>
          <w:highlight w:val="none"/>
        </w:rPr>
        <w:t xml:space="preserve">able </w:t>
      </w:r>
      <w:r>
        <w:rPr>
          <w:rFonts w:hint="default" w:ascii="PalatinoLinotype,Bold" w:hAnsi="PalatinoLinotype,Bold" w:eastAsia="等线" w:cs="PalatinoLinotype,Bold"/>
          <w:b/>
          <w:bCs/>
          <w:color w:val="000000"/>
          <w:kern w:val="0"/>
          <w:sz w:val="17"/>
          <w:szCs w:val="17"/>
          <w:highlight w:val="none"/>
        </w:rPr>
        <w:t>S1</w:t>
      </w:r>
      <w:r>
        <w:rPr>
          <w:rFonts w:ascii="PalatinoLinotype,Bold" w:hAnsi="PalatinoLinotype,Bold" w:eastAsia="等线" w:cs="PalatinoLinotype,Bold"/>
          <w:b/>
          <w:bCs/>
          <w:color w:val="000000"/>
          <w:kern w:val="0"/>
          <w:sz w:val="17"/>
          <w:szCs w:val="17"/>
          <w:highlight w:val="none"/>
        </w:rPr>
        <w:t>.</w:t>
      </w:r>
      <w:r>
        <w:rPr>
          <w:rFonts w:ascii="Palatino Linotype" w:hAnsi="Palatino Linotype" w:eastAsia="宋体" w:cs="Times New Roman"/>
          <w:color w:val="000000"/>
          <w:kern w:val="0"/>
          <w:sz w:val="18"/>
          <w:szCs w:val="18"/>
          <w:highlight w:val="none"/>
        </w:rPr>
        <w:t xml:space="preserve"> Timeline of major environmental disasters and policy events that have affected China since 1994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4"/>
        <w:gridCol w:w="1567"/>
        <w:gridCol w:w="2339"/>
        <w:gridCol w:w="2614"/>
        <w:gridCol w:w="13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53" w:hRule="atLeast"/>
          <w:tblHeader/>
        </w:trPr>
        <w:tc>
          <w:tcPr>
            <w:tcW w:w="366" w:type="pct"/>
          </w:tcPr>
          <w:p>
            <w:pPr>
              <w:keepNext/>
              <w:keepLines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after="200" w:line="240" w:lineRule="auto"/>
              <w:ind w:left="0" w:leftChars="0" w:firstLine="0" w:firstLineChars="0"/>
              <w:contextualSpacing/>
              <w:jc w:val="left"/>
              <w:textAlignment w:val="auto"/>
              <w:outlineLvl w:val="9"/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</w:pPr>
            <w:r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Year</w:t>
            </w:r>
          </w:p>
        </w:tc>
        <w:tc>
          <w:tcPr>
            <w:tcW w:w="919" w:type="pct"/>
          </w:tcPr>
          <w:p>
            <w:pPr>
              <w:keepNext/>
              <w:keepLines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after="200" w:line="240" w:lineRule="auto"/>
              <w:ind w:left="0" w:leftChars="0" w:firstLine="0" w:firstLineChars="0"/>
              <w:contextualSpacing/>
              <w:jc w:val="left"/>
              <w:textAlignment w:val="auto"/>
              <w:outlineLvl w:val="9"/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</w:pPr>
            <w:r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Major environmental events in China</w:t>
            </w:r>
          </w:p>
        </w:tc>
        <w:tc>
          <w:tcPr>
            <w:tcW w:w="1372" w:type="pct"/>
          </w:tcPr>
          <w:p>
            <w:pPr>
              <w:keepNext/>
              <w:keepLines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after="200" w:line="240" w:lineRule="auto"/>
              <w:ind w:left="0" w:leftChars="0" w:firstLine="0" w:firstLineChars="0"/>
              <w:contextualSpacing/>
              <w:jc w:val="left"/>
              <w:textAlignment w:val="auto"/>
              <w:outlineLvl w:val="9"/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</w:pPr>
            <w:r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National policies impacting the Sanjiangyuan region</w:t>
            </w:r>
          </w:p>
        </w:tc>
        <w:tc>
          <w:tcPr>
            <w:tcW w:w="1533" w:type="pct"/>
          </w:tcPr>
          <w:p>
            <w:pPr>
              <w:keepNext/>
              <w:keepLines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after="200" w:line="240" w:lineRule="auto"/>
              <w:ind w:left="0" w:leftChars="0" w:firstLine="0" w:firstLineChars="0"/>
              <w:contextualSpacing/>
              <w:jc w:val="left"/>
              <w:textAlignment w:val="auto"/>
              <w:outlineLvl w:val="9"/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</w:pPr>
            <w:r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Provincial policies for Sanjiangyuan</w:t>
            </w:r>
          </w:p>
        </w:tc>
        <w:tc>
          <w:tcPr>
            <w:tcW w:w="808" w:type="pct"/>
          </w:tcPr>
          <w:p>
            <w:pPr>
              <w:keepNext/>
              <w:keepLines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after="200" w:line="240" w:lineRule="auto"/>
              <w:ind w:left="0" w:leftChars="0" w:firstLine="0" w:firstLineChars="0"/>
              <w:contextualSpacing/>
              <w:jc w:val="left"/>
              <w:textAlignment w:val="auto"/>
              <w:outlineLvl w:val="9"/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</w:pPr>
            <w:r>
              <w:rPr>
                <w:rFonts w:hint="eastAsia"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S</w:t>
            </w:r>
            <w:r>
              <w:rPr>
                <w:rFonts w:ascii="Palatino Linotype" w:hAnsi="Palatino Linotype" w:eastAsia="等线" w:cs="宋体"/>
                <w:b/>
                <w:bCs/>
                <w:color w:val="000000"/>
                <w:kern w:val="44"/>
                <w:sz w:val="17"/>
                <w:szCs w:val="17"/>
                <w:lang w:val="en-CA" w:eastAsia="en-CA"/>
              </w:rPr>
              <w:t>ource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1997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0" w:name="_Hlk33059248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Severe drought in Yellow River Basin</w:t>
            </w:r>
            <w:bookmarkEnd w:id="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 </w:t>
            </w: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(Wang et al., 2018)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" w:name="_Hlk3305929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1998</w:t>
            </w:r>
            <w:bookmarkEnd w:id="1"/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2" w:name="_Hlk33059313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Floods in Yangtze River Basin </w:t>
            </w:r>
            <w:bookmarkEnd w:id="2"/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3" w:name="_Hlk33059535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Natural Forest Conservation Program (on-going)</w:t>
            </w:r>
            <w:bookmarkEnd w:id="3"/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(Yin &amp; Li, 2001)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99" w:hRule="atLeast"/>
        </w:trPr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1999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Sloping Lands Conversion Program (on-going)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(Bryan et al., 2018)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8" w:hRule="atLeast"/>
        </w:trPr>
        <w:tc>
          <w:tcPr>
            <w:tcW w:w="366" w:type="pct"/>
            <w:vMerge w:val="restar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2000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Western Development Strategy began (on-going)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Sanjiangyuan Nature Reserve (provincial reserve)</w:t>
            </w: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(Li et al., 2012)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8" w:hRule="atLeast"/>
        </w:trPr>
        <w:tc>
          <w:tcPr>
            <w:tcW w:w="366" w:type="pct"/>
            <w:vMerge w:val="continue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Ecological resettlement (shengtai yimin) policy 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(Ptackova, 2011; 2017)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(Sternfeld, 2017)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2001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4" w:name="_Hlk33059565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Wildlife Conservation and Nature Protection Program (on-going)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Forest Ecosystem Compensation Fund (on-going)</w:t>
            </w:r>
            <w:bookmarkEnd w:id="4"/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(Xi et al., 2014)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(Deng et al., 2011)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02" w:hRule="atLeast"/>
        </w:trPr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5" w:name="_Hlk33060058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2003</w:t>
            </w:r>
            <w:bookmarkEnd w:id="5"/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6" w:name="_Hlk33060077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State Council approved promotion of Sanjiangyuan Nature Reserve to a National Nature Reserve</w:t>
            </w:r>
            <w:bookmarkEnd w:id="6"/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‘Converting pasturelands into grasslands’ (tuimu huancao), temporary grazing ban also being advanced in relation to ‘converting pasturelands into forests’ (tuimu huanlin) 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(Yeh, 2005)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(Sternfeld, 2017)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(Ptackova, 2017)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2005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7" w:name="_Hlk33060417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State Council approved implementation of “Overall Plan for Ecological Protection and Construction of Qinghai Sanjiangyuan Nature Reserve”.</w:t>
            </w:r>
            <w:bookmarkEnd w:id="7"/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State Council established requirements for Phase I of the Sanjiangyuan National Ecological Protection Comprehensive Experimental Zone.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(Ptackova, 2011)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2008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8" w:name="_Hlk33060446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Earthquake in Wenchuan, Sichuan</w:t>
            </w:r>
            <w:bookmarkEnd w:id="8"/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(Yang et al., 2011)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2010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9" w:name="_Hlk3306057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Earthquake in Yushu, Qinghai</w:t>
            </w:r>
          </w:p>
          <w:bookmarkEnd w:id="9"/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Plan for restoration and rebuilding after Yushu earthquake approved.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0" w:name="_Hlk33060588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Qinghai Provincial Government issued "Several Opinions on Exploring the Establishment of Sanjiangyuan Ecological Compensation Mechanism"</w:t>
            </w:r>
            <w:bookmarkEnd w:id="10"/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(Zhang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al.,2010)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(Sun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al., 2019)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(Xu &amp; Lu, 2013)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1" w:name="_Hlk33060748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2011</w:t>
            </w:r>
            <w:bookmarkEnd w:id="11"/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2" w:name="_Hlk33060774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Grassland Ecological Protection Program (on-going)</w:t>
            </w:r>
            <w:bookmarkEnd w:id="12"/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(The Central People’s Government of the People’s Republic of China, 2011)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2012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Qinghai “Ranger program”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officially started</w:t>
            </w: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(Qi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  <w:t>&amp; Chen, 2020)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2014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3" w:name="_Hlk33060805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Qinghai Sanjiangyuan National Ecological Protection Comprehensive Experimental Zone Construction and Sanjiangyuan Ecological Protection and Construction Phase II launched.</w:t>
            </w:r>
            <w:bookmarkEnd w:id="13"/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4" w:name="_Hlk33060837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Several Opinions of the Qinghai Provincial People's Government on Exploring the Establishment of Sanjiangyuan Ecological Compensation Mechanism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Implementation Opinions on the Grassland Ecological Protection Subsidy and Reward Mechanism in Qinghai Province (Trial)</w:t>
            </w:r>
            <w:bookmarkEnd w:id="14"/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(China News Network, 2018)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</w:t>
            </w:r>
            <w:bookmarkStart w:id="15" w:name="_Hlk8498741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Qinghai Provincial Government Office</w:t>
            </w:r>
            <w:bookmarkEnd w:id="15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, 2014)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2015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6" w:name="_Hlk3306089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State Council promulgates construction of “Ecological Civilization.”</w:t>
            </w:r>
          </w:p>
          <w:bookmarkEnd w:id="16"/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7" w:name="_Hlk33060920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Provincial-level ecological civilization construction legislation in Qinghai officially implemented. 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Study on Water Ecological Compensation Mechanism and Policy in Sanjiangyuan District" passed review of the Ministry of Water Resources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The provincial government issued the "Opinions on the Establishment and Management of Public Welfare Positions for </w:t>
            </w:r>
            <w:bookmarkStart w:id="18" w:name="_Hlk65436381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community wardens</w:t>
            </w:r>
            <w:bookmarkEnd w:id="18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 in the Sanjiangyuan National Ecological Protection Comprehensive Experimental Zone"</w:t>
            </w:r>
            <w:bookmarkEnd w:id="17"/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(Xinhua News Agency, 2015)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(Qinghai Daily, 201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>7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(Wang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al., 2021)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(Foggin, 2021)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2016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19" w:name="_Hlk33060962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Sanjiangyuan National Park Administration officially listed</w:t>
            </w:r>
            <w:bookmarkEnd w:id="19"/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“Ecological Red Lines” (ECR) officially launch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(Ma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al., 2021)</w:t>
            </w:r>
          </w:p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  <w:bookmarkStart w:id="20" w:name="_Hlk84983096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  <w:t>(Chinese Society For Environmental Sciences, 2018)</w:t>
            </w:r>
          </w:p>
          <w:bookmarkEnd w:id="20"/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2017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21" w:name="_Hlk33060991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 xml:space="preserve">Earthquake in Jiuzhaigou, Sichuan </w:t>
            </w:r>
            <w:bookmarkEnd w:id="21"/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bookmarkStart w:id="22" w:name="_Hlk33061019"/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"Sanjiangyuan National Parks Regulations (Trial)" implemented</w:t>
            </w:r>
            <w:bookmarkEnd w:id="22"/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GB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(Lei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fr-FR" w:eastAsia="en-CA"/>
              </w:rPr>
              <w:t>al., 2018)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66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2021</w:t>
            </w:r>
          </w:p>
        </w:tc>
        <w:tc>
          <w:tcPr>
            <w:tcW w:w="919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1372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Launch of China’s new national park system</w:t>
            </w:r>
          </w:p>
        </w:tc>
        <w:tc>
          <w:tcPr>
            <w:tcW w:w="1533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</w:p>
        </w:tc>
        <w:tc>
          <w:tcPr>
            <w:tcW w:w="808" w:type="pct"/>
          </w:tcPr>
          <w:p>
            <w:pPr>
              <w:spacing w:after="200" w:line="200" w:lineRule="exact"/>
              <w:ind w:firstLine="0" w:firstLineChars="0"/>
              <w:jc w:val="left"/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</w:pP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(Ma et</w:t>
            </w:r>
            <w:r>
              <w:rPr>
                <w:rFonts w:hint="default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eastAsia="en-CA"/>
              </w:rPr>
              <w:t xml:space="preserve"> </w:t>
            </w:r>
            <w:r>
              <w:rPr>
                <w:rFonts w:hint="eastAsia" w:ascii="Palatino Linotype" w:hAnsi="Palatino Linotype" w:eastAsia="DengXian" w:cs="Times New Roman"/>
                <w:color w:val="auto"/>
                <w:sz w:val="16"/>
                <w:szCs w:val="16"/>
                <w:highlight w:val="none"/>
                <w:lang w:val="en-CA" w:eastAsia="en-CA"/>
              </w:rPr>
              <w:t>al., 2021)</w:t>
            </w:r>
          </w:p>
        </w:tc>
      </w:tr>
    </w:tbl>
    <w:p>
      <w:pPr>
        <w:pStyle w:val="2"/>
        <w:numPr>
          <w:ilvl w:val="0"/>
          <w:numId w:val="0"/>
        </w:numPr>
        <w:ind w:leftChars="0"/>
        <w:rPr>
          <w:rFonts w:hint="default" w:ascii="Lucida Grande" w:hAnsi="Lucida Grande" w:eastAsia="Lucida Grande" w:cs="Lucida Grande"/>
          <w:i w:val="0"/>
          <w:iCs w:val="0"/>
          <w:caps w:val="0"/>
          <w:color w:val="3E3D40"/>
          <w:spacing w:val="0"/>
          <w:kern w:val="0"/>
          <w:sz w:val="24"/>
          <w:szCs w:val="24"/>
          <w:shd w:val="clear" w:fill="FFFFFF"/>
          <w:lang w:eastAsia="zh-Hans" w:bidi="ar"/>
        </w:rPr>
      </w:pP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ind w:left="0"/>
        <w:jc w:val="left"/>
        <w:textAlignment w:val="auto"/>
        <w:outlineLvl w:val="9"/>
      </w:pPr>
      <w:r>
        <w:t>References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1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Wang, F., Wang, Z., Yang, H., &amp; Zhao, Y. Study of the temporal and spatial patterns of drought in the Yellow River basin based on SPEI.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 Science China Earth Sciences, 61, 1098-1111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 xml:space="preserve"> (2018).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2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Yin, H., &amp; Li, C. Human impact on floods and flood disasters on the Yangtze River. Geomorphology, 41(2-3), 105-109 (2001).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3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Bryan, B. A., Gao, L., Ye, Y., Sun, X., Connor, J. D., Crossman, N. D.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et al.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China’s response to a national land-system sustainability emergency.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 Nature, 559(7713), 193-204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(2018).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4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Li, W., Liu, Y. J., &amp; Yang, Z. Preliminary strategic environmental assessment of the Great Western Development Strategy: safeguarding ecological security for a new western China. Environmental management, 49(2), 483-501(2012).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5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Ptackova, J. Sedentarisation of Tibetan nomads in China: Implementation of the Nomadic settlement project in the Tibetan Amdo area; Qinghai and Sichuan Provinces. Pastoralism: Research, Policy and Practice, 1(1), 1-11(2011).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6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Ptackova, J. Orchestrated Environmental Migration in Western China. In Routledge Handbook of Environmental Policy in China, 223-236(2017). Routledge.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7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Sternfeld, E. Routledge Handbook of Environmental Policy in China(2017). Taylor &amp; Francis.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8.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Xi, W., Wang, F., Shi, P., Dai, E., Anoruo, A. O., Bi, H.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et al.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 xml:space="preserve"> Challenges to sustainable development in China: a review of six large-scale forest restoration and land conservation programs.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 Journal of sustainable forestry, 33(5), 435-453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(2014)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9.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Deng, H., Zheng, P., Liu, T., &amp; Liu, X. Forest ecosystem services and eco-compensation mechanisms in China. Environmental management, 48(6), 1079-1085 (2011).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10.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Yeh, E. T. Green governmentality and pastoralism in western China:'converting pastures to grasslands'. Nomadic peoples, 9(1-2), 9-30 (2005).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11.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Ptackova, J. Sedentarisation of Tibetan nomads in China: Implementation of the Nomadic settlement project in the Tibetan Amdo area; Qinghai and Sichuan Provinces. Pastoralism: Research, Policy and Practice, 1(1), 1-11(2011).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12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Yang, W., Wang, D., &amp; Chen, G. Reconstruction strategies after the Wenchuan earthquake in Sichuan, China. Tourism Management, 32(4), 949-956 (2011).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13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Zhang, Y., Xu, L., &amp; Chen, Y. T. Source process of the 2010 Yushu, Qinghai, earthquake. Science China Earth Sciences, 53(9), 1249-1251(2010).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14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Sun, L., Su, G., Tian, Q., Qi, W., Liu, F., Qi, M.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 xml:space="preserve"> et al.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 xml:space="preserve"> Religious belief and Tibetans’ response to earthquake disaster: a case study of the 2010 Ms 7.1 Yushu earthquake, Qinghai Province, China.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 Natural Hazards, 99, 141-159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(2019)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15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Xu, J., &amp; Lu, Y. A comparative study on the national counterpart aid model for post-disaster recovery and reconstruction: 2008 Wenchuan earthquake as a case (2013). Disaster prevention and management.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de-DE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de-DE" w:bidi="ar"/>
        </w:rPr>
        <w:t>16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de-DE" w:bidi="ar"/>
        </w:rPr>
        <w:t xml:space="preserve">The Central People’s Government of the People’s Republic of China. Available online: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instrText xml:space="preserve"> HYPERLINK "http://www.gov.cn/gzdt/2011-09/29/content_1959759.htm" </w:instrTex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separate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t>http://www.gov.cn/gzdt/2011-09/29/content_1959759.htm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fldChar w:fldCharType="end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t xml:space="preserve"> </w:t>
      </w:r>
      <w:bookmarkStart w:id="23" w:name="_Hlk84986705"/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de-DE" w:bidi="ar"/>
        </w:rPr>
        <w:t xml:space="preserve">(accessed on 13 October 2021). </w:t>
      </w:r>
      <w:bookmarkEnd w:id="23"/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17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Qi J.Y., Chen X.L. Resettlement and adaptation of ecological migrants in the Three Rivers Headwaters Region.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Ethnic studies, (4)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 xml:space="preserve">,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74-86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 xml:space="preserve"> (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2020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).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(in Chinese)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18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China News Network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(2018)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“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Several Opinions of the Qinghai Provincial People's Government on Exploring the Establishment of Sanjiangyuan Ecological Compensation Mechanism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”. Available at: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instrText xml:space="preserve"> HYPERLINK "http://124.205.185.62:8080/main/146/20180207/1074369.html" </w:instrTex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separate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http://124.205.185.62:8080/main/146/20180207/1074369.html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fldChar w:fldCharType="end"/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de-DE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19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Qinghai Provincial Government Office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(2014)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. 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“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Implementation Opinions on the Grassland Ecological Protection Subsidy and Reward Mechanism in Qinghai Province (Trial)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”. Available at: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instrText xml:space="preserve"> HYPERLINK "http://www.qh.gov.cn/ztzl/system/2014/10/24/010138566.shtml" </w:instrTex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separate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http://www.qh.gov.cn/ztzl/system/2014/10/24/010138566.shtml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fldChar w:fldCharType="end"/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en-CA" w:bidi="ar"/>
        </w:rPr>
        <w:t>20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Xinhua News Agency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 (2015)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. 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“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Provincial-level ecological civilization construction legislation in Qinghai officially implemented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 xml:space="preserve">”. Available at: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instrText xml:space="preserve"> HYPERLINK "http://www.gov.cn/guowuyuan/2015-09/21/content_2936327.htm" </w:instrTex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fldChar w:fldCharType="separate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t>http://www.gov.cn/guowuyuan/2015-09/21/content_2936327.htm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en-CA" w:bidi="ar"/>
        </w:rPr>
        <w:fldChar w:fldCharType="end"/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de-DE" w:bidi="ar"/>
        </w:rPr>
        <w:t>21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t>Qinghai Daily.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t xml:space="preserve"> (201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7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t>)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t xml:space="preserve">. 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t>“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CA" w:eastAsia="en-CA" w:bidi="ar"/>
        </w:rPr>
        <w:t>Study on Water Ecological Compensation Mechanism and Policy in Sanjiangyuan District" passed review of the Ministry of Water Resources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t>”. Available at: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fldChar w:fldCharType="begin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instrText xml:space="preserve"> HYPERLINK "http://www.qh.gov.cn/dmqh/system/2017/07/12/010272766.shtml" </w:instrTex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zh-CN" w:bidi="ar"/>
        </w:rPr>
        <w:fldChar w:fldCharType="separate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t>http://www.qh.gov.cn/dmqh/system/2017/07/12/010272766.shtml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fldChar w:fldCharType="end"/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GB" w:eastAsia="de-DE" w:bidi="ar"/>
        </w:rPr>
        <w:t>.</w:t>
      </w:r>
    </w:p>
    <w:p>
      <w:pPr>
        <w:pStyle w:val="7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afterAutospacing="0" w:line="240" w:lineRule="auto"/>
        <w:jc w:val="left"/>
        <w:textAlignment w:val="auto"/>
        <w:outlineLvl w:val="9"/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</w:pP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>22</w:t>
      </w:r>
      <w:r>
        <w:rPr>
          <w:rFonts w:hint="eastAsia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Hans" w:bidi="ar"/>
        </w:rPr>
        <w:t>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>Wang, Y., Yang, H., Qi, D., Songer, M., Bai, W., Zhou, C.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et al.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val="en-US" w:eastAsia="zh-CN" w:bidi="ar"/>
        </w:rPr>
        <w:t xml:space="preserve"> Efcacy and management challenges of the zoning designations of China’s national parks. Biological Conservation, 254, 108962 (2021).</w:t>
      </w:r>
      <w:r>
        <w:rPr>
          <w:rFonts w:hint="default" w:ascii="Times New Roman" w:hAnsi="Times New Roman" w:eastAsia="NewsGothicMTStd" w:cs="Times New Roman"/>
          <w:b w:val="0"/>
          <w:snapToGrid/>
          <w:color w:val="auto"/>
          <w:kern w:val="0"/>
          <w:sz w:val="18"/>
          <w:szCs w:val="18"/>
          <w:lang w:eastAsia="zh-CN" w:bidi="ar"/>
        </w:rPr>
        <w:t xml:space="preserve">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</w:pP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en-CA" w:bidi="ar"/>
        </w:rPr>
        <w:t>23.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t xml:space="preserve">Foggin, J.M. We still need the wisdom of Ubuntu for successful nature conservation. Ambio 50, 723–725 (2021). 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instrText xml:space="preserve"> HYPERLINK "https://doi-org.ezproxy.library.ubc.ca/10.1007/s13280-020-01402-z" </w:instrTex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fldChar w:fldCharType="separate"/>
      </w:r>
      <w:r>
        <w:rPr>
          <w:rStyle w:val="5"/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t>https://doi-org.ezproxy.library.ubc.ca/10.1007/s13280-020-01402-z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fldChar w:fldCharType="end"/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left"/>
        <w:textAlignment w:val="auto"/>
        <w:outlineLvl w:val="9"/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</w:pP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zh-CN" w:bidi="ar"/>
        </w:rPr>
        <w:t>24.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Ting, M., Qingwen, M., Kun, X., &amp; Weiguo, S. Resident willingness to pay for ecotourism resources and associated factors in Sanjiangyuan National Park, China.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 Journal of Resources and Ecology, 12(5), 693-706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CA" w:eastAsia="zh-CN" w:bidi="ar"/>
        </w:rPr>
        <w:t xml:space="preserve"> 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(2021)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.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left"/>
        <w:textAlignment w:val="auto"/>
        <w:outlineLvl w:val="9"/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de-DE" w:bidi="ar"/>
        </w:rPr>
      </w:pP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de-DE" w:bidi="ar"/>
        </w:rPr>
        <w:t>25.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de-DE" w:bidi="ar"/>
        </w:rPr>
        <w:t>Chinese Society For Environmental Sciences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de-DE" w:bidi="ar"/>
        </w:rPr>
        <w:t xml:space="preserve"> (2018)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de-DE" w:bidi="ar"/>
        </w:rPr>
        <w:t xml:space="preserve">. 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“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t>Ecological Red Lines (ECR) officially launch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”. Available at: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de-DE" w:bidi="ar"/>
        </w:rPr>
        <w:t xml:space="preserve"> 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fldChar w:fldCharType="begin"/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instrText xml:space="preserve"> HYPERLINK "http://www.chinacses.org/hjkp_23038/hbkpxw/201811/t20181127_675124.shtml" </w:instrTex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en-CA" w:bidi="ar"/>
        </w:rPr>
        <w:fldChar w:fldCharType="separate"/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de-DE" w:bidi="ar"/>
        </w:rPr>
        <w:t>http://www.chinacses.org/hjkp_23038/hbkpxw/201811/t20181127_675124.shtml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CA" w:eastAsia="de-DE" w:bidi="ar"/>
        </w:rPr>
        <w:fldChar w:fldCharType="end"/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de-DE" w:bidi="ar"/>
        </w:rPr>
        <w:t>.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left"/>
        <w:textAlignment w:val="auto"/>
        <w:outlineLvl w:val="9"/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US" w:eastAsia="de-DE" w:bidi="ar"/>
        </w:rPr>
      </w:pP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eastAsia="en-CA" w:bidi="ar"/>
        </w:rPr>
        <w:t>26.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Lei, H., Wang, X., Hou, H., Su, L., Yu, D., &amp; Wang, H. The earthquake in Jiuzhaigou County of Northern Sichuan, China on August 8, 2017.</w:t>
      </w:r>
      <w:r>
        <w:rPr>
          <w:rFonts w:hint="default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> Natural hazards, 90, 1021-1030</w:t>
      </w:r>
      <w:r>
        <w:rPr>
          <w:rFonts w:hint="eastAsia" w:ascii="Times New Roman" w:hAnsi="Times New Roman" w:eastAsia="NewsGothicMTStd" w:cs="Times New Roman"/>
          <w:kern w:val="0"/>
          <w:sz w:val="18"/>
          <w:szCs w:val="18"/>
          <w:lang w:val="en-US" w:eastAsia="zh-CN" w:bidi="ar"/>
        </w:rPr>
        <w:t xml:space="preserve"> (2018).</w:t>
      </w:r>
    </w:p>
    <w:p>
      <w:bookmarkStart w:id="24" w:name="_GoBack"/>
      <w:bookmarkEnd w:id="2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Palatino Linotype">
    <w:altName w:val="苹方-简"/>
    <w:panose1 w:val="02040502050505030304"/>
    <w:charset w:val="00"/>
    <w:family w:val="roman"/>
    <w:pitch w:val="default"/>
    <w:sig w:usb0="00000000" w:usb1="00000000" w:usb2="00000000" w:usb3="00000000" w:csb0="0000019F" w:csb1="00000000"/>
  </w:font>
  <w:font w:name="PalatinoLinotype,Bold">
    <w:altName w:val="苹方-简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DengXian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Lucida Grande">
    <w:panose1 w:val="020B0600040502020204"/>
    <w:charset w:val="00"/>
    <w:family w:val="auto"/>
    <w:pitch w:val="default"/>
    <w:sig w:usb0="00000000" w:usb1="00000000" w:usb2="00000000" w:usb3="00000000" w:csb0="00000000" w:csb1="00000000"/>
  </w:font>
  <w:font w:name="NewsGothicMTStd">
    <w:altName w:val="苹方-简"/>
    <w:panose1 w:val="00000000000000000000"/>
    <w:charset w:val="86"/>
    <w:family w:val="swiss"/>
    <w:pitch w:val="default"/>
    <w:sig w:usb0="00000000" w:usb1="00000000" w:usb2="00000010" w:usb3="00000000" w:csb0="000401FF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汉仪中等线KW">
    <w:panose1 w:val="01010104010101010101"/>
    <w:charset w:val="86"/>
    <w:family w:val="auto"/>
    <w:pitch w:val="default"/>
    <w:sig w:usb0="00000000" w:usb1="00000000" w:usb2="00000000" w:usb3="00000000" w:csb0="0016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73313"/>
    <w:rsid w:val="7FF73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  <w:rPr>
      <w:rFonts w:ascii="Calibri" w:hAnsi="Calibri"/>
    </w:rPr>
  </w:style>
  <w:style w:type="character" w:styleId="5">
    <w:name w:val="Hyperlink"/>
    <w:basedOn w:val="4"/>
    <w:uiPriority w:val="0"/>
    <w:rPr>
      <w:color w:val="0000FF"/>
      <w:u w:val="single"/>
    </w:rPr>
  </w:style>
  <w:style w:type="table" w:customStyle="1" w:styleId="6">
    <w:name w:val="网格型2"/>
    <w:basedOn w:val="3"/>
    <w:qFormat/>
    <w:uiPriority w:val="39"/>
    <w:pPr>
      <w:spacing w:after="200" w:line="276" w:lineRule="auto"/>
    </w:pPr>
    <w:rPr>
      <w:rFonts w:ascii="等线" w:hAnsi="等线" w:eastAsia="等线" w:cs="宋体"/>
      <w:kern w:val="0"/>
      <w:sz w:val="24"/>
      <w:szCs w:val="24"/>
      <w:lang w:val="en-CA" w:eastAsia="en-CA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MDPI_2.1_heading1"/>
    <w:qFormat/>
    <w:uiPriority w:val="0"/>
    <w:pPr>
      <w:adjustRightInd w:val="0"/>
      <w:snapToGrid w:val="0"/>
      <w:spacing w:before="240" w:after="60" w:line="228" w:lineRule="auto"/>
      <w:ind w:left="2608"/>
      <w:outlineLvl w:val="0"/>
    </w:pPr>
    <w:rPr>
      <w:rFonts w:ascii="Palatino Linotype" w:hAnsi="Palatino Linotype" w:eastAsia="Times New Roman" w:cs="Times New Roman"/>
      <w:b/>
      <w:snapToGrid w:val="0"/>
      <w:color w:val="000000"/>
      <w:kern w:val="0"/>
      <w:sz w:val="20"/>
      <w:szCs w:val="22"/>
      <w:lang w:val="en-US" w:eastAsia="de-DE" w:bidi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Office_5.4.0.7913_F1E327BC-269C-435d-A152-05C5408002CA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2023-07-28T15:52:00Z</dcterms:created>
  <dc:creator>Ting Ma</dc:creator>
  <cp:lastModifiedBy>Ting Ma</cp:lastModifiedBy>
  <dcterms:modified xsi:type="dcterms:W3CDTF">2023-07-28T15:53:26Z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2052-5.4.0.7913</vt:lpwstr>
  </property>
  <property fmtid="{D5CDD505-2E9C-101B-9397-08002B2CF9AE}" pid="3" name="ICV">
    <vt:lpwstr>68E92D0C503E7944D773C3645C28FE5F_41</vt:lpwstr>
  </property>
</Properties>
</file>