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9EEF8" w14:textId="77777777" w:rsidR="007178EC" w:rsidRDefault="007178EC" w:rsidP="007178EC">
      <w:pPr>
        <w:keepNext/>
        <w:spacing w:line="276" w:lineRule="auto"/>
      </w:pPr>
      <w:r>
        <w:rPr>
          <w:noProof/>
          <w:lang w:val="en-US"/>
        </w:rPr>
        <w:drawing>
          <wp:inline distT="0" distB="0" distL="0" distR="0" wp14:anchorId="62E884D0" wp14:editId="0D3C1E0B">
            <wp:extent cx="4335780" cy="3045460"/>
            <wp:effectExtent l="0" t="0" r="7620" b="2540"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TP_PPT.sv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1340" cy="3063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14DE0" w14:textId="77777777" w:rsidR="007178EC" w:rsidRDefault="007178EC" w:rsidP="007178EC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i/>
          <w:color w:val="44546A"/>
          <w:sz w:val="18"/>
          <w:szCs w:val="18"/>
        </w:rPr>
      </w:pPr>
      <w:r>
        <w:rPr>
          <w:i/>
          <w:color w:val="44546A"/>
          <w:sz w:val="18"/>
          <w:szCs w:val="18"/>
        </w:rPr>
        <w:t xml:space="preserve">Figure S1: Cumulative potential evapotranspiration (PET) and precipitation (PPT) over the course of a year. High PET, low PPT reflects a dry year. Low PET, high PPT reflects a wet year. As we consider a year to include a dry, rewetting and moist period, the day index shows the number of days from the beginning of the “year”, not the beginning of the calendar year. </w:t>
      </w:r>
    </w:p>
    <w:p w14:paraId="0BA5638B" w14:textId="77777777" w:rsidR="007A385C" w:rsidRDefault="007A385C"/>
    <w:sectPr w:rsidR="007A38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85C"/>
    <w:rsid w:val="003D4F5A"/>
    <w:rsid w:val="007178EC"/>
    <w:rsid w:val="007A385C"/>
    <w:rsid w:val="00BC457A"/>
    <w:rsid w:val="00D70EFF"/>
    <w:rsid w:val="00D80D84"/>
    <w:rsid w:val="00DE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5AE48"/>
  <w15:chartTrackingRefBased/>
  <w15:docId w15:val="{47F89FA9-1653-48B3-BDCE-24858537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Orme</dc:creator>
  <cp:keywords/>
  <dc:description/>
  <cp:lastModifiedBy>Dylan Mills</cp:lastModifiedBy>
  <cp:revision>2</cp:revision>
  <dcterms:created xsi:type="dcterms:W3CDTF">2022-06-01T14:30:00Z</dcterms:created>
  <dcterms:modified xsi:type="dcterms:W3CDTF">2022-06-01T14:30:00Z</dcterms:modified>
</cp:coreProperties>
</file>