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3BD5A427" w14:textId="49971D18" w:rsidR="00EA3D3C" w:rsidRPr="00994A3D" w:rsidRDefault="00EA3D3C" w:rsidP="00AE619D">
      <w:pPr>
        <w:pStyle w:val="Heading1"/>
        <w:numPr>
          <w:ilvl w:val="0"/>
          <w:numId w:val="0"/>
        </w:numPr>
      </w:pPr>
    </w:p>
    <w:p w14:paraId="4D059444" w14:textId="63677302" w:rsidR="00994A3D" w:rsidRPr="00994A3D" w:rsidRDefault="00654E8F" w:rsidP="0001436A">
      <w:pPr>
        <w:pStyle w:val="Heading1"/>
      </w:pPr>
      <w:r w:rsidRPr="00994A3D">
        <w:t>Supplementary Tables</w:t>
      </w:r>
    </w:p>
    <w:p w14:paraId="6A15DD4D" w14:textId="3F1C639D" w:rsidR="00994A3D" w:rsidRPr="002B4A57" w:rsidRDefault="00AA3967" w:rsidP="002B4A57">
      <w:pPr>
        <w:rPr>
          <w:rFonts w:cs="Times New Roman"/>
          <w:szCs w:val="24"/>
          <w:u w:val="single"/>
        </w:rPr>
      </w:pPr>
      <w:r>
        <w:t xml:space="preserve">A mixed repeated measures ANOVA </w:t>
      </w:r>
      <w:r w:rsidRPr="00AA3967">
        <w:t>with the between participants factor Group (CU and aMCI) and the within participants factor Minute (1st, 2nd and 3rd) and ROI (Parietal and Occipital)</w:t>
      </w:r>
      <w:r>
        <w:t xml:space="preserve"> was run on an estimation of normalized alpha current source density for each single minute of the resting state period, trying to shed light into the dynamics of alpha activity.</w:t>
      </w:r>
      <w:r w:rsidRPr="00AA3967">
        <w:t xml:space="preserve"> Results from these analyses showed that there were no statistically significant main effects of Minute, </w:t>
      </w:r>
      <w:proofErr w:type="gramStart"/>
      <w:r w:rsidRPr="00BC2F48">
        <w:rPr>
          <w:i/>
          <w:iCs/>
        </w:rPr>
        <w:t>F</w:t>
      </w:r>
      <w:r w:rsidRPr="00AA3967">
        <w:t>(</w:t>
      </w:r>
      <w:proofErr w:type="gramEnd"/>
      <w:r w:rsidRPr="00AA3967">
        <w:t xml:space="preserve">1.575, 102.390) = 0.525, </w:t>
      </w:r>
      <w:r w:rsidRPr="00BC2F48">
        <w:rPr>
          <w:i/>
          <w:iCs/>
        </w:rPr>
        <w:t>p</w:t>
      </w:r>
      <w:r w:rsidRPr="00AA3967">
        <w:t xml:space="preserve"> = 0.550; nor Group, </w:t>
      </w:r>
      <w:r w:rsidRPr="00BC2F48">
        <w:rPr>
          <w:i/>
          <w:iCs/>
        </w:rPr>
        <w:t>F</w:t>
      </w:r>
      <w:r w:rsidRPr="00AA3967">
        <w:t xml:space="preserve">(1, 65) = 0.354, </w:t>
      </w:r>
      <w:r w:rsidRPr="00BC2F48">
        <w:rPr>
          <w:i/>
          <w:iCs/>
        </w:rPr>
        <w:t>p</w:t>
      </w:r>
      <w:r w:rsidRPr="00AA3967">
        <w:t xml:space="preserve"> = 0.554;. Also, there were no significant interactions between Minute and Group, </w:t>
      </w:r>
      <w:proofErr w:type="gramStart"/>
      <w:r w:rsidRPr="00BC2F48">
        <w:rPr>
          <w:i/>
          <w:iCs/>
        </w:rPr>
        <w:t>F</w:t>
      </w:r>
      <w:r w:rsidRPr="00AA3967">
        <w:t>(</w:t>
      </w:r>
      <w:proofErr w:type="gramEnd"/>
      <w:r w:rsidRPr="00AA3967">
        <w:t xml:space="preserve">1.575, 102.390) = 2.448, </w:t>
      </w:r>
      <w:r w:rsidRPr="00BC2F48">
        <w:rPr>
          <w:i/>
          <w:iCs/>
        </w:rPr>
        <w:t>p</w:t>
      </w:r>
      <w:r w:rsidRPr="00AA3967">
        <w:t xml:space="preserve"> = 0.104; nor the triple interaction Minute by Group by ROI, </w:t>
      </w:r>
      <w:r w:rsidRPr="00BC2F48">
        <w:rPr>
          <w:i/>
          <w:iCs/>
        </w:rPr>
        <w:t>F</w:t>
      </w:r>
      <w:r w:rsidRPr="00AA3967">
        <w:t xml:space="preserve">(1.374, 89.311) = 0.457, </w:t>
      </w:r>
      <w:r w:rsidRPr="00BC2F48">
        <w:rPr>
          <w:i/>
          <w:iCs/>
        </w:rPr>
        <w:t>p</w:t>
      </w:r>
      <w:r w:rsidRPr="00AA3967">
        <w:t xml:space="preserve"> = 0.562. All in all, dynamics of normalized alpha current source density do not show an identifiable pattern across the three minutes of resting state, and albeit CU generally showed lower normalized alpha current source density than aMCI there are no statistical differences between both groups.</w:t>
      </w:r>
      <w:r>
        <w:t xml:space="preserve"> T</w:t>
      </w:r>
      <w:r w:rsidRPr="00AA3967">
        <w:t xml:space="preserve">hese analyses are to be taken with caution since the number of segments averaged for each minute is not enough as to offer a reliable estimate of </w:t>
      </w:r>
      <w:proofErr w:type="spellStart"/>
      <w:r w:rsidRPr="00AA3967">
        <w:t>rsEEG</w:t>
      </w:r>
      <w:proofErr w:type="spellEnd"/>
      <w:r w:rsidRPr="00AA3967">
        <w:t xml:space="preserve"> alpha dynamics.</w:t>
      </w:r>
    </w:p>
    <w:p w14:paraId="63D7C2B0" w14:textId="19E6DE73" w:rsidR="00994A3D" w:rsidRPr="001549D3" w:rsidRDefault="00994A3D" w:rsidP="0001436A">
      <w:pPr>
        <w:pStyle w:val="Heading2"/>
      </w:pPr>
      <w:r w:rsidRPr="0001436A">
        <w:t>Supplementary</w:t>
      </w:r>
      <w:r w:rsidRPr="001549D3">
        <w:t xml:space="preserve"> </w:t>
      </w:r>
      <w:r w:rsidR="00926358">
        <w:t>Table 1</w:t>
      </w:r>
      <w:bookmarkStart w:id="0" w:name="_GoBack"/>
      <w:bookmarkEnd w:id="0"/>
    </w:p>
    <w:p w14:paraId="3AE196DF" w14:textId="1F1A64CA" w:rsidR="00994A3D" w:rsidRPr="002B4A57" w:rsidRDefault="00994A3D" w:rsidP="002B4A57">
      <w:pPr>
        <w:keepNext/>
        <w:rPr>
          <w:rFonts w:cs="Times New Roman"/>
          <w:b/>
          <w:szCs w:val="24"/>
        </w:rPr>
      </w:pPr>
      <w:r w:rsidRPr="0001436A">
        <w:rPr>
          <w:rFonts w:cs="Times New Roman"/>
          <w:b/>
          <w:szCs w:val="24"/>
        </w:rPr>
        <w:t xml:space="preserve">Supplementary </w:t>
      </w:r>
      <w:r w:rsidR="00926358">
        <w:rPr>
          <w:rFonts w:cs="Times New Roman"/>
          <w:b/>
          <w:szCs w:val="24"/>
        </w:rPr>
        <w:t>Table</w:t>
      </w:r>
      <w:r w:rsidRPr="0001436A">
        <w:rPr>
          <w:rFonts w:cs="Times New Roman"/>
          <w:b/>
          <w:szCs w:val="24"/>
        </w:rPr>
        <w:t xml:space="preserv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ED20B5">
        <w:rPr>
          <w:rFonts w:cs="Times New Roman"/>
          <w:b/>
          <w:noProof/>
          <w:szCs w:val="24"/>
        </w:rPr>
        <w:t>1</w:t>
      </w:r>
      <w:r w:rsidRPr="0001436A">
        <w:rPr>
          <w:rFonts w:cs="Times New Roman"/>
          <w:b/>
          <w:szCs w:val="24"/>
        </w:rPr>
        <w:fldChar w:fldCharType="end"/>
      </w:r>
      <w:r w:rsidRPr="0001436A">
        <w:rPr>
          <w:rFonts w:cs="Times New Roman"/>
          <w:b/>
          <w:szCs w:val="24"/>
        </w:rPr>
        <w:t>.</w:t>
      </w:r>
      <w:r w:rsidRPr="001549D3">
        <w:rPr>
          <w:rFonts w:cs="Times New Roman"/>
          <w:szCs w:val="24"/>
        </w:rPr>
        <w:t xml:space="preserve"> </w:t>
      </w:r>
      <w:r w:rsidR="00926358">
        <w:rPr>
          <w:rFonts w:cs="Times New Roman"/>
          <w:szCs w:val="24"/>
        </w:rPr>
        <w:t>CU and aMCI mean normalized alpha current source density (± SD) for each ROI for every minute of the resting state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4"/>
        <w:gridCol w:w="1290"/>
        <w:gridCol w:w="1290"/>
        <w:gridCol w:w="1290"/>
        <w:gridCol w:w="1290"/>
        <w:gridCol w:w="1291"/>
        <w:gridCol w:w="1291"/>
      </w:tblGrid>
      <w:tr w:rsidR="00926358" w:rsidRPr="005259C2" w14:paraId="7EA2797B" w14:textId="77777777" w:rsidTr="00B26D8E">
        <w:tc>
          <w:tcPr>
            <w:tcW w:w="1284" w:type="dxa"/>
          </w:tcPr>
          <w:p w14:paraId="535DC5ED" w14:textId="77777777" w:rsidR="00926358" w:rsidRPr="005259C2" w:rsidRDefault="00926358" w:rsidP="00B26D8E">
            <w:pPr>
              <w:spacing w:after="120"/>
              <w:jc w:val="center"/>
              <w:rPr>
                <w:b/>
                <w:bCs/>
                <w:sz w:val="20"/>
                <w:szCs w:val="20"/>
              </w:rPr>
            </w:pPr>
          </w:p>
        </w:tc>
        <w:tc>
          <w:tcPr>
            <w:tcW w:w="3870" w:type="dxa"/>
            <w:gridSpan w:val="3"/>
            <w:tcBorders>
              <w:bottom w:val="single" w:sz="18" w:space="0" w:color="auto"/>
            </w:tcBorders>
          </w:tcPr>
          <w:p w14:paraId="7577CBA1" w14:textId="352D2006" w:rsidR="00926358" w:rsidRPr="005259C2" w:rsidRDefault="00926358" w:rsidP="00B26D8E">
            <w:pPr>
              <w:spacing w:after="120"/>
              <w:jc w:val="center"/>
              <w:rPr>
                <w:b/>
                <w:bCs/>
                <w:sz w:val="20"/>
                <w:szCs w:val="20"/>
              </w:rPr>
            </w:pPr>
            <w:r w:rsidRPr="005259C2">
              <w:rPr>
                <w:b/>
                <w:bCs/>
                <w:sz w:val="20"/>
                <w:szCs w:val="20"/>
              </w:rPr>
              <w:t>Parietal ROI</w:t>
            </w:r>
          </w:p>
        </w:tc>
        <w:tc>
          <w:tcPr>
            <w:tcW w:w="3872" w:type="dxa"/>
            <w:gridSpan w:val="3"/>
            <w:tcBorders>
              <w:bottom w:val="single" w:sz="18" w:space="0" w:color="auto"/>
            </w:tcBorders>
          </w:tcPr>
          <w:p w14:paraId="6C5E7459" w14:textId="6D175B19" w:rsidR="00926358" w:rsidRPr="005259C2" w:rsidRDefault="00926358" w:rsidP="00B26D8E">
            <w:pPr>
              <w:spacing w:after="120"/>
              <w:jc w:val="center"/>
              <w:rPr>
                <w:b/>
                <w:bCs/>
                <w:sz w:val="20"/>
                <w:szCs w:val="20"/>
              </w:rPr>
            </w:pPr>
            <w:r w:rsidRPr="005259C2">
              <w:rPr>
                <w:b/>
                <w:bCs/>
                <w:sz w:val="20"/>
                <w:szCs w:val="20"/>
              </w:rPr>
              <w:t>Occipital ROI</w:t>
            </w:r>
          </w:p>
        </w:tc>
      </w:tr>
      <w:tr w:rsidR="00926358" w:rsidRPr="005259C2" w14:paraId="6B5A92FB" w14:textId="77777777" w:rsidTr="00B26D8E">
        <w:tc>
          <w:tcPr>
            <w:tcW w:w="1284" w:type="dxa"/>
          </w:tcPr>
          <w:p w14:paraId="0536A6C2" w14:textId="77777777" w:rsidR="00926358" w:rsidRPr="005259C2" w:rsidRDefault="00926358" w:rsidP="00B26D8E">
            <w:pPr>
              <w:spacing w:after="120"/>
              <w:rPr>
                <w:sz w:val="20"/>
                <w:szCs w:val="20"/>
              </w:rPr>
            </w:pPr>
          </w:p>
        </w:tc>
        <w:tc>
          <w:tcPr>
            <w:tcW w:w="1290" w:type="dxa"/>
            <w:tcBorders>
              <w:top w:val="single" w:sz="18" w:space="0" w:color="auto"/>
              <w:bottom w:val="double" w:sz="4" w:space="0" w:color="auto"/>
            </w:tcBorders>
          </w:tcPr>
          <w:p w14:paraId="1CA80FD5" w14:textId="7C1C84E3" w:rsidR="00926358" w:rsidRPr="005259C2" w:rsidRDefault="00926358" w:rsidP="00B26D8E">
            <w:pPr>
              <w:spacing w:after="120"/>
              <w:jc w:val="center"/>
              <w:rPr>
                <w:i/>
                <w:iCs/>
                <w:sz w:val="20"/>
                <w:szCs w:val="20"/>
              </w:rPr>
            </w:pPr>
            <w:r w:rsidRPr="005259C2">
              <w:rPr>
                <w:i/>
                <w:iCs/>
                <w:sz w:val="20"/>
                <w:szCs w:val="20"/>
              </w:rPr>
              <w:t>1</w:t>
            </w:r>
            <w:r w:rsidRPr="005259C2">
              <w:rPr>
                <w:i/>
                <w:iCs/>
                <w:sz w:val="20"/>
                <w:szCs w:val="20"/>
                <w:vertAlign w:val="superscript"/>
              </w:rPr>
              <w:t>st</w:t>
            </w:r>
            <w:r w:rsidRPr="005259C2">
              <w:rPr>
                <w:i/>
                <w:iCs/>
                <w:sz w:val="20"/>
                <w:szCs w:val="20"/>
              </w:rPr>
              <w:t xml:space="preserve"> minute</w:t>
            </w:r>
          </w:p>
        </w:tc>
        <w:tc>
          <w:tcPr>
            <w:tcW w:w="1290" w:type="dxa"/>
            <w:tcBorders>
              <w:top w:val="single" w:sz="18" w:space="0" w:color="auto"/>
              <w:bottom w:val="double" w:sz="4" w:space="0" w:color="auto"/>
            </w:tcBorders>
          </w:tcPr>
          <w:p w14:paraId="7674306C" w14:textId="1B448838" w:rsidR="00926358" w:rsidRPr="005259C2" w:rsidRDefault="00926358" w:rsidP="00B26D8E">
            <w:pPr>
              <w:spacing w:after="120"/>
              <w:jc w:val="center"/>
              <w:rPr>
                <w:i/>
                <w:iCs/>
                <w:sz w:val="20"/>
                <w:szCs w:val="20"/>
              </w:rPr>
            </w:pPr>
            <w:r w:rsidRPr="005259C2">
              <w:rPr>
                <w:i/>
                <w:iCs/>
                <w:sz w:val="20"/>
                <w:szCs w:val="20"/>
              </w:rPr>
              <w:t>2</w:t>
            </w:r>
            <w:r w:rsidRPr="005259C2">
              <w:rPr>
                <w:i/>
                <w:iCs/>
                <w:sz w:val="20"/>
                <w:szCs w:val="20"/>
                <w:vertAlign w:val="superscript"/>
              </w:rPr>
              <w:t>nd</w:t>
            </w:r>
            <w:r w:rsidRPr="005259C2">
              <w:rPr>
                <w:i/>
                <w:iCs/>
                <w:sz w:val="20"/>
                <w:szCs w:val="20"/>
              </w:rPr>
              <w:t xml:space="preserve"> minute</w:t>
            </w:r>
          </w:p>
        </w:tc>
        <w:tc>
          <w:tcPr>
            <w:tcW w:w="1290" w:type="dxa"/>
            <w:tcBorders>
              <w:top w:val="single" w:sz="18" w:space="0" w:color="auto"/>
              <w:bottom w:val="double" w:sz="4" w:space="0" w:color="auto"/>
            </w:tcBorders>
          </w:tcPr>
          <w:p w14:paraId="62729B77" w14:textId="33588072" w:rsidR="00926358" w:rsidRPr="005259C2" w:rsidRDefault="00926358" w:rsidP="00B26D8E">
            <w:pPr>
              <w:spacing w:after="120"/>
              <w:jc w:val="center"/>
              <w:rPr>
                <w:i/>
                <w:iCs/>
                <w:sz w:val="20"/>
                <w:szCs w:val="20"/>
              </w:rPr>
            </w:pPr>
            <w:r w:rsidRPr="005259C2">
              <w:rPr>
                <w:i/>
                <w:iCs/>
                <w:sz w:val="20"/>
                <w:szCs w:val="20"/>
              </w:rPr>
              <w:t>3</w:t>
            </w:r>
            <w:r w:rsidRPr="005259C2">
              <w:rPr>
                <w:i/>
                <w:iCs/>
                <w:sz w:val="20"/>
                <w:szCs w:val="20"/>
                <w:vertAlign w:val="superscript"/>
              </w:rPr>
              <w:t>rd</w:t>
            </w:r>
            <w:r w:rsidRPr="005259C2">
              <w:rPr>
                <w:i/>
                <w:iCs/>
                <w:sz w:val="20"/>
                <w:szCs w:val="20"/>
              </w:rPr>
              <w:t xml:space="preserve"> minute</w:t>
            </w:r>
          </w:p>
        </w:tc>
        <w:tc>
          <w:tcPr>
            <w:tcW w:w="1290" w:type="dxa"/>
            <w:tcBorders>
              <w:top w:val="single" w:sz="18" w:space="0" w:color="auto"/>
              <w:bottom w:val="double" w:sz="4" w:space="0" w:color="auto"/>
            </w:tcBorders>
          </w:tcPr>
          <w:p w14:paraId="61C3045D" w14:textId="7C0CF0EB" w:rsidR="00926358" w:rsidRPr="005259C2" w:rsidRDefault="00926358" w:rsidP="00B26D8E">
            <w:pPr>
              <w:spacing w:after="120"/>
              <w:jc w:val="center"/>
              <w:rPr>
                <w:i/>
                <w:iCs/>
                <w:sz w:val="20"/>
                <w:szCs w:val="20"/>
              </w:rPr>
            </w:pPr>
            <w:r w:rsidRPr="005259C2">
              <w:rPr>
                <w:i/>
                <w:iCs/>
                <w:sz w:val="20"/>
                <w:szCs w:val="20"/>
              </w:rPr>
              <w:t>1</w:t>
            </w:r>
            <w:r w:rsidRPr="005259C2">
              <w:rPr>
                <w:i/>
                <w:iCs/>
                <w:sz w:val="20"/>
                <w:szCs w:val="20"/>
                <w:vertAlign w:val="superscript"/>
              </w:rPr>
              <w:t>st</w:t>
            </w:r>
            <w:r w:rsidRPr="005259C2">
              <w:rPr>
                <w:i/>
                <w:iCs/>
                <w:sz w:val="20"/>
                <w:szCs w:val="20"/>
              </w:rPr>
              <w:t xml:space="preserve"> minute</w:t>
            </w:r>
          </w:p>
        </w:tc>
        <w:tc>
          <w:tcPr>
            <w:tcW w:w="1291" w:type="dxa"/>
            <w:tcBorders>
              <w:top w:val="single" w:sz="18" w:space="0" w:color="auto"/>
              <w:bottom w:val="double" w:sz="4" w:space="0" w:color="auto"/>
            </w:tcBorders>
          </w:tcPr>
          <w:p w14:paraId="118B3F5A" w14:textId="17834EED" w:rsidR="00926358" w:rsidRPr="005259C2" w:rsidRDefault="00926358" w:rsidP="00B26D8E">
            <w:pPr>
              <w:spacing w:after="120"/>
              <w:jc w:val="center"/>
              <w:rPr>
                <w:i/>
                <w:iCs/>
                <w:sz w:val="20"/>
                <w:szCs w:val="20"/>
              </w:rPr>
            </w:pPr>
            <w:r w:rsidRPr="005259C2">
              <w:rPr>
                <w:i/>
                <w:iCs/>
                <w:sz w:val="20"/>
                <w:szCs w:val="20"/>
              </w:rPr>
              <w:t>2</w:t>
            </w:r>
            <w:r w:rsidRPr="005259C2">
              <w:rPr>
                <w:i/>
                <w:iCs/>
                <w:sz w:val="20"/>
                <w:szCs w:val="20"/>
                <w:vertAlign w:val="superscript"/>
              </w:rPr>
              <w:t>nd</w:t>
            </w:r>
            <w:r w:rsidRPr="005259C2">
              <w:rPr>
                <w:i/>
                <w:iCs/>
                <w:sz w:val="20"/>
                <w:szCs w:val="20"/>
              </w:rPr>
              <w:t xml:space="preserve"> minute</w:t>
            </w:r>
          </w:p>
        </w:tc>
        <w:tc>
          <w:tcPr>
            <w:tcW w:w="1291" w:type="dxa"/>
            <w:tcBorders>
              <w:top w:val="single" w:sz="18" w:space="0" w:color="auto"/>
              <w:bottom w:val="double" w:sz="4" w:space="0" w:color="auto"/>
            </w:tcBorders>
          </w:tcPr>
          <w:p w14:paraId="260A11D3" w14:textId="23778EC6" w:rsidR="00926358" w:rsidRPr="005259C2" w:rsidRDefault="00926358" w:rsidP="00B26D8E">
            <w:pPr>
              <w:spacing w:after="120"/>
              <w:jc w:val="center"/>
              <w:rPr>
                <w:i/>
                <w:iCs/>
                <w:sz w:val="20"/>
                <w:szCs w:val="20"/>
              </w:rPr>
            </w:pPr>
            <w:r w:rsidRPr="005259C2">
              <w:rPr>
                <w:i/>
                <w:iCs/>
                <w:sz w:val="20"/>
                <w:szCs w:val="20"/>
              </w:rPr>
              <w:t>3</w:t>
            </w:r>
            <w:r w:rsidRPr="005259C2">
              <w:rPr>
                <w:i/>
                <w:iCs/>
                <w:sz w:val="20"/>
                <w:szCs w:val="20"/>
                <w:vertAlign w:val="superscript"/>
              </w:rPr>
              <w:t>rd</w:t>
            </w:r>
            <w:r w:rsidRPr="005259C2">
              <w:rPr>
                <w:i/>
                <w:iCs/>
                <w:sz w:val="20"/>
                <w:szCs w:val="20"/>
              </w:rPr>
              <w:t xml:space="preserve"> minute</w:t>
            </w:r>
          </w:p>
        </w:tc>
      </w:tr>
      <w:tr w:rsidR="00926358" w:rsidRPr="005259C2" w14:paraId="4B4E487E" w14:textId="77777777" w:rsidTr="00B26D8E">
        <w:tc>
          <w:tcPr>
            <w:tcW w:w="1284" w:type="dxa"/>
          </w:tcPr>
          <w:p w14:paraId="3A1B6D54" w14:textId="4567CFC8" w:rsidR="00926358" w:rsidRPr="005259C2" w:rsidRDefault="00926358" w:rsidP="00B26D8E">
            <w:pPr>
              <w:spacing w:after="120"/>
              <w:rPr>
                <w:b/>
                <w:bCs/>
                <w:sz w:val="20"/>
                <w:szCs w:val="20"/>
              </w:rPr>
            </w:pPr>
            <w:r w:rsidRPr="005259C2">
              <w:rPr>
                <w:b/>
                <w:bCs/>
                <w:sz w:val="20"/>
                <w:szCs w:val="20"/>
              </w:rPr>
              <w:t>CU</w:t>
            </w:r>
          </w:p>
        </w:tc>
        <w:tc>
          <w:tcPr>
            <w:tcW w:w="1290" w:type="dxa"/>
            <w:tcBorders>
              <w:top w:val="double" w:sz="4" w:space="0" w:color="auto"/>
            </w:tcBorders>
          </w:tcPr>
          <w:p w14:paraId="493DFCEB" w14:textId="4CA49811" w:rsidR="00926358" w:rsidRPr="005259C2" w:rsidRDefault="005259C2" w:rsidP="00B26D8E">
            <w:pPr>
              <w:spacing w:after="120"/>
              <w:jc w:val="center"/>
              <w:rPr>
                <w:sz w:val="20"/>
                <w:szCs w:val="20"/>
              </w:rPr>
            </w:pPr>
            <w:r w:rsidRPr="005259C2">
              <w:rPr>
                <w:sz w:val="20"/>
                <w:szCs w:val="20"/>
              </w:rPr>
              <w:t>2.8</w:t>
            </w:r>
            <w:r>
              <w:rPr>
                <w:sz w:val="20"/>
                <w:szCs w:val="20"/>
              </w:rPr>
              <w:t>4</w:t>
            </w:r>
            <w:r w:rsidRPr="005259C2">
              <w:rPr>
                <w:sz w:val="20"/>
                <w:szCs w:val="20"/>
              </w:rPr>
              <w:t xml:space="preserve"> (±</w:t>
            </w:r>
            <w:r>
              <w:rPr>
                <w:sz w:val="20"/>
                <w:szCs w:val="20"/>
              </w:rPr>
              <w:t xml:space="preserve"> </w:t>
            </w:r>
            <w:r w:rsidRPr="005259C2">
              <w:rPr>
                <w:sz w:val="20"/>
                <w:szCs w:val="20"/>
              </w:rPr>
              <w:t>1.72)</w:t>
            </w:r>
          </w:p>
        </w:tc>
        <w:tc>
          <w:tcPr>
            <w:tcW w:w="1290" w:type="dxa"/>
            <w:tcBorders>
              <w:top w:val="double" w:sz="4" w:space="0" w:color="auto"/>
            </w:tcBorders>
          </w:tcPr>
          <w:p w14:paraId="6A1C8F32" w14:textId="71380C20" w:rsidR="00926358" w:rsidRPr="005259C2" w:rsidRDefault="005259C2" w:rsidP="00B26D8E">
            <w:pPr>
              <w:spacing w:after="120"/>
              <w:jc w:val="center"/>
              <w:rPr>
                <w:sz w:val="20"/>
                <w:szCs w:val="20"/>
              </w:rPr>
            </w:pPr>
            <w:r>
              <w:rPr>
                <w:sz w:val="20"/>
                <w:szCs w:val="20"/>
              </w:rPr>
              <w:t>2.94 (</w:t>
            </w:r>
            <w:r w:rsidRPr="005259C2">
              <w:rPr>
                <w:sz w:val="20"/>
                <w:szCs w:val="20"/>
              </w:rPr>
              <w:t>±</w:t>
            </w:r>
            <w:r>
              <w:rPr>
                <w:sz w:val="20"/>
                <w:szCs w:val="20"/>
              </w:rPr>
              <w:t xml:space="preserve"> 1.84)</w:t>
            </w:r>
          </w:p>
        </w:tc>
        <w:tc>
          <w:tcPr>
            <w:tcW w:w="1290" w:type="dxa"/>
            <w:tcBorders>
              <w:top w:val="double" w:sz="4" w:space="0" w:color="auto"/>
            </w:tcBorders>
          </w:tcPr>
          <w:p w14:paraId="64AE6A79" w14:textId="52E0D03E" w:rsidR="00926358" w:rsidRPr="005259C2" w:rsidRDefault="00B26D8E" w:rsidP="00B26D8E">
            <w:pPr>
              <w:spacing w:after="120"/>
              <w:jc w:val="center"/>
              <w:rPr>
                <w:sz w:val="20"/>
                <w:szCs w:val="20"/>
              </w:rPr>
            </w:pPr>
            <w:r>
              <w:rPr>
                <w:sz w:val="20"/>
                <w:szCs w:val="20"/>
              </w:rPr>
              <w:t>2.57 (</w:t>
            </w:r>
            <w:r w:rsidRPr="005259C2">
              <w:rPr>
                <w:sz w:val="20"/>
                <w:szCs w:val="20"/>
              </w:rPr>
              <w:t>±</w:t>
            </w:r>
            <w:r>
              <w:rPr>
                <w:sz w:val="20"/>
                <w:szCs w:val="20"/>
              </w:rPr>
              <w:t xml:space="preserve"> 1.59)</w:t>
            </w:r>
          </w:p>
        </w:tc>
        <w:tc>
          <w:tcPr>
            <w:tcW w:w="1290" w:type="dxa"/>
            <w:tcBorders>
              <w:top w:val="double" w:sz="4" w:space="0" w:color="auto"/>
            </w:tcBorders>
          </w:tcPr>
          <w:p w14:paraId="123780B9" w14:textId="4CA16039" w:rsidR="00926358" w:rsidRPr="005259C2" w:rsidRDefault="005259C2" w:rsidP="00B26D8E">
            <w:pPr>
              <w:spacing w:after="120"/>
              <w:jc w:val="center"/>
              <w:rPr>
                <w:sz w:val="20"/>
                <w:szCs w:val="20"/>
              </w:rPr>
            </w:pPr>
            <w:r>
              <w:rPr>
                <w:sz w:val="20"/>
                <w:szCs w:val="20"/>
              </w:rPr>
              <w:t>2.11 (</w:t>
            </w:r>
            <w:r w:rsidRPr="005259C2">
              <w:rPr>
                <w:sz w:val="20"/>
                <w:szCs w:val="20"/>
              </w:rPr>
              <w:t>±</w:t>
            </w:r>
            <w:r>
              <w:rPr>
                <w:sz w:val="20"/>
                <w:szCs w:val="20"/>
              </w:rPr>
              <w:t xml:space="preserve"> 1.86)</w:t>
            </w:r>
          </w:p>
        </w:tc>
        <w:tc>
          <w:tcPr>
            <w:tcW w:w="1291" w:type="dxa"/>
            <w:tcBorders>
              <w:top w:val="double" w:sz="4" w:space="0" w:color="auto"/>
            </w:tcBorders>
          </w:tcPr>
          <w:p w14:paraId="7651E7BC" w14:textId="52BD151E" w:rsidR="00926358" w:rsidRPr="005259C2" w:rsidRDefault="00B26D8E" w:rsidP="00B26D8E">
            <w:pPr>
              <w:spacing w:after="120"/>
              <w:jc w:val="center"/>
              <w:rPr>
                <w:sz w:val="20"/>
                <w:szCs w:val="20"/>
              </w:rPr>
            </w:pPr>
            <w:r>
              <w:rPr>
                <w:sz w:val="20"/>
                <w:szCs w:val="20"/>
              </w:rPr>
              <w:t>2.19 (</w:t>
            </w:r>
            <w:r w:rsidRPr="005259C2">
              <w:rPr>
                <w:sz w:val="20"/>
                <w:szCs w:val="20"/>
              </w:rPr>
              <w:t>±</w:t>
            </w:r>
            <w:r>
              <w:rPr>
                <w:sz w:val="20"/>
                <w:szCs w:val="20"/>
              </w:rPr>
              <w:t xml:space="preserve"> 1.86)</w:t>
            </w:r>
          </w:p>
        </w:tc>
        <w:tc>
          <w:tcPr>
            <w:tcW w:w="1291" w:type="dxa"/>
            <w:tcBorders>
              <w:top w:val="double" w:sz="4" w:space="0" w:color="auto"/>
            </w:tcBorders>
          </w:tcPr>
          <w:p w14:paraId="3F340FC8" w14:textId="36ECF6EC" w:rsidR="00926358" w:rsidRPr="005259C2" w:rsidRDefault="00B26D8E" w:rsidP="00B26D8E">
            <w:pPr>
              <w:spacing w:after="120"/>
              <w:jc w:val="center"/>
              <w:rPr>
                <w:sz w:val="20"/>
                <w:szCs w:val="20"/>
              </w:rPr>
            </w:pPr>
            <w:r>
              <w:rPr>
                <w:sz w:val="20"/>
                <w:szCs w:val="20"/>
              </w:rPr>
              <w:t>1.89 (</w:t>
            </w:r>
            <w:r w:rsidRPr="005259C2">
              <w:rPr>
                <w:sz w:val="20"/>
                <w:szCs w:val="20"/>
              </w:rPr>
              <w:t>±</w:t>
            </w:r>
            <w:r>
              <w:rPr>
                <w:sz w:val="20"/>
                <w:szCs w:val="20"/>
              </w:rPr>
              <w:t xml:space="preserve"> 1.68)</w:t>
            </w:r>
          </w:p>
        </w:tc>
      </w:tr>
      <w:tr w:rsidR="00926358" w:rsidRPr="005259C2" w14:paraId="0A1F5CFE" w14:textId="77777777" w:rsidTr="00B26D8E">
        <w:tc>
          <w:tcPr>
            <w:tcW w:w="1284" w:type="dxa"/>
          </w:tcPr>
          <w:p w14:paraId="153FE5A3" w14:textId="25B6007C" w:rsidR="00926358" w:rsidRPr="005259C2" w:rsidRDefault="00926358" w:rsidP="00B26D8E">
            <w:pPr>
              <w:spacing w:after="120"/>
              <w:rPr>
                <w:b/>
                <w:bCs/>
                <w:sz w:val="20"/>
                <w:szCs w:val="20"/>
              </w:rPr>
            </w:pPr>
            <w:r w:rsidRPr="005259C2">
              <w:rPr>
                <w:b/>
                <w:bCs/>
                <w:sz w:val="20"/>
                <w:szCs w:val="20"/>
              </w:rPr>
              <w:t>aMCI</w:t>
            </w:r>
          </w:p>
        </w:tc>
        <w:tc>
          <w:tcPr>
            <w:tcW w:w="1290" w:type="dxa"/>
          </w:tcPr>
          <w:p w14:paraId="4F596C37" w14:textId="6FDCE58C" w:rsidR="00926358" w:rsidRPr="005259C2" w:rsidRDefault="005259C2" w:rsidP="00B26D8E">
            <w:pPr>
              <w:spacing w:after="120"/>
              <w:jc w:val="center"/>
              <w:rPr>
                <w:sz w:val="20"/>
                <w:szCs w:val="20"/>
              </w:rPr>
            </w:pPr>
            <w:r>
              <w:rPr>
                <w:sz w:val="20"/>
                <w:szCs w:val="20"/>
              </w:rPr>
              <w:t>2.90 (</w:t>
            </w:r>
            <w:r w:rsidRPr="005259C2">
              <w:rPr>
                <w:sz w:val="20"/>
                <w:szCs w:val="20"/>
              </w:rPr>
              <w:t>±</w:t>
            </w:r>
            <w:r>
              <w:rPr>
                <w:sz w:val="20"/>
                <w:szCs w:val="20"/>
              </w:rPr>
              <w:t xml:space="preserve"> 1.96)</w:t>
            </w:r>
          </w:p>
        </w:tc>
        <w:tc>
          <w:tcPr>
            <w:tcW w:w="1290" w:type="dxa"/>
          </w:tcPr>
          <w:p w14:paraId="34995731" w14:textId="3036099C" w:rsidR="00926358" w:rsidRPr="005259C2" w:rsidRDefault="005259C2" w:rsidP="00B26D8E">
            <w:pPr>
              <w:spacing w:after="120"/>
              <w:jc w:val="center"/>
              <w:rPr>
                <w:sz w:val="20"/>
                <w:szCs w:val="20"/>
              </w:rPr>
            </w:pPr>
            <w:r>
              <w:rPr>
                <w:sz w:val="20"/>
                <w:szCs w:val="20"/>
              </w:rPr>
              <w:t>2.86 (</w:t>
            </w:r>
            <w:r w:rsidRPr="005259C2">
              <w:rPr>
                <w:sz w:val="20"/>
                <w:szCs w:val="20"/>
              </w:rPr>
              <w:t>±</w:t>
            </w:r>
            <w:r>
              <w:rPr>
                <w:sz w:val="20"/>
                <w:szCs w:val="20"/>
              </w:rPr>
              <w:t xml:space="preserve"> 2.04)</w:t>
            </w:r>
          </w:p>
        </w:tc>
        <w:tc>
          <w:tcPr>
            <w:tcW w:w="1290" w:type="dxa"/>
          </w:tcPr>
          <w:p w14:paraId="79B2CB23" w14:textId="4DA48695" w:rsidR="00926358" w:rsidRPr="005259C2" w:rsidRDefault="00B26D8E" w:rsidP="00B26D8E">
            <w:pPr>
              <w:spacing w:after="120"/>
              <w:jc w:val="center"/>
              <w:rPr>
                <w:sz w:val="20"/>
                <w:szCs w:val="20"/>
              </w:rPr>
            </w:pPr>
            <w:r>
              <w:rPr>
                <w:sz w:val="20"/>
                <w:szCs w:val="20"/>
              </w:rPr>
              <w:t>2.96 (</w:t>
            </w:r>
            <w:r w:rsidRPr="005259C2">
              <w:rPr>
                <w:sz w:val="20"/>
                <w:szCs w:val="20"/>
              </w:rPr>
              <w:t>±</w:t>
            </w:r>
            <w:r>
              <w:rPr>
                <w:sz w:val="20"/>
                <w:szCs w:val="20"/>
              </w:rPr>
              <w:t xml:space="preserve"> 1.99)</w:t>
            </w:r>
          </w:p>
        </w:tc>
        <w:tc>
          <w:tcPr>
            <w:tcW w:w="1290" w:type="dxa"/>
          </w:tcPr>
          <w:p w14:paraId="5B2803D6" w14:textId="1E6F042B" w:rsidR="00926358" w:rsidRPr="005259C2" w:rsidRDefault="005259C2" w:rsidP="00B26D8E">
            <w:pPr>
              <w:spacing w:after="120"/>
              <w:jc w:val="center"/>
              <w:rPr>
                <w:sz w:val="20"/>
                <w:szCs w:val="20"/>
              </w:rPr>
            </w:pPr>
            <w:r>
              <w:rPr>
                <w:sz w:val="20"/>
                <w:szCs w:val="20"/>
              </w:rPr>
              <w:t>2.60 (</w:t>
            </w:r>
            <w:r w:rsidRPr="005259C2">
              <w:rPr>
                <w:sz w:val="20"/>
                <w:szCs w:val="20"/>
              </w:rPr>
              <w:t>±</w:t>
            </w:r>
            <w:r>
              <w:rPr>
                <w:sz w:val="20"/>
                <w:szCs w:val="20"/>
              </w:rPr>
              <w:t xml:space="preserve"> 3.54)</w:t>
            </w:r>
          </w:p>
        </w:tc>
        <w:tc>
          <w:tcPr>
            <w:tcW w:w="1291" w:type="dxa"/>
          </w:tcPr>
          <w:p w14:paraId="292807FA" w14:textId="729E331D" w:rsidR="00926358" w:rsidRPr="005259C2" w:rsidRDefault="00B26D8E" w:rsidP="00B26D8E">
            <w:pPr>
              <w:spacing w:after="120"/>
              <w:jc w:val="center"/>
              <w:rPr>
                <w:sz w:val="20"/>
                <w:szCs w:val="20"/>
              </w:rPr>
            </w:pPr>
            <w:r>
              <w:rPr>
                <w:sz w:val="20"/>
                <w:szCs w:val="20"/>
              </w:rPr>
              <w:t>2.33 (</w:t>
            </w:r>
            <w:r w:rsidRPr="005259C2">
              <w:rPr>
                <w:sz w:val="20"/>
                <w:szCs w:val="20"/>
              </w:rPr>
              <w:t>±</w:t>
            </w:r>
            <w:r>
              <w:rPr>
                <w:sz w:val="20"/>
                <w:szCs w:val="20"/>
              </w:rPr>
              <w:t xml:space="preserve"> 2.20)</w:t>
            </w:r>
          </w:p>
        </w:tc>
        <w:tc>
          <w:tcPr>
            <w:tcW w:w="1291" w:type="dxa"/>
          </w:tcPr>
          <w:p w14:paraId="7FC6D67C" w14:textId="6AACA6B0" w:rsidR="00926358" w:rsidRPr="005259C2" w:rsidRDefault="00B26D8E" w:rsidP="00B26D8E">
            <w:pPr>
              <w:spacing w:after="120"/>
              <w:jc w:val="center"/>
              <w:rPr>
                <w:sz w:val="20"/>
                <w:szCs w:val="20"/>
              </w:rPr>
            </w:pPr>
            <w:r>
              <w:rPr>
                <w:sz w:val="20"/>
                <w:szCs w:val="20"/>
              </w:rPr>
              <w:t>2.57 (</w:t>
            </w:r>
            <w:r w:rsidRPr="005259C2">
              <w:rPr>
                <w:sz w:val="20"/>
                <w:szCs w:val="20"/>
              </w:rPr>
              <w:t>±</w:t>
            </w:r>
            <w:r>
              <w:rPr>
                <w:sz w:val="20"/>
                <w:szCs w:val="20"/>
              </w:rPr>
              <w:t xml:space="preserve"> 2.74)</w:t>
            </w:r>
          </w:p>
        </w:tc>
      </w:tr>
      <w:tr w:rsidR="00B26D8E" w:rsidRPr="005259C2" w14:paraId="7A997C6C" w14:textId="77777777" w:rsidTr="001D3D68">
        <w:tc>
          <w:tcPr>
            <w:tcW w:w="9026" w:type="dxa"/>
            <w:gridSpan w:val="7"/>
          </w:tcPr>
          <w:p w14:paraId="4DFCE993" w14:textId="62BFF7D2" w:rsidR="00B26D8E" w:rsidRPr="00B26D8E" w:rsidRDefault="00B26D8E" w:rsidP="00B26D8E">
            <w:pPr>
              <w:spacing w:after="120"/>
              <w:rPr>
                <w:sz w:val="18"/>
                <w:szCs w:val="18"/>
              </w:rPr>
            </w:pPr>
            <w:r>
              <w:rPr>
                <w:sz w:val="18"/>
                <w:szCs w:val="18"/>
              </w:rPr>
              <w:t>Note that the number of 2</w:t>
            </w:r>
            <w:r w:rsidR="008D56FB">
              <w:rPr>
                <w:sz w:val="18"/>
                <w:szCs w:val="18"/>
              </w:rPr>
              <w:t>-</w:t>
            </w:r>
            <w:r>
              <w:rPr>
                <w:sz w:val="18"/>
                <w:szCs w:val="18"/>
              </w:rPr>
              <w:t xml:space="preserve">second segments used for the estimation of normalized alpha current source density </w:t>
            </w:r>
            <w:r w:rsidR="008D56FB">
              <w:rPr>
                <w:sz w:val="18"/>
                <w:szCs w:val="18"/>
              </w:rPr>
              <w:t xml:space="preserve">at each minute within the resting state period </w:t>
            </w:r>
            <w:r>
              <w:rPr>
                <w:sz w:val="18"/>
                <w:szCs w:val="18"/>
              </w:rPr>
              <w:t xml:space="preserve">is low. Hence, caution is required to interpret </w:t>
            </w:r>
            <w:r w:rsidR="008D56FB">
              <w:rPr>
                <w:sz w:val="18"/>
                <w:szCs w:val="18"/>
              </w:rPr>
              <w:t>values of these estimations since they may not be robust or reliable enough.</w:t>
            </w:r>
          </w:p>
        </w:tc>
      </w:tr>
    </w:tbl>
    <w:p w14:paraId="246E5868" w14:textId="77777777" w:rsidR="005259C2" w:rsidRPr="005259C2" w:rsidRDefault="005259C2" w:rsidP="005259C2">
      <w:pPr>
        <w:autoSpaceDE w:val="0"/>
        <w:autoSpaceDN w:val="0"/>
        <w:adjustRightInd w:val="0"/>
        <w:spacing w:before="0" w:after="0"/>
        <w:rPr>
          <w:rFonts w:cs="Times New Roman"/>
          <w:szCs w:val="24"/>
          <w:lang w:val="gl-ES"/>
        </w:rPr>
      </w:pPr>
    </w:p>
    <w:sectPr w:rsidR="005259C2" w:rsidRPr="005259C2" w:rsidSect="00B938E6">
      <w:headerReference w:type="even" r:id="rId8"/>
      <w:footerReference w:type="even" r:id="rId9"/>
      <w:footerReference w:type="default" r:id="rId10"/>
      <w:headerReference w:type="first" r:id="rId11"/>
      <w:pgSz w:w="11906" w:h="16838"/>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EF84B" w14:textId="77777777" w:rsidR="00DD1FBD" w:rsidRDefault="00DD1FBD" w:rsidP="00117666">
      <w:pPr>
        <w:spacing w:after="0"/>
      </w:pPr>
      <w:r>
        <w:separator/>
      </w:r>
    </w:p>
  </w:endnote>
  <w:endnote w:type="continuationSeparator" w:id="0">
    <w:p w14:paraId="55E3A8CA" w14:textId="77777777" w:rsidR="00DD1FBD" w:rsidRDefault="00DD1FB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9E3A5" w14:textId="77777777" w:rsidR="00DD1FBD" w:rsidRDefault="00DD1FBD" w:rsidP="00117666">
      <w:pPr>
        <w:spacing w:after="0"/>
      </w:pPr>
      <w:r>
        <w:separator/>
      </w:r>
    </w:p>
  </w:footnote>
  <w:footnote w:type="continuationSeparator" w:id="0">
    <w:p w14:paraId="66B23DB6" w14:textId="77777777" w:rsidR="00DD1FBD" w:rsidRDefault="00DD1FB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1702" w:firstLine="0"/>
      </w:pPr>
      <w:rPr>
        <w:rFonts w:hint="default"/>
        <w:b/>
        <w:lang w:val="en-GB"/>
      </w:rPr>
    </w:lvl>
    <w:lvl w:ilvl="1">
      <w:start w:val="1"/>
      <w:numFmt w:val="decimal"/>
      <w:lvlText w:val="%1.%2."/>
      <w:lvlJc w:val="left"/>
      <w:pPr>
        <w:ind w:left="1702" w:firstLine="0"/>
      </w:pPr>
      <w:rPr>
        <w:rFonts w:hint="default"/>
      </w:rPr>
    </w:lvl>
    <w:lvl w:ilvl="2">
      <w:start w:val="1"/>
      <w:numFmt w:val="decimal"/>
      <w:lvlText w:val="%1.%2.%3."/>
      <w:lvlJc w:val="left"/>
      <w:pPr>
        <w:ind w:left="1702" w:firstLine="0"/>
      </w:pPr>
      <w:rPr>
        <w:rFonts w:hint="default"/>
      </w:rPr>
    </w:lvl>
    <w:lvl w:ilvl="3">
      <w:start w:val="1"/>
      <w:numFmt w:val="decimal"/>
      <w:lvlText w:val="%1.%2.%3.%4."/>
      <w:lvlJc w:val="left"/>
      <w:pPr>
        <w:ind w:left="1702" w:firstLine="0"/>
      </w:pPr>
      <w:rPr>
        <w:rFonts w:ascii="Times New Roman" w:hAnsi="Times New Roman" w:hint="default"/>
        <w:b/>
        <w:i w:val="0"/>
        <w:sz w:val="24"/>
      </w:rPr>
    </w:lvl>
    <w:lvl w:ilvl="4">
      <w:start w:val="1"/>
      <w:numFmt w:val="decimal"/>
      <w:lvlText w:val="%1.%2.%3.%4.%5."/>
      <w:lvlJc w:val="left"/>
      <w:pPr>
        <w:ind w:left="3934" w:hanging="792"/>
      </w:pPr>
      <w:rPr>
        <w:rFonts w:hint="default"/>
      </w:rPr>
    </w:lvl>
    <w:lvl w:ilvl="5">
      <w:start w:val="1"/>
      <w:numFmt w:val="decimal"/>
      <w:lvlText w:val="%1.%2.%3.%4.%5.%6."/>
      <w:lvlJc w:val="left"/>
      <w:pPr>
        <w:ind w:left="4438" w:hanging="936"/>
      </w:pPr>
      <w:rPr>
        <w:rFonts w:hint="default"/>
      </w:rPr>
    </w:lvl>
    <w:lvl w:ilvl="6">
      <w:start w:val="1"/>
      <w:numFmt w:val="decimal"/>
      <w:lvlText w:val="%1.%2.%3.%4.%5.%6.%7."/>
      <w:lvlJc w:val="left"/>
      <w:pPr>
        <w:ind w:left="4942" w:hanging="1080"/>
      </w:pPr>
      <w:rPr>
        <w:rFonts w:hint="default"/>
      </w:rPr>
    </w:lvl>
    <w:lvl w:ilvl="7">
      <w:start w:val="1"/>
      <w:numFmt w:val="decimal"/>
      <w:lvlText w:val="%1.%2.%3.%4.%5.%6.%7.%8."/>
      <w:lvlJc w:val="left"/>
      <w:pPr>
        <w:ind w:left="5446" w:hanging="1224"/>
      </w:pPr>
      <w:rPr>
        <w:rFonts w:hint="default"/>
      </w:rPr>
    </w:lvl>
    <w:lvl w:ilvl="8">
      <w:start w:val="1"/>
      <w:numFmt w:val="decimal"/>
      <w:lvlText w:val="%1.%2.%3.%4.%5.%6.%7.%8.%9."/>
      <w:lvlJc w:val="left"/>
      <w:pPr>
        <w:ind w:left="6022"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6138A"/>
    <w:rsid w:val="003D2F2D"/>
    <w:rsid w:val="00401590"/>
    <w:rsid w:val="00447801"/>
    <w:rsid w:val="00452E9C"/>
    <w:rsid w:val="004735C8"/>
    <w:rsid w:val="004947A6"/>
    <w:rsid w:val="004961FF"/>
    <w:rsid w:val="00517A89"/>
    <w:rsid w:val="005250F2"/>
    <w:rsid w:val="005259C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8D56FB"/>
    <w:rsid w:val="009151AA"/>
    <w:rsid w:val="00926358"/>
    <w:rsid w:val="0093429D"/>
    <w:rsid w:val="00943573"/>
    <w:rsid w:val="00964134"/>
    <w:rsid w:val="00970F7D"/>
    <w:rsid w:val="00994A3D"/>
    <w:rsid w:val="009B2B1E"/>
    <w:rsid w:val="009C2B12"/>
    <w:rsid w:val="00A174D9"/>
    <w:rsid w:val="00AA3967"/>
    <w:rsid w:val="00AA4D24"/>
    <w:rsid w:val="00AB6715"/>
    <w:rsid w:val="00AE619D"/>
    <w:rsid w:val="00B1671E"/>
    <w:rsid w:val="00B25EB8"/>
    <w:rsid w:val="00B26D8E"/>
    <w:rsid w:val="00B37F4D"/>
    <w:rsid w:val="00BC2F48"/>
    <w:rsid w:val="00C44BF0"/>
    <w:rsid w:val="00C52A7B"/>
    <w:rsid w:val="00C56BAF"/>
    <w:rsid w:val="00C679AA"/>
    <w:rsid w:val="00C75972"/>
    <w:rsid w:val="00CD066B"/>
    <w:rsid w:val="00CE4FEE"/>
    <w:rsid w:val="00D060CF"/>
    <w:rsid w:val="00DA4B8A"/>
    <w:rsid w:val="00DB59C3"/>
    <w:rsid w:val="00DC259A"/>
    <w:rsid w:val="00DD1FBD"/>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63F4D59-6101-5345-BEF7-670E6C7F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0</TotalTime>
  <Pages>1</Pages>
  <Words>297</Words>
  <Characters>1697</Characters>
  <Application>Microsoft Office Word</Application>
  <DocSecurity>0</DocSecurity>
  <Lines>14</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FERNANDEZ RODRIGUEZ ALBA</cp:lastModifiedBy>
  <cp:revision>2</cp:revision>
  <cp:lastPrinted>2013-10-03T12:51:00Z</cp:lastPrinted>
  <dcterms:created xsi:type="dcterms:W3CDTF">2022-06-25T17:31:00Z</dcterms:created>
  <dcterms:modified xsi:type="dcterms:W3CDTF">2022-06-25T17:31:00Z</dcterms:modified>
</cp:coreProperties>
</file>