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A4E8" w14:textId="77777777" w:rsidR="009A4BA7" w:rsidRPr="0055381E" w:rsidRDefault="009A4BA7" w:rsidP="009A4BA7">
      <w:pPr>
        <w:spacing w:line="480" w:lineRule="auto"/>
        <w:rPr>
          <w:b/>
          <w:bCs/>
        </w:rPr>
      </w:pPr>
      <w:r w:rsidRPr="0055381E">
        <w:rPr>
          <w:rFonts w:ascii="Times New Roman" w:hAnsi="Times New Roman" w:cs="Times New Roman"/>
          <w:b/>
          <w:bCs/>
          <w:sz w:val="24"/>
        </w:rPr>
        <w:t xml:space="preserve">Additional analysis between the </w:t>
      </w:r>
      <w:proofErr w:type="spellStart"/>
      <w:r w:rsidRPr="0055381E">
        <w:rPr>
          <w:rFonts w:ascii="Times New Roman" w:hAnsi="Times New Roman" w:cs="Times New Roman"/>
          <w:b/>
          <w:bCs/>
          <w:sz w:val="24"/>
        </w:rPr>
        <w:t>IAcc</w:t>
      </w:r>
      <w:proofErr w:type="spellEnd"/>
      <w:r w:rsidRPr="0055381E">
        <w:rPr>
          <w:rFonts w:ascii="Times New Roman" w:hAnsi="Times New Roman" w:cs="Times New Roman"/>
          <w:b/>
          <w:bCs/>
          <w:sz w:val="24"/>
        </w:rPr>
        <w:t xml:space="preserve"> and the CV of the synchronization error</w:t>
      </w:r>
    </w:p>
    <w:p w14:paraId="6BCA17D1" w14:textId="77777777" w:rsidR="009A4BA7" w:rsidRPr="0055381E" w:rsidRDefault="009A4BA7" w:rsidP="009A4BA7">
      <w:pPr>
        <w:spacing w:line="480" w:lineRule="auto"/>
        <w:ind w:firstLineChars="100" w:firstLine="240"/>
        <w:rPr>
          <w:rFonts w:ascii="Times New Roman" w:hAnsi="Times New Roman" w:cs="Times New Roman"/>
          <w:sz w:val="24"/>
        </w:rPr>
      </w:pPr>
      <w:r w:rsidRPr="0055381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5381E">
        <w:rPr>
          <w:rFonts w:ascii="Times New Roman" w:hAnsi="Times New Roman" w:cs="Times New Roman"/>
          <w:sz w:val="24"/>
        </w:rPr>
        <w:t>IAcc</w:t>
      </w:r>
      <w:proofErr w:type="spellEnd"/>
      <w:r w:rsidRPr="0055381E">
        <w:rPr>
          <w:rFonts w:ascii="Times New Roman" w:hAnsi="Times New Roman" w:cs="Times New Roman"/>
          <w:sz w:val="24"/>
        </w:rPr>
        <w:t xml:space="preserve"> in the heartbeat counting task was </w:t>
      </w:r>
      <w:r w:rsidRPr="0055381E">
        <w:rPr>
          <w:rFonts w:ascii="Times New Roman" w:eastAsia="Yu Mincho" w:hAnsi="Times New Roman" w:cs="Times New Roman"/>
          <w:sz w:val="24"/>
        </w:rPr>
        <w:t xml:space="preserve">positively </w:t>
      </w:r>
      <w:r w:rsidRPr="0055381E">
        <w:rPr>
          <w:rFonts w:ascii="Times New Roman" w:hAnsi="Times New Roman" w:cs="Times New Roman"/>
          <w:sz w:val="24"/>
        </w:rPr>
        <w:t>correlated with</w:t>
      </w:r>
      <w:r w:rsidRPr="0055381E">
        <w:rPr>
          <w:rFonts w:ascii="Times New Roman" w:eastAsia="Yu Mincho" w:hAnsi="Times New Roman" w:cs="Times New Roman"/>
          <w:sz w:val="24"/>
        </w:rPr>
        <w:t xml:space="preserve"> the</w:t>
      </w:r>
      <w:r w:rsidRPr="0055381E">
        <w:rPr>
          <w:rFonts w:ascii="Times New Roman" w:hAnsi="Times New Roman" w:cs="Times New Roman"/>
          <w:sz w:val="24"/>
        </w:rPr>
        <w:t xml:space="preserve"> CV of the synchronization error in the synchronization tapping task at only </w:t>
      </w:r>
      <w:r w:rsidRPr="0055381E">
        <w:rPr>
          <w:rFonts w:ascii="Times New Roman" w:eastAsia="Yu Mincho" w:hAnsi="Times New Roman" w:cs="Times New Roman"/>
          <w:sz w:val="24"/>
        </w:rPr>
        <w:t xml:space="preserve">1500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hAnsi="Times New Roman" w:cs="Times New Roman"/>
          <w:sz w:val="24"/>
        </w:rPr>
        <w:t xml:space="preserve"> of</w:t>
      </w:r>
      <w:r w:rsidRPr="0055381E">
        <w:rPr>
          <w:rFonts w:ascii="Times New Roman" w:eastAsia="Yu Mincho" w:hAnsi="Times New Roman" w:cs="Times New Roman"/>
          <w:sz w:val="24"/>
        </w:rPr>
        <w:t xml:space="preserve"> the</w:t>
      </w:r>
      <w:r w:rsidRPr="0055381E">
        <w:rPr>
          <w:rFonts w:ascii="Times New Roman" w:hAnsi="Times New Roman" w:cs="Times New Roman"/>
          <w:sz w:val="24"/>
        </w:rPr>
        <w:t xml:space="preserve"> </w:t>
      </w:r>
      <w:r w:rsidRPr="0055381E">
        <w:rPr>
          <w:rFonts w:ascii="Times New Roman" w:eastAsia="Yu Mincho" w:hAnsi="Times New Roman" w:cs="Times New Roman"/>
          <w:sz w:val="24"/>
        </w:rPr>
        <w:t>IOI condition</w:t>
      </w:r>
      <w:r w:rsidRPr="0055381E">
        <w:rPr>
          <w:rFonts w:ascii="Times New Roman" w:hAnsi="Times New Roman" w:cs="Times New Roman"/>
          <w:sz w:val="24"/>
        </w:rPr>
        <w:t xml:space="preserve"> (r (30) = 0.52, </w:t>
      </w:r>
      <w:r w:rsidRPr="0055381E">
        <w:rPr>
          <w:rFonts w:ascii="Times New Roman" w:hAnsi="Times New Roman" w:cs="Times New Roman"/>
          <w:i/>
          <w:iCs/>
          <w:sz w:val="24"/>
        </w:rPr>
        <w:t>p</w:t>
      </w:r>
      <w:r w:rsidRPr="0055381E">
        <w:rPr>
          <w:rFonts w:ascii="Times New Roman" w:hAnsi="Times New Roman" w:cs="Times New Roman"/>
          <w:sz w:val="24"/>
        </w:rPr>
        <w:t xml:space="preserve"> &lt;.05)</w:t>
      </w:r>
      <w:r w:rsidRPr="0055381E">
        <w:rPr>
          <w:rFonts w:ascii="Times New Roman" w:hAnsi="Times New Roman" w:cs="Times New Roman" w:hint="eastAsia"/>
          <w:sz w:val="24"/>
        </w:rPr>
        <w:t xml:space="preserve"> </w:t>
      </w:r>
      <w:r w:rsidRPr="0055381E">
        <w:rPr>
          <w:rFonts w:ascii="Times New Roman" w:hAnsi="Times New Roman" w:cs="Times New Roman"/>
          <w:sz w:val="24"/>
        </w:rPr>
        <w:t xml:space="preserve">but not at </w:t>
      </w:r>
      <w:r w:rsidRPr="0055381E">
        <w:rPr>
          <w:rFonts w:ascii="Times New Roman" w:eastAsia="Yu Mincho" w:hAnsi="Times New Roman" w:cs="Times New Roman"/>
          <w:sz w:val="24"/>
        </w:rPr>
        <w:t xml:space="preserve">462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eastAsia="Yu Mincho" w:hAnsi="Times New Roman" w:cs="Times New Roman"/>
          <w:sz w:val="24"/>
        </w:rPr>
        <w:t xml:space="preserve">, 600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eastAsia="Yu Mincho" w:hAnsi="Times New Roman" w:cs="Times New Roman"/>
          <w:sz w:val="24"/>
        </w:rPr>
        <w:t xml:space="preserve">, 857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eastAsia="Yu Mincho" w:hAnsi="Times New Roman" w:cs="Times New Roman"/>
          <w:sz w:val="24"/>
        </w:rPr>
        <w:t xml:space="preserve">, 1000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eastAsia="Yu Mincho" w:hAnsi="Times New Roman" w:cs="Times New Roman"/>
          <w:sz w:val="24"/>
        </w:rPr>
        <w:t xml:space="preserve">, or 1200 </w:t>
      </w:r>
      <w:proofErr w:type="spellStart"/>
      <w:r w:rsidRPr="0055381E">
        <w:rPr>
          <w:rFonts w:ascii="Times New Roman" w:eastAsia="Yu Mincho" w:hAnsi="Times New Roman" w:cs="Times New Roman"/>
          <w:sz w:val="24"/>
        </w:rPr>
        <w:t>ms</w:t>
      </w:r>
      <w:proofErr w:type="spellEnd"/>
      <w:r w:rsidRPr="0055381E">
        <w:rPr>
          <w:rFonts w:ascii="Times New Roman" w:eastAsia="Yu Mincho" w:hAnsi="Times New Roman" w:cs="Times New Roman"/>
          <w:sz w:val="24"/>
        </w:rPr>
        <w:t xml:space="preserve"> (r (30) = 0.15, </w:t>
      </w:r>
      <w:r w:rsidRPr="0055381E">
        <w:rPr>
          <w:rFonts w:ascii="Times New Roman" w:eastAsia="Yu Mincho" w:hAnsi="Times New Roman" w:cs="Times New Roman"/>
          <w:i/>
          <w:iCs/>
          <w:sz w:val="24"/>
        </w:rPr>
        <w:t>p</w:t>
      </w:r>
      <w:r w:rsidRPr="0055381E">
        <w:rPr>
          <w:rFonts w:ascii="Times New Roman" w:eastAsia="Yu Mincho" w:hAnsi="Times New Roman" w:cs="Times New Roman"/>
          <w:sz w:val="24"/>
        </w:rPr>
        <w:t xml:space="preserve"> = 1.00, r (30) = 0.10, </w:t>
      </w:r>
      <w:r w:rsidRPr="0055381E">
        <w:rPr>
          <w:rFonts w:ascii="Times New Roman" w:eastAsia="Yu Mincho" w:hAnsi="Times New Roman" w:cs="Times New Roman"/>
          <w:i/>
          <w:iCs/>
          <w:sz w:val="24"/>
        </w:rPr>
        <w:t>p</w:t>
      </w:r>
      <w:r w:rsidRPr="0055381E">
        <w:rPr>
          <w:rFonts w:ascii="Times New Roman" w:eastAsia="Yu Mincho" w:hAnsi="Times New Roman" w:cs="Times New Roman"/>
          <w:sz w:val="24"/>
        </w:rPr>
        <w:t xml:space="preserve"> = 1.00, r (30) = 0.24, </w:t>
      </w:r>
      <w:r w:rsidRPr="0055381E">
        <w:rPr>
          <w:rFonts w:ascii="Times New Roman" w:eastAsia="Yu Mincho" w:hAnsi="Times New Roman" w:cs="Times New Roman"/>
          <w:i/>
          <w:iCs/>
          <w:sz w:val="24"/>
        </w:rPr>
        <w:t>p</w:t>
      </w:r>
      <w:r w:rsidRPr="0055381E">
        <w:rPr>
          <w:rFonts w:ascii="Times New Roman" w:eastAsia="Yu Mincho" w:hAnsi="Times New Roman" w:cs="Times New Roman"/>
          <w:sz w:val="24"/>
        </w:rPr>
        <w:t xml:space="preserve"> = 1.00, (r (30) = 0.35, </w:t>
      </w:r>
      <w:r w:rsidRPr="0055381E">
        <w:rPr>
          <w:rFonts w:ascii="Times New Roman" w:eastAsia="Yu Mincho" w:hAnsi="Times New Roman" w:cs="Times New Roman"/>
          <w:i/>
          <w:iCs/>
          <w:sz w:val="24"/>
        </w:rPr>
        <w:t>p</w:t>
      </w:r>
      <w:r w:rsidRPr="0055381E">
        <w:rPr>
          <w:rFonts w:ascii="Times New Roman" w:eastAsia="Yu Mincho" w:hAnsi="Times New Roman" w:cs="Times New Roman"/>
          <w:sz w:val="24"/>
        </w:rPr>
        <w:t xml:space="preserve"> =.30).</w:t>
      </w:r>
    </w:p>
    <w:p w14:paraId="4300AE54" w14:textId="77777777" w:rsidR="009A4BA7" w:rsidRPr="0055381E" w:rsidRDefault="009A4BA7" w:rsidP="009A4BA7">
      <w:pPr>
        <w:spacing w:line="480" w:lineRule="auto"/>
        <w:jc w:val="left"/>
      </w:pPr>
    </w:p>
    <w:p w14:paraId="0C2C9AAB" w14:textId="77777777" w:rsidR="009A4BA7" w:rsidRPr="0055381E" w:rsidRDefault="009A4BA7" w:rsidP="009A4BA7">
      <w:pPr>
        <w:spacing w:line="480" w:lineRule="auto"/>
        <w:jc w:val="left"/>
      </w:pPr>
    </w:p>
    <w:p w14:paraId="263656E8" w14:textId="77777777" w:rsidR="009A4BA7" w:rsidRPr="0055381E" w:rsidRDefault="009A4BA7" w:rsidP="009A4BA7">
      <w:pPr>
        <w:spacing w:line="480" w:lineRule="auto"/>
        <w:jc w:val="left"/>
      </w:pPr>
      <w:r w:rsidRPr="0055381E">
        <w:rPr>
          <w:rFonts w:hint="eastAsia"/>
        </w:rPr>
        <w:t>T</w:t>
      </w:r>
      <w:r w:rsidRPr="0055381E">
        <w:t xml:space="preserve">able. S1. Descriptive statistics of </w:t>
      </w:r>
      <w:proofErr w:type="spellStart"/>
      <w:r w:rsidRPr="0055381E">
        <w:t>IAcc</w:t>
      </w:r>
      <w:proofErr w:type="spellEnd"/>
      <w:r w:rsidRPr="0055381E">
        <w:t xml:space="preserve"> and CV of the </w:t>
      </w:r>
      <w:r w:rsidRPr="0055381E">
        <w:rPr>
          <w:rFonts w:ascii="Yu Mincho" w:eastAsia="Yu Mincho" w:hAnsi="Yu Mincho" w:cs="Times New Roman"/>
        </w:rPr>
        <w:t>synchronization</w:t>
      </w:r>
      <w:r w:rsidRPr="0055381E">
        <w:t xml:space="preserve"> tapping task.</w:t>
      </w:r>
    </w:p>
    <w:p w14:paraId="0DB0D262" w14:textId="77777777" w:rsidR="009A4BA7" w:rsidRPr="0055381E" w:rsidRDefault="009A4BA7" w:rsidP="009A4BA7">
      <w:pPr>
        <w:spacing w:line="480" w:lineRule="auto"/>
        <w:jc w:val="left"/>
      </w:pPr>
      <w:r w:rsidRPr="0055381E">
        <w:rPr>
          <w:noProof/>
        </w:rPr>
        <w:drawing>
          <wp:inline distT="0" distB="0" distL="0" distR="0" wp14:anchorId="3590BF31" wp14:editId="0D0390F9">
            <wp:extent cx="5400040" cy="921385"/>
            <wp:effectExtent l="0" t="0" r="0" b="5715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B3BF" w14:textId="77777777" w:rsidR="009A4BA7" w:rsidRPr="0055381E" w:rsidRDefault="009A4BA7" w:rsidP="009A4BA7">
      <w:pPr>
        <w:spacing w:line="480" w:lineRule="auto"/>
        <w:jc w:val="left"/>
      </w:pPr>
    </w:p>
    <w:p w14:paraId="7E937E6D" w14:textId="77777777" w:rsidR="009A4BA7" w:rsidRPr="0055381E" w:rsidRDefault="009A4BA7" w:rsidP="009A4BA7">
      <w:pPr>
        <w:spacing w:line="480" w:lineRule="auto"/>
        <w:jc w:val="left"/>
      </w:pPr>
    </w:p>
    <w:p w14:paraId="7B6605D8" w14:textId="77777777" w:rsidR="009A4BA7" w:rsidRPr="0055381E" w:rsidRDefault="009A4BA7" w:rsidP="009A4BA7">
      <w:pPr>
        <w:spacing w:line="480" w:lineRule="auto"/>
        <w:jc w:val="left"/>
      </w:pPr>
      <w:r w:rsidRPr="0055381E">
        <w:rPr>
          <w:rFonts w:hint="eastAsia"/>
        </w:rPr>
        <w:t>T</w:t>
      </w:r>
      <w:r w:rsidRPr="0055381E">
        <w:t>able. S2. Frequency domain analyses for</w:t>
      </w:r>
      <w:r w:rsidRPr="0055381E">
        <w:rPr>
          <w:rFonts w:ascii="Yu Mincho" w:eastAsia="Yu Mincho" w:hAnsi="Yu Mincho" w:cs="Times New Roman"/>
        </w:rPr>
        <w:t xml:space="preserve"> heart rate</w:t>
      </w:r>
      <w:r w:rsidRPr="0055381E">
        <w:t xml:space="preserve"> variability</w:t>
      </w:r>
    </w:p>
    <w:p w14:paraId="13FB1F31" w14:textId="77777777" w:rsidR="009A4BA7" w:rsidRPr="0055381E" w:rsidRDefault="009A4BA7" w:rsidP="009A4BA7">
      <w:pPr>
        <w:spacing w:line="480" w:lineRule="auto"/>
        <w:jc w:val="left"/>
      </w:pPr>
      <w:r w:rsidRPr="0055381E">
        <w:rPr>
          <w:rFonts w:hint="eastAsia"/>
          <w:noProof/>
        </w:rPr>
        <w:drawing>
          <wp:inline distT="0" distB="0" distL="0" distR="0" wp14:anchorId="5CDD4F96" wp14:editId="31431100">
            <wp:extent cx="5400040" cy="1029970"/>
            <wp:effectExtent l="0" t="0" r="0" b="0"/>
            <wp:docPr id="4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ーブル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47AF" w14:textId="77777777" w:rsidR="009A4BA7" w:rsidRPr="0055381E" w:rsidRDefault="009A4BA7" w:rsidP="009A4BA7">
      <w:pPr>
        <w:spacing w:line="480" w:lineRule="auto"/>
      </w:pPr>
    </w:p>
    <w:p w14:paraId="2112D6D9" w14:textId="77777777" w:rsidR="009A4BA7" w:rsidRPr="0055381E" w:rsidRDefault="009A4BA7" w:rsidP="009A4BA7">
      <w:pPr>
        <w:spacing w:line="480" w:lineRule="auto"/>
      </w:pPr>
    </w:p>
    <w:p w14:paraId="6AC9073D" w14:textId="77777777" w:rsidR="009A4BA7" w:rsidRPr="0055381E" w:rsidRDefault="009A4BA7" w:rsidP="009A4BA7">
      <w:pPr>
        <w:spacing w:line="480" w:lineRule="auto"/>
      </w:pPr>
      <w:r w:rsidRPr="0055381E">
        <w:rPr>
          <w:noProof/>
        </w:rPr>
        <w:drawing>
          <wp:inline distT="0" distB="0" distL="0" distR="0" wp14:anchorId="74EFE8DD" wp14:editId="32C56B82">
            <wp:extent cx="5400040" cy="2785110"/>
            <wp:effectExtent l="0" t="0" r="0" b="0"/>
            <wp:docPr id="3" name="図 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テキスト, 手紙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A925" w14:textId="77777777" w:rsidR="009A4BA7" w:rsidRPr="0055381E" w:rsidRDefault="009A4BA7" w:rsidP="009A4BA7">
      <w:pPr>
        <w:spacing w:line="480" w:lineRule="auto"/>
        <w:jc w:val="center"/>
      </w:pPr>
      <w:r w:rsidRPr="0055381E">
        <w:rPr>
          <w:rFonts w:hint="eastAsia"/>
        </w:rPr>
        <w:t>F</w:t>
      </w:r>
      <w:r w:rsidRPr="0055381E">
        <w:t>ig S1. Graphs of the mediation model</w:t>
      </w:r>
    </w:p>
    <w:p w14:paraId="17829E74" w14:textId="61711B4E" w:rsidR="0072415C" w:rsidRPr="009A4BA7" w:rsidRDefault="0072415C" w:rsidP="009A4BA7"/>
    <w:sectPr w:rsidR="0072415C" w:rsidRPr="009A4BA7" w:rsidSect="00417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D2"/>
    <w:rsid w:val="00004311"/>
    <w:rsid w:val="00306B1F"/>
    <w:rsid w:val="00417604"/>
    <w:rsid w:val="006B3ED2"/>
    <w:rsid w:val="0072415C"/>
    <w:rsid w:val="00980CF2"/>
    <w:rsid w:val="009A4BA7"/>
    <w:rsid w:val="00AA176D"/>
    <w:rsid w:val="00B83D9B"/>
    <w:rsid w:val="00D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51C8"/>
  <w15:chartTrackingRefBased/>
  <w15:docId w15:val="{8BB26D65-F1EF-AD47-B15E-90AD3C83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149DD"/>
  </w:style>
  <w:style w:type="character" w:styleId="CommentReference">
    <w:name w:val="annotation reference"/>
    <w:basedOn w:val="DefaultParagraphFont"/>
    <w:uiPriority w:val="99"/>
    <w:rsid w:val="009A4BA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A7"/>
    <w:rPr>
      <w:rFonts w:ascii="Tahoma" w:hAnsi="Tahoma" w:cs="Tahoma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A7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Tomita</dc:creator>
  <cp:keywords/>
  <dc:description/>
  <cp:lastModifiedBy>Kyle Robinson</cp:lastModifiedBy>
  <cp:revision>4</cp:revision>
  <dcterms:created xsi:type="dcterms:W3CDTF">2022-10-25T08:47:00Z</dcterms:created>
  <dcterms:modified xsi:type="dcterms:W3CDTF">2022-10-25T08:48:00Z</dcterms:modified>
</cp:coreProperties>
</file>