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1633" w14:textId="77777777" w:rsidR="006A3D3C" w:rsidRDefault="006A3D3C" w:rsidP="006A3D3C">
      <w:pPr>
        <w:rPr>
          <w:rFonts w:cs="Times New Roman"/>
          <w:szCs w:val="24"/>
        </w:rPr>
      </w:pPr>
      <w:r w:rsidRPr="00047F47">
        <w:rPr>
          <w:b/>
          <w:bCs/>
        </w:rPr>
        <w:t>Supplementary Materials</w:t>
      </w:r>
    </w:p>
    <w:p w14:paraId="1409970B" w14:textId="3FC6679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Fig S</w:t>
      </w:r>
      <w:r>
        <w:rPr>
          <w:rFonts w:cs="Times New Roman"/>
          <w:szCs w:val="24"/>
        </w:rPr>
        <w:t>1. SDS PAGE:</w:t>
      </w:r>
    </w:p>
    <w:p w14:paraId="4EF445DB" w14:textId="7777777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SDS-PAGE for </w:t>
      </w:r>
      <w:proofErr w:type="spellStart"/>
      <w:r>
        <w:rPr>
          <w:rFonts w:cs="Times New Roman"/>
          <w:szCs w:val="24"/>
        </w:rPr>
        <w:t>HemQ</w:t>
      </w:r>
      <w:proofErr w:type="spellEnd"/>
      <w:r>
        <w:rPr>
          <w:rFonts w:cs="Times New Roman"/>
          <w:szCs w:val="24"/>
        </w:rPr>
        <w:t xml:space="preserve"> with His-tag entirely cleaved and </w:t>
      </w:r>
      <w:proofErr w:type="spellStart"/>
      <w:r>
        <w:rPr>
          <w:rFonts w:cs="Times New Roman"/>
          <w:szCs w:val="24"/>
        </w:rPr>
        <w:t>HemQ</w:t>
      </w:r>
      <w:proofErr w:type="spellEnd"/>
      <w:r>
        <w:rPr>
          <w:rFonts w:cs="Times New Roman"/>
          <w:szCs w:val="24"/>
        </w:rPr>
        <w:t xml:space="preserve"> with His-tag entirely present (Supplementary Figure S1A) was performed with Mini-Protean TGX 4-20% Stain-Free gel in the Tris-Glycine buffer system with the experiment run for ~30 minutes at </w:t>
      </w:r>
      <w:r w:rsidRPr="009608C7">
        <w:rPr>
          <w:rFonts w:cs="Times New Roman"/>
          <w:szCs w:val="24"/>
        </w:rPr>
        <w:t>200 V cons</w:t>
      </w:r>
      <w:r>
        <w:rPr>
          <w:rFonts w:cs="Times New Roman"/>
          <w:szCs w:val="24"/>
        </w:rPr>
        <w:t xml:space="preserve">tant current. The gel was stained with </w:t>
      </w:r>
      <w:proofErr w:type="spellStart"/>
      <w:r>
        <w:rPr>
          <w:rFonts w:cs="Times New Roman"/>
          <w:szCs w:val="24"/>
        </w:rPr>
        <w:t>AquaStain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Buldog</w:t>
      </w:r>
      <w:proofErr w:type="spellEnd"/>
      <w:r>
        <w:rPr>
          <w:rFonts w:cs="Times New Roman"/>
          <w:szCs w:val="24"/>
        </w:rPr>
        <w:t xml:space="preserve"> Bio). SDS-PAGE for </w:t>
      </w:r>
      <w:proofErr w:type="spellStart"/>
      <w:r>
        <w:rPr>
          <w:rFonts w:cs="Times New Roman"/>
          <w:szCs w:val="24"/>
        </w:rPr>
        <w:t>HemQ</w:t>
      </w:r>
      <w:proofErr w:type="spellEnd"/>
      <w:r>
        <w:rPr>
          <w:rFonts w:cs="Times New Roman"/>
          <w:szCs w:val="24"/>
        </w:rPr>
        <w:t xml:space="preserve"> with the His-tag partially cleaved (Supplementary Figure S1B) was performed with </w:t>
      </w:r>
      <w:proofErr w:type="spellStart"/>
      <w:r w:rsidRPr="00CB2491">
        <w:rPr>
          <w:rFonts w:cs="Times New Roman"/>
          <w:szCs w:val="24"/>
        </w:rPr>
        <w:t>NuPAGE</w:t>
      </w:r>
      <w:proofErr w:type="spellEnd"/>
      <w:r>
        <w:rPr>
          <w:rFonts w:cs="Times New Roman"/>
          <w:szCs w:val="24"/>
        </w:rPr>
        <w:t xml:space="preserve"> 4-12% Bis-</w:t>
      </w:r>
      <w:proofErr w:type="gramStart"/>
      <w:r>
        <w:rPr>
          <w:rFonts w:cs="Times New Roman"/>
          <w:szCs w:val="24"/>
        </w:rPr>
        <w:t>Tris</w:t>
      </w:r>
      <w:proofErr w:type="gramEnd"/>
      <w:r>
        <w:rPr>
          <w:rFonts w:cs="Times New Roman"/>
          <w:szCs w:val="24"/>
        </w:rPr>
        <w:t xml:space="preserve"> gel run with</w:t>
      </w:r>
      <w:r w:rsidRPr="00CB2491">
        <w:rPr>
          <w:rFonts w:cs="Times New Roman"/>
          <w:szCs w:val="24"/>
        </w:rPr>
        <w:t xml:space="preserve"> MES SDS </w:t>
      </w:r>
      <w:r>
        <w:rPr>
          <w:rFonts w:cs="Times New Roman"/>
          <w:szCs w:val="24"/>
        </w:rPr>
        <w:t>r</w:t>
      </w:r>
      <w:r w:rsidRPr="00CB2491">
        <w:rPr>
          <w:rFonts w:cs="Times New Roman"/>
          <w:szCs w:val="24"/>
        </w:rPr>
        <w:t xml:space="preserve">unning </w:t>
      </w:r>
      <w:r>
        <w:rPr>
          <w:rFonts w:cs="Times New Roman"/>
          <w:szCs w:val="24"/>
        </w:rPr>
        <w:t>b</w:t>
      </w:r>
      <w:r w:rsidRPr="00CB2491">
        <w:rPr>
          <w:rFonts w:cs="Times New Roman"/>
          <w:szCs w:val="24"/>
        </w:rPr>
        <w:t>uffer</w:t>
      </w:r>
      <w:r>
        <w:rPr>
          <w:rFonts w:cs="Times New Roman"/>
          <w:szCs w:val="24"/>
        </w:rPr>
        <w:t xml:space="preserve"> for ~35 minutes at 200 V constant current. The gel was stained with </w:t>
      </w:r>
      <w:proofErr w:type="spellStart"/>
      <w:r>
        <w:rPr>
          <w:rFonts w:cs="Times New Roman"/>
          <w:szCs w:val="24"/>
        </w:rPr>
        <w:t>AquaStain</w:t>
      </w:r>
      <w:proofErr w:type="spellEnd"/>
      <w:r>
        <w:rPr>
          <w:rFonts w:cs="Times New Roman"/>
          <w:szCs w:val="24"/>
        </w:rPr>
        <w:t xml:space="preserve"> as well.</w:t>
      </w:r>
    </w:p>
    <w:p w14:paraId="0C28B9A1" w14:textId="7777777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</w:p>
    <w:p w14:paraId="11660B84" w14:textId="1DA2065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Fig S</w:t>
      </w: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 xml:space="preserve">Mass Spectrometry: </w:t>
      </w:r>
    </w:p>
    <w:p w14:paraId="12D47902" w14:textId="77777777" w:rsidR="006A3D3C" w:rsidRPr="006F176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 w:rsidRPr="006F176C">
        <w:rPr>
          <w:rFonts w:cs="Times New Roman"/>
          <w:szCs w:val="24"/>
        </w:rPr>
        <w:t xml:space="preserve">Protein samples were </w:t>
      </w:r>
      <w:r w:rsidRPr="006F176C">
        <w:rPr>
          <w:rFonts w:eastAsia="Times New Roman" w:cs="Times New Roman"/>
          <w:szCs w:val="24"/>
        </w:rPr>
        <w:t xml:space="preserve">analyzed by LC/MS, using </w:t>
      </w:r>
      <w:r w:rsidRPr="006F176C">
        <w:rPr>
          <w:rFonts w:cs="Times New Roman"/>
          <w:szCs w:val="24"/>
        </w:rPr>
        <w:t xml:space="preserve">a </w:t>
      </w:r>
      <w:proofErr w:type="spellStart"/>
      <w:r w:rsidRPr="006F176C">
        <w:rPr>
          <w:rFonts w:cs="Times New Roman"/>
          <w:szCs w:val="24"/>
        </w:rPr>
        <w:t>Sciex</w:t>
      </w:r>
      <w:proofErr w:type="spellEnd"/>
      <w:r w:rsidRPr="006F176C">
        <w:rPr>
          <w:rFonts w:cs="Times New Roman"/>
          <w:szCs w:val="24"/>
        </w:rPr>
        <w:t xml:space="preserve"> X500B QTOF mass spectrometer coupled to an Agilent 1290 Infinity II HPLC.</w:t>
      </w:r>
      <w:r w:rsidRPr="006F176C">
        <w:rPr>
          <w:rFonts w:eastAsia="Times New Roman" w:cs="Times New Roman"/>
          <w:szCs w:val="24"/>
        </w:rPr>
        <w:t xml:space="preserve"> Samples were injected onto a </w:t>
      </w:r>
      <w:r w:rsidRPr="006F176C">
        <w:rPr>
          <w:rFonts w:cs="Times New Roman"/>
          <w:szCs w:val="24"/>
        </w:rPr>
        <w:t xml:space="preserve">POROS R1 reverse-phase column (2.1 </w:t>
      </w:r>
      <w:r>
        <w:rPr>
          <w:rFonts w:cs="Times New Roman"/>
          <w:szCs w:val="24"/>
        </w:rPr>
        <w:t>×</w:t>
      </w:r>
      <w:r w:rsidRPr="006F176C">
        <w:rPr>
          <w:rFonts w:cs="Times New Roman"/>
          <w:szCs w:val="24"/>
        </w:rPr>
        <w:t xml:space="preserve"> 30 mm, 20 µm particle size, 4000 Å pore size) and desalted. </w:t>
      </w:r>
      <w:r w:rsidRPr="006F176C">
        <w:rPr>
          <w:rFonts w:eastAsia="Times New Roman" w:cs="Times New Roman"/>
          <w:szCs w:val="24"/>
        </w:rPr>
        <w:t xml:space="preserve">The mobile phase flow rate was 300 </w:t>
      </w:r>
      <w:r>
        <w:rPr>
          <w:rFonts w:ascii="Cambria" w:eastAsia="Times New Roman" w:hAnsi="Cambria" w:cs="Times New Roman"/>
          <w:szCs w:val="24"/>
        </w:rPr>
        <w:t>µ</w:t>
      </w:r>
      <w:r w:rsidRPr="006F176C">
        <w:rPr>
          <w:rFonts w:eastAsia="Times New Roman" w:cs="Times New Roman"/>
          <w:szCs w:val="24"/>
        </w:rPr>
        <w:t>L/min and the gradient was as follows: 0-4 min: 0% B, 4-22 min: 0-55% B, 22-22.1 min: 55-80% B, 22.1-26 min: 80% B. The column was then re</w:t>
      </w:r>
      <w:r>
        <w:rPr>
          <w:rFonts w:eastAsia="Times New Roman" w:cs="Times New Roman"/>
          <w:szCs w:val="24"/>
        </w:rPr>
        <w:t>-</w:t>
      </w:r>
      <w:r w:rsidRPr="006F176C">
        <w:rPr>
          <w:rFonts w:eastAsia="Times New Roman" w:cs="Times New Roman"/>
          <w:szCs w:val="24"/>
        </w:rPr>
        <w:t xml:space="preserve">equilibrated at initial conditions prior to the subsequent injection. Buffer A contained 0.1% formic acid in water and buffer B contained 0.1% formic acid in acetonitrile. </w:t>
      </w:r>
    </w:p>
    <w:p w14:paraId="7C330216" w14:textId="7777777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 w:rsidRPr="006F176C">
        <w:rPr>
          <w:rFonts w:cs="Times New Roman"/>
          <w:szCs w:val="24"/>
        </w:rPr>
        <w:t xml:space="preserve">The mass spectrometer was controlled by </w:t>
      </w:r>
      <w:proofErr w:type="spellStart"/>
      <w:r w:rsidRPr="006F176C">
        <w:rPr>
          <w:rFonts w:cs="Times New Roman"/>
          <w:szCs w:val="24"/>
        </w:rPr>
        <w:t>Sciex</w:t>
      </w:r>
      <w:proofErr w:type="spellEnd"/>
      <w:r w:rsidRPr="006F176C">
        <w:rPr>
          <w:rFonts w:cs="Times New Roman"/>
          <w:szCs w:val="24"/>
        </w:rPr>
        <w:t xml:space="preserve"> OS v.1.6.1 using the following settings: Ion source gas 1 15 psi, ion source gas 2 25 psi, curtain gas 35, CAD gas 7, temperature 200 </w:t>
      </w:r>
      <w:r w:rsidRPr="009957F6">
        <w:rPr>
          <w:rFonts w:ascii="Cambria" w:hAnsi="Cambria" w:cs="Times New Roman"/>
          <w:szCs w:val="24"/>
        </w:rPr>
        <w:t>°</w:t>
      </w:r>
      <w:r w:rsidRPr="006F176C">
        <w:rPr>
          <w:rFonts w:cs="Times New Roman"/>
          <w:szCs w:val="24"/>
        </w:rPr>
        <w:t xml:space="preserve">C, spray voltage 5200 V, </w:t>
      </w:r>
      <w:proofErr w:type="spellStart"/>
      <w:r w:rsidRPr="006F176C">
        <w:rPr>
          <w:rFonts w:cs="Times New Roman"/>
          <w:szCs w:val="24"/>
        </w:rPr>
        <w:t>declustering</w:t>
      </w:r>
      <w:proofErr w:type="spellEnd"/>
      <w:r w:rsidRPr="006F176C">
        <w:rPr>
          <w:rFonts w:cs="Times New Roman"/>
          <w:szCs w:val="24"/>
        </w:rPr>
        <w:t xml:space="preserve"> potential 80 V, collision energy 15 V. Data was acquired from 1400-3600 Da with a 1 s accumulation time and </w:t>
      </w:r>
      <w:proofErr w:type="gramStart"/>
      <w:r w:rsidRPr="006F176C">
        <w:rPr>
          <w:rFonts w:cs="Times New Roman"/>
          <w:szCs w:val="24"/>
        </w:rPr>
        <w:t>80 time</w:t>
      </w:r>
      <w:proofErr w:type="gramEnd"/>
      <w:r w:rsidRPr="006F176C">
        <w:rPr>
          <w:rFonts w:cs="Times New Roman"/>
          <w:szCs w:val="24"/>
        </w:rPr>
        <w:t xml:space="preserve"> bins summed. The acquired mass spectra for the proteins of interest were deconvoluted using </w:t>
      </w:r>
      <w:proofErr w:type="spellStart"/>
      <w:r w:rsidRPr="006F176C">
        <w:rPr>
          <w:rFonts w:cs="Times New Roman"/>
          <w:szCs w:val="24"/>
        </w:rPr>
        <w:t>BioPharmaView</w:t>
      </w:r>
      <w:proofErr w:type="spellEnd"/>
      <w:r w:rsidRPr="006F176C">
        <w:rPr>
          <w:rFonts w:cs="Times New Roman"/>
          <w:szCs w:val="24"/>
        </w:rPr>
        <w:t xml:space="preserve"> v. 3.0.1 software (</w:t>
      </w:r>
      <w:proofErr w:type="spellStart"/>
      <w:r w:rsidRPr="006F176C">
        <w:rPr>
          <w:rFonts w:cs="Times New Roman"/>
          <w:szCs w:val="24"/>
        </w:rPr>
        <w:t>Sciex</w:t>
      </w:r>
      <w:proofErr w:type="spellEnd"/>
      <w:r w:rsidRPr="006F176C">
        <w:rPr>
          <w:rFonts w:cs="Times New Roman"/>
          <w:szCs w:val="24"/>
        </w:rPr>
        <w:t xml:space="preserve">) in order to obtain the molecular weights.  The peak threshold was set to ≥ 5%, reconstruction processing was set to 20 iterations with a signal-to-noise threshold </w:t>
      </w:r>
      <w:proofErr w:type="gramStart"/>
      <w:r w:rsidRPr="006F176C">
        <w:rPr>
          <w:rFonts w:cs="Times New Roman"/>
          <w:szCs w:val="24"/>
        </w:rPr>
        <w:t>of  ≥</w:t>
      </w:r>
      <w:proofErr w:type="gramEnd"/>
      <w:r w:rsidRPr="006F176C">
        <w:rPr>
          <w:rFonts w:cs="Times New Roman"/>
          <w:szCs w:val="24"/>
        </w:rPr>
        <w:t xml:space="preserve"> 20 and a resolution of 2500.</w:t>
      </w:r>
    </w:p>
    <w:p w14:paraId="4BE40751" w14:textId="7777777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results for both samples are presented on the Supplementary Figure S1A (</w:t>
      </w:r>
      <w:proofErr w:type="spellStart"/>
      <w:r>
        <w:rPr>
          <w:rFonts w:cs="Times New Roman"/>
          <w:szCs w:val="24"/>
        </w:rPr>
        <w:t>HemQ</w:t>
      </w:r>
      <w:proofErr w:type="spellEnd"/>
      <w:r>
        <w:rPr>
          <w:rFonts w:cs="Times New Roman"/>
          <w:szCs w:val="24"/>
        </w:rPr>
        <w:t xml:space="preserve"> without His-tag) and on the Supplementary Figure S1B (</w:t>
      </w:r>
      <w:proofErr w:type="spellStart"/>
      <w:r>
        <w:rPr>
          <w:rFonts w:cs="Times New Roman"/>
          <w:szCs w:val="24"/>
        </w:rPr>
        <w:t>HemQ</w:t>
      </w:r>
      <w:proofErr w:type="spellEnd"/>
      <w:r>
        <w:rPr>
          <w:rFonts w:cs="Times New Roman"/>
          <w:szCs w:val="24"/>
        </w:rPr>
        <w:t xml:space="preserve"> with His-tag).</w:t>
      </w:r>
    </w:p>
    <w:p w14:paraId="05F99C0D" w14:textId="77777777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</w:p>
    <w:p w14:paraId="53E4483B" w14:textId="783B71EA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Fig S</w:t>
      </w:r>
      <w:r>
        <w:rPr>
          <w:rFonts w:cs="Times New Roman"/>
          <w:szCs w:val="24"/>
        </w:rPr>
        <w:t>3. Electron micrographs:</w:t>
      </w:r>
    </w:p>
    <w:p w14:paraId="77B3F165" w14:textId="77777777" w:rsidR="006A3D3C" w:rsidRPr="00047F47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 w:rsidRPr="00757A04">
        <w:rPr>
          <w:rFonts w:cs="Times New Roman"/>
          <w:szCs w:val="24"/>
          <w:u w:val="single"/>
        </w:rPr>
        <w:t xml:space="preserve">Coproheme decarboxylase from </w:t>
      </w:r>
      <w:proofErr w:type="spellStart"/>
      <w:r w:rsidRPr="00047F47">
        <w:rPr>
          <w:rFonts w:cs="Times New Roman"/>
          <w:i/>
          <w:iCs/>
          <w:szCs w:val="24"/>
          <w:u w:val="single"/>
        </w:rPr>
        <w:t>Geobacillus</w:t>
      </w:r>
      <w:proofErr w:type="spellEnd"/>
      <w:r w:rsidRPr="00047F47">
        <w:rPr>
          <w:rFonts w:cs="Times New Roman"/>
          <w:i/>
          <w:iCs/>
          <w:szCs w:val="24"/>
          <w:u w:val="single"/>
        </w:rPr>
        <w:t xml:space="preserve"> stearothermophilus</w:t>
      </w:r>
      <w:r w:rsidRPr="00757A04">
        <w:rPr>
          <w:rFonts w:cs="Times New Roman"/>
          <w:szCs w:val="24"/>
          <w:u w:val="single"/>
        </w:rPr>
        <w:t xml:space="preserve"> (</w:t>
      </w:r>
      <w:proofErr w:type="spellStart"/>
      <w:r w:rsidRPr="00757A04">
        <w:rPr>
          <w:rFonts w:cs="Times New Roman"/>
          <w:szCs w:val="24"/>
          <w:u w:val="single"/>
        </w:rPr>
        <w:t>HemQ</w:t>
      </w:r>
      <w:proofErr w:type="spellEnd"/>
      <w:r w:rsidRPr="00757A04">
        <w:rPr>
          <w:rFonts w:cs="Times New Roman"/>
          <w:szCs w:val="24"/>
          <w:u w:val="single"/>
        </w:rPr>
        <w:t>)</w:t>
      </w:r>
      <w:r>
        <w:rPr>
          <w:rFonts w:cs="Times New Roman"/>
          <w:szCs w:val="24"/>
          <w:u w:val="single"/>
        </w:rPr>
        <w:t xml:space="preserve"> with and without His-tag </w:t>
      </w:r>
      <w:r>
        <w:rPr>
          <w:rFonts w:cs="Times New Roman"/>
          <w:szCs w:val="24"/>
        </w:rPr>
        <w:t>is presented on the Supplementary Figures S3A (without His-tag), S3B (with His-tag partially cleaved), and S3C (with His-tag present in all copies. The conditions of proteins and grids preparations are presented in the text.</w:t>
      </w:r>
    </w:p>
    <w:p w14:paraId="4D40BA75" w14:textId="1F53DC61" w:rsid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 w:rsidRPr="00047F47">
        <w:rPr>
          <w:rFonts w:cs="Times New Roman"/>
          <w:szCs w:val="24"/>
          <w:u w:val="single"/>
        </w:rPr>
        <w:t xml:space="preserve">Glucose isomerase (GI) from </w:t>
      </w:r>
      <w:r w:rsidRPr="00047F47">
        <w:rPr>
          <w:rFonts w:cs="Times New Roman"/>
          <w:i/>
          <w:iCs/>
          <w:szCs w:val="24"/>
          <w:u w:val="single"/>
        </w:rPr>
        <w:t xml:space="preserve">Streptomyces </w:t>
      </w:r>
      <w:proofErr w:type="spellStart"/>
      <w:r w:rsidRPr="00047F47">
        <w:rPr>
          <w:rFonts w:cs="Times New Roman"/>
          <w:i/>
          <w:iCs/>
          <w:szCs w:val="24"/>
          <w:u w:val="single"/>
        </w:rPr>
        <w:t>rubiginosus</w:t>
      </w:r>
      <w:proofErr w:type="spellEnd"/>
      <w:r w:rsidRPr="00047F47">
        <w:rPr>
          <w:rFonts w:cs="Times New Roman"/>
          <w:szCs w:val="24"/>
          <w:u w:val="single"/>
        </w:rPr>
        <w:t xml:space="preserve"> with and without His-tag</w:t>
      </w:r>
      <w:r>
        <w:rPr>
          <w:rFonts w:cs="Times New Roman"/>
          <w:szCs w:val="24"/>
        </w:rPr>
        <w:t xml:space="preserve"> is presented on the Supplementary Figures S3D (without His-tag) and S3E (with His-tag). Both experiments were performed as described before </w:t>
      </w: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ADDIN EN.CITE &lt;EndNote&gt;&lt;Cite&gt;&lt;Author&gt;Bromberg&lt;/Author&gt;&lt;Year&gt;2020&lt;/Year&gt;&lt;RecNum&gt;43&lt;/RecNum&gt;&lt;DisplayText&gt;(Bromberg, Guo et al. 2020)&lt;/DisplayText&gt;&lt;record&gt;&lt;rec-number&gt;43&lt;/rec-number&gt;&lt;foreign-keys&gt;&lt;key app="EN" db-id="9t009xrtidwzxme2velxr2dj9s92t225xapf" timestamp="1649019377"&gt;43&lt;/key&gt;&lt;/foreign-keys&gt;&lt;ref-type name="Journal Article"&gt;17&lt;/ref-type&gt;&lt;contributors&gt;&lt;authors&gt;&lt;author&gt;Bromberg, R.&lt;/author&gt;&lt;author&gt;Guo, Y.&lt;/author&gt;&lt;author&gt;Borek, D.&lt;/author&gt;&lt;author&gt;Otwinowski, Z.&lt;/author&gt;&lt;/authors&gt;&lt;/contributors&gt;&lt;auth-address&gt;Department of Biophysics, The University of Texas Southwestern Medical Center, Dallas, TX 75390, USA.&lt;/auth-address&gt;&lt;titles&gt;&lt;title&gt;High-resolution cryo-EM reconstructions in the presence of substantial aberrations&lt;/title&gt;&lt;secondary-title&gt;IUCrJ&lt;/secondary-title&gt;&lt;/titles&gt;&lt;periodical&gt;&lt;full-title&gt;IUCrJ&lt;/full-title&gt;&lt;/periodical&gt;&lt;pages&gt;445-452&lt;/pages&gt;&lt;volume&gt;7&lt;/volume&gt;&lt;number&gt;Pt 3&lt;/number&gt;&lt;edition&gt;2020/05/21&lt;/edition&gt;&lt;keywords&gt;&lt;keyword&gt;3D reconstruction and image processing&lt;/keyword&gt;&lt;keyword&gt;automation&lt;/keyword&gt;&lt;keyword&gt;axial aberrations&lt;/keyword&gt;&lt;keyword&gt;coma&lt;/keyword&gt;&lt;keyword&gt;cryo-EM&lt;/keyword&gt;&lt;keyword&gt;imaging&lt;/keyword&gt;&lt;keyword&gt;resolution&lt;/keyword&gt;&lt;keyword&gt;single-particle cryo-EM&lt;/keyword&gt;&lt;keyword&gt;structure determination&lt;/keyword&gt;&lt;keyword&gt;trefoil&lt;/keyword&gt;&lt;keyword&gt;validation&lt;/keyword&gt;&lt;/keywords&gt;&lt;dates&gt;&lt;year&gt;2020&lt;/year&gt;&lt;pub-dates&gt;&lt;date&gt;May 1&lt;/date&gt;&lt;/pub-dates&gt;&lt;/dates&gt;&lt;isbn&gt;2052-2525 (Print)&amp;#xD;2052-2525 (Linking)&lt;/isbn&gt;&lt;accession-num&gt;32431828&lt;/accession-num&gt;&lt;urls&gt;&lt;related-urls&gt;&lt;url&gt;https://www.ncbi.nlm.nih.gov/pubmed/32431828&lt;/url&gt;&lt;url&gt;https://journals.iucr.org/m/issues/2020/03/00/fq5012/fq5012.pdf&lt;/url&gt;&lt;/related-urls&gt;&lt;/urls&gt;&lt;custom2&gt;PMC7201289&lt;/custom2&gt;&lt;electronic-resource-num&gt;10.1107/S2052252520002444&lt;/electronic-resource-num&gt;&lt;/record&gt;&lt;/Cite&gt;&lt;/EndNote&gt;</w:instrText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(Bromberg, Guo et al. 2020)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</w:p>
    <w:p w14:paraId="28830043" w14:textId="77777777" w:rsidR="006A3D3C" w:rsidRDefault="006A3D3C" w:rsidP="006A3D3C">
      <w:pPr>
        <w:spacing w:before="0" w:after="200" w:line="276" w:lineRule="auto"/>
        <w:jc w:val="both"/>
      </w:pPr>
      <w:r>
        <w:rPr>
          <w:rFonts w:cs="Times New Roman"/>
          <w:szCs w:val="24"/>
        </w:rPr>
        <w:lastRenderedPageBreak/>
        <w:t xml:space="preserve">Briefly, GI without His-tag </w:t>
      </w:r>
      <w:r w:rsidRPr="00E6559B">
        <w:rPr>
          <w:rFonts w:cs="Times New Roman"/>
          <w:szCs w:val="24"/>
        </w:rPr>
        <w:t>was purchased from Hampton Research</w:t>
      </w:r>
      <w:r>
        <w:rPr>
          <w:rFonts w:cs="Times New Roman"/>
          <w:szCs w:val="24"/>
        </w:rPr>
        <w:t xml:space="preserve">. </w:t>
      </w:r>
      <w:r w:rsidRPr="00E6559B">
        <w:rPr>
          <w:rFonts w:cs="Times New Roman"/>
          <w:szCs w:val="24"/>
        </w:rPr>
        <w:t>Protein slurry was dialyzed three times against excess of dH</w:t>
      </w:r>
      <w:r w:rsidRPr="00047F47">
        <w:rPr>
          <w:rFonts w:cs="Times New Roman"/>
          <w:szCs w:val="24"/>
          <w:vertAlign w:val="subscript"/>
        </w:rPr>
        <w:t>2</w:t>
      </w:r>
      <w:r w:rsidRPr="00E6559B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, </w:t>
      </w:r>
      <w:r w:rsidRPr="00E6559B">
        <w:rPr>
          <w:rFonts w:cs="Times New Roman"/>
          <w:szCs w:val="24"/>
        </w:rPr>
        <w:t>concentrated to ~40 mg/ml</w:t>
      </w:r>
      <w:r>
        <w:rPr>
          <w:rFonts w:cs="Times New Roman"/>
          <w:szCs w:val="24"/>
        </w:rPr>
        <w:t>, applied to Quantifoil grid and imaged</w:t>
      </w:r>
      <w:r w:rsidRPr="00E6559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GI with His-tag was expressed in </w:t>
      </w:r>
      <w:r w:rsidRPr="00047F47">
        <w:rPr>
          <w:rFonts w:cs="Times New Roman"/>
          <w:i/>
          <w:iCs/>
          <w:szCs w:val="24"/>
        </w:rPr>
        <w:t>Escherichia coli</w:t>
      </w:r>
      <w:r>
        <w:rPr>
          <w:rFonts w:cs="Times New Roman"/>
          <w:szCs w:val="24"/>
        </w:rPr>
        <w:t xml:space="preserve"> with the coding sequence of GI obtained as inserted into pET151-D-TOPO vector containing N-terminal 6×His-tag followed by the amino acid linker, the TEV cleavage site and a short sequence extending to N-terminal methionine residue of GI (</w:t>
      </w:r>
      <w:bookmarkStart w:id="0" w:name="_Hlk109486337"/>
      <w:r>
        <w:rPr>
          <w:b/>
          <w:bCs/>
        </w:rPr>
        <w:t>MHHHHHHGKPIPNPLLGLDSTENLYFQGIDPFT</w:t>
      </w:r>
      <w:bookmarkEnd w:id="0"/>
      <w:r>
        <w:rPr>
          <w:b/>
          <w:bCs/>
        </w:rPr>
        <w:t>)</w:t>
      </w:r>
      <w:r w:rsidRPr="00047F47">
        <w:t>.</w:t>
      </w:r>
    </w:p>
    <w:p w14:paraId="5B4EAA74" w14:textId="77777777" w:rsidR="006A3D3C" w:rsidRDefault="006A3D3C" w:rsidP="006A3D3C">
      <w:pPr>
        <w:spacing w:before="0" w:after="200" w:line="276" w:lineRule="auto"/>
        <w:jc w:val="both"/>
      </w:pPr>
    </w:p>
    <w:p w14:paraId="551895F3" w14:textId="77777777" w:rsidR="006A3D3C" w:rsidRPr="006A3D3C" w:rsidRDefault="006A3D3C" w:rsidP="006A3D3C">
      <w:pPr>
        <w:pStyle w:val="EndNoteBibliography"/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 w:rsidRPr="006A3D3C">
        <w:t xml:space="preserve">Bromberg, R., Y. Guo, D. Borek and Z. Otwinowski (2020). "High-resolution cryo-EM reconstructions in the presence of substantial aberrations." </w:t>
      </w:r>
      <w:r w:rsidRPr="006A3D3C">
        <w:rPr>
          <w:u w:val="single"/>
        </w:rPr>
        <w:t>IUCrJ</w:t>
      </w:r>
      <w:r w:rsidRPr="006A3D3C">
        <w:t xml:space="preserve"> </w:t>
      </w:r>
      <w:r w:rsidRPr="006A3D3C">
        <w:rPr>
          <w:b/>
        </w:rPr>
        <w:t>7</w:t>
      </w:r>
      <w:r w:rsidRPr="006A3D3C">
        <w:t>(Pt 3): 445-452.</w:t>
      </w:r>
    </w:p>
    <w:p w14:paraId="7ACF2406" w14:textId="741141DC" w:rsidR="00B9725D" w:rsidRPr="006A3D3C" w:rsidRDefault="006A3D3C" w:rsidP="006A3D3C">
      <w:pPr>
        <w:spacing w:before="0" w:after="20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sectPr w:rsidR="00B9725D" w:rsidRPr="006A3D3C" w:rsidSect="00047F47"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A3D3C"/>
    <w:rsid w:val="001108C9"/>
    <w:rsid w:val="006A3D3C"/>
    <w:rsid w:val="00B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AD79"/>
  <w15:chartTrackingRefBased/>
  <w15:docId w15:val="{2479214E-3DBB-4D19-8BF3-00AA6E4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3C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A3D3C"/>
  </w:style>
  <w:style w:type="paragraph" w:customStyle="1" w:styleId="EndNoteBibliographyTitle">
    <w:name w:val="EndNote Bibliography Title"/>
    <w:basedOn w:val="Normal"/>
    <w:link w:val="EndNoteBibliographyTitleChar"/>
    <w:rsid w:val="006A3D3C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3D3C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A3D3C"/>
    <w:pPr>
      <w:jc w:val="both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A3D3C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Borek</dc:creator>
  <cp:keywords/>
  <dc:description/>
  <cp:lastModifiedBy>Dominika Borek</cp:lastModifiedBy>
  <cp:revision>2</cp:revision>
  <dcterms:created xsi:type="dcterms:W3CDTF">2022-09-11T22:32:00Z</dcterms:created>
  <dcterms:modified xsi:type="dcterms:W3CDTF">2022-09-11T22:32:00Z</dcterms:modified>
</cp:coreProperties>
</file>