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DB" w:rsidRDefault="0098060B" w:rsidP="00913638">
      <w:pPr>
        <w:pStyle w:val="1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 xml:space="preserve">The Preschool Learning </w:t>
      </w:r>
      <w:r w:rsidR="00913638">
        <w:rPr>
          <w:rFonts w:ascii="Times New Roman" w:hAnsi="Times New Roman"/>
          <w:b/>
          <w:bCs/>
          <w:sz w:val="34"/>
          <w:szCs w:val="34"/>
        </w:rPr>
        <w:t>Skill</w:t>
      </w:r>
      <w:r>
        <w:rPr>
          <w:rFonts w:ascii="Times New Roman" w:hAnsi="Times New Roman"/>
          <w:b/>
          <w:bCs/>
          <w:sz w:val="34"/>
          <w:szCs w:val="34"/>
        </w:rPr>
        <w:t>s Scale (Parent Version)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Mark the most appropriate item with “√” based on your child’s daily behaviors.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“Never” means 0% of the time.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“Occasionally” means 25% of the time.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“Sometimes” means 50% of the time.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“Often” means 75% of the time.</w:t>
      </w:r>
    </w:p>
    <w:p w:rsidR="00A817DB" w:rsidRDefault="0098060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“Usually” means most of the time.</w:t>
      </w:r>
    </w:p>
    <w:p w:rsidR="00A817DB" w:rsidRDefault="00A817DB">
      <w:pPr>
        <w:pStyle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3"/>
        <w:gridCol w:w="1053"/>
        <w:gridCol w:w="1277"/>
        <w:gridCol w:w="1134"/>
        <w:gridCol w:w="992"/>
        <w:gridCol w:w="993"/>
      </w:tblGrid>
      <w:tr w:rsidR="00A817DB" w:rsidTr="005F5AE2">
        <w:trPr>
          <w:trHeight w:val="295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Items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Never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Occasionally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Sometimes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Often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jc w:val="center"/>
            </w:pPr>
            <w:r>
              <w:t>Usually</w:t>
            </w:r>
          </w:p>
        </w:tc>
      </w:tr>
      <w:tr w:rsidR="00A817DB" w:rsidTr="005F5AE2">
        <w:trPr>
          <w:trHeight w:val="392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E72A6E" w:rsidP="00E72A6E">
            <w:pPr>
              <w:pStyle w:val="2"/>
            </w:pPr>
            <w:r>
              <w:t>1</w:t>
            </w:r>
            <w:r>
              <w:rPr>
                <w:rFonts w:asciiTheme="minorEastAsia" w:eastAsiaTheme="minorEastAsia" w:hAnsiTheme="minorEastAsia" w:hint="eastAsia"/>
              </w:rPr>
              <w:t>.</w:t>
            </w:r>
            <w:r>
              <w:t xml:space="preserve"> </w:t>
            </w:r>
            <w:r w:rsidR="0098060B">
              <w:t xml:space="preserve">Can be easily </w:t>
            </w:r>
            <w:r w:rsidR="0098060B" w:rsidRPr="00C77468">
              <w:t>distracted</w:t>
            </w:r>
            <w:r w:rsidR="0098060B">
              <w:t xml:space="preserve"> by external disturbance from the task that is supposed to be done, and may have difficulty completing the task, which leaves the impression of </w:t>
            </w:r>
            <w:r w:rsidR="0098060B" w:rsidRPr="00C77468">
              <w:t>“</w:t>
            </w:r>
            <w:r w:rsidR="0098060B">
              <w:t>fine start, poor finish</w:t>
            </w:r>
            <w:r w:rsidR="002253B9">
              <w:t>.</w:t>
            </w:r>
            <w:r w:rsidR="0098060B">
              <w:t>”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52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2. Appears to be careless and to lose things easily in daily life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04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3. Repeats the same mistakes over and over again even though they have been pointed out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27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2253B9">
            <w:pPr>
              <w:pStyle w:val="2"/>
            </w:pPr>
            <w:r>
              <w:t>4. Cannot distinguish subtle pronunciation differences, such as “</w:t>
            </w:r>
            <w:r>
              <w:rPr>
                <w:rFonts w:ascii="宋体" w:eastAsia="宋体" w:hAnsi="宋体" w:cs="宋体" w:hint="eastAsia"/>
              </w:rPr>
              <w:t>小姨子</w:t>
            </w:r>
            <w:r>
              <w:t>” and “</w:t>
            </w:r>
            <w:r>
              <w:rPr>
                <w:rFonts w:ascii="宋体" w:eastAsia="宋体" w:hAnsi="宋体" w:cs="宋体" w:hint="eastAsia"/>
              </w:rPr>
              <w:t>小椅子</w:t>
            </w:r>
            <w:r>
              <w:t>”</w:t>
            </w:r>
            <w:r w:rsidR="002253B9">
              <w:rPr>
                <w:rFonts w:asciiTheme="minorEastAsia" w:eastAsiaTheme="minorEastAsia" w:hAnsiTheme="minorEastAsia" w:hint="eastAsia"/>
              </w:rPr>
              <w:t>,</w:t>
            </w:r>
            <w:r w:rsidR="002253B9">
              <w:t xml:space="preserve"> “</w:t>
            </w:r>
            <w:r>
              <w:rPr>
                <w:rFonts w:ascii="宋体" w:eastAsia="宋体" w:hAnsi="宋体" w:cs="宋体" w:hint="eastAsia"/>
              </w:rPr>
              <w:t>毛笔</w:t>
            </w:r>
            <w:r>
              <w:t>” and “</w:t>
            </w:r>
            <w:r>
              <w:rPr>
                <w:rFonts w:ascii="宋体" w:eastAsia="宋体" w:hAnsi="宋体" w:cs="宋体" w:hint="eastAsia"/>
              </w:rPr>
              <w:t>眉笔</w:t>
            </w:r>
            <w:r>
              <w:t>”.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5. Says sentences or words in reverse order and makes grammatical mistakes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65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6. Needs more time and energy to learn nursery rhymes or short verses, and forgets them soon after they have been acquired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2253B9">
            <w:pPr>
              <w:pStyle w:val="2"/>
            </w:pPr>
            <w:r>
              <w:t xml:space="preserve">7. </w:t>
            </w:r>
            <w:r w:rsidR="00632CB2" w:rsidRPr="00632CB2">
              <w:t xml:space="preserve">Cannot retell the information that has just been heard, such as phone number, name, address, </w:t>
            </w:r>
            <w:r w:rsidR="002253B9">
              <w:t>e</w:t>
            </w:r>
            <w:r w:rsidR="00632CB2" w:rsidRPr="00632CB2">
              <w:t>tc</w:t>
            </w:r>
            <w:r w:rsidR="005D3A46">
              <w:t>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8. Shows physical clumsiness, such as having difficulty with whole-body movement coordination during ball bouncing and rope skipping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24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 xml:space="preserve">9. </w:t>
            </w:r>
            <w:r w:rsidR="00632CB2" w:rsidRPr="00632CB2">
              <w:t>Utters sounds indistinct</w:t>
            </w:r>
            <w:r>
              <w:t xml:space="preserve"> and may easily confuse the words with similar pronunciations, such as uttering </w:t>
            </w:r>
            <w:r w:rsidR="00D234A7">
              <w:rPr>
                <w:rFonts w:asciiTheme="minorEastAsia" w:eastAsiaTheme="minorEastAsia" w:hAnsiTheme="minorEastAsia"/>
              </w:rPr>
              <w:t>“</w:t>
            </w:r>
            <w:r>
              <w:t>t” as “d”, “j” as “x”.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1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10. Appears to be absent-minded in daily activities, such as during face-to-face communications or group activities in kindergarten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94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 w:rsidRPr="00913638">
              <w:t xml:space="preserve">11. </w:t>
            </w:r>
            <w:r w:rsidR="00632CB2" w:rsidRPr="00632CB2">
              <w:t>Has difficulty staying focused on the activities which are not in his/her interest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>
            <w:pPr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lang w:eastAsia="zh-CN"/>
              </w:rPr>
            </w:pPr>
          </w:p>
        </w:tc>
      </w:tr>
      <w:tr w:rsidR="00A817DB" w:rsidRPr="00913638" w:rsidTr="005F5AE2">
        <w:trPr>
          <w:trHeight w:val="317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98060B">
            <w:pPr>
              <w:pStyle w:val="2"/>
            </w:pPr>
            <w:r w:rsidRPr="00913638">
              <w:t xml:space="preserve">12. </w:t>
            </w:r>
            <w:r w:rsidR="00632CB2" w:rsidRPr="00632CB2">
              <w:t>Shows inflexibility in hand-eye coordination, such as being unable to use scissors or chopsticks well or to complete coloring/painting activities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13.</w:t>
            </w:r>
            <w:r w:rsidR="00632CB2">
              <w:t xml:space="preserve"> </w:t>
            </w:r>
            <w:r>
              <w:t>Cannot successfully use words to convey ideas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FA3959">
            <w:pPr>
              <w:pStyle w:val="2"/>
            </w:pPr>
            <w:r>
              <w:t>14. Cannot paraphrase or summari</w:t>
            </w:r>
            <w:r w:rsidR="00FA3959">
              <w:t>z</w:t>
            </w:r>
            <w:r>
              <w:t>e the words or stories heard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71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632CB2">
            <w:pPr>
              <w:pStyle w:val="2"/>
            </w:pPr>
            <w:r>
              <w:t xml:space="preserve">15. </w:t>
            </w:r>
            <w:r w:rsidR="00632CB2" w:rsidRPr="00632CB2">
              <w:t>Seems unable to clearly hear the other during conversations, so the child may ask "Hah?" or "What?"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636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lastRenderedPageBreak/>
              <w:t xml:space="preserve">16. Cannot accurately say the </w:t>
            </w:r>
            <w:r w:rsidR="00632CB2">
              <w:t>name of common articles or colo</w:t>
            </w:r>
            <w:r>
              <w:t>rs, and usually names them by vague words, such as “this”, “that”, “it” etc.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93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17. Has difficulty managing personal life independently, such as acting slowly when putting on/taking off socks or clothes, buttoning up, tying shoelaces</w:t>
            </w:r>
            <w:r w:rsidR="00632CB2">
              <w:rPr>
                <w:rFonts w:asciiTheme="minorEastAsia" w:eastAsiaTheme="minorEastAsia" w:hAnsiTheme="minorEastAsia" w:hint="eastAsia"/>
              </w:rPr>
              <w:t>,</w:t>
            </w:r>
            <w:r>
              <w:t xml:space="preserve"> or even being unable to complete these tasks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40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 xml:space="preserve">18. Cannot </w:t>
            </w:r>
            <w:r w:rsidR="00632CB2" w:rsidRPr="00632CB2">
              <w:t>precisely</w:t>
            </w:r>
            <w:r>
              <w:t xml:space="preserve"> hear what the adult says when the adult is talking to the child in an environment where many people are talking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27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19. Gets stuck on details and loses sight of the whole picture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92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20. Has difficulty figuring out orientations, such as front/back, up/down, left/right</w:t>
            </w:r>
            <w:r w:rsidR="00DB35BE">
              <w:t>,</w:t>
            </w:r>
            <w:r>
              <w:t xml:space="preserve"> etc</w:t>
            </w:r>
            <w:r w:rsidR="005D3A46">
              <w:t>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00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21. Cannot recall or describe what has happened with peers in kindergarten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22. Loses track of what has just been read, and may miss words or skip lines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06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23. Has difficulty maintaining balance and may easily fall over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 xml:space="preserve">24. Turns a blind eye and turns a deaf eye to things 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50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25. Has difficulty recalling what was remembered in the past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Pr="00913638" w:rsidRDefault="0098060B">
            <w:pPr>
              <w:pStyle w:val="2"/>
              <w:rPr>
                <w:rFonts w:eastAsiaTheme="minorEastAsia" w:hint="eastAsia"/>
              </w:rPr>
            </w:pPr>
            <w:r>
              <w:t>26. May pause, lose words</w:t>
            </w:r>
            <w:r w:rsidR="00DB35BE">
              <w:t>,</w:t>
            </w:r>
            <w:r>
              <w:t xml:space="preserve"> or change subjects when expressing ideas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66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27. Reverses words when reading, such as misreading “21” as “12”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530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DB35BE">
            <w:pPr>
              <w:pStyle w:val="2"/>
            </w:pPr>
            <w:r>
              <w:t xml:space="preserve">28. Does not understand the conversations </w:t>
            </w:r>
            <w:r w:rsidR="00DB35BE">
              <w:t>at</w:t>
            </w:r>
            <w:r>
              <w:t xml:space="preserve"> a normal speed and can only comprehend unless words are slowly repeated, which shows a slow reaction.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  <w:rPr>
                <w:rFonts w:eastAsia="宋体" w:hint="eastAsia"/>
              </w:rPr>
            </w:pPr>
            <w:r>
              <w:t>29. May confuse similar-looking numbers or letters, such as seeing 3 as 5, 6 as 9, b as d, d as q</w:t>
            </w:r>
            <w:r w:rsidR="00DB35BE">
              <w:t>,</w:t>
            </w:r>
            <w:r>
              <w:t xml:space="preserve"> etc</w:t>
            </w:r>
            <w:r>
              <w:rPr>
                <w:rFonts w:eastAsia="宋体" w:hint="eastAsia"/>
              </w:rPr>
              <w:t>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7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 xml:space="preserve">30. Has difficulty with puzzles or </w:t>
            </w:r>
            <w:proofErr w:type="spellStart"/>
            <w:r>
              <w:t>lego</w:t>
            </w:r>
            <w:proofErr w:type="spellEnd"/>
            <w:r>
              <w:t xml:space="preserve"> construction play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53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31. Faces more challenges when dealing with counting compared with peers ( One-to-One Correspondence, Cardinality, Order Irrelevance)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292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32. Can remember simple operational procedures only after they have been repeated many times, such as operating a toy car</w:t>
            </w:r>
            <w:r w:rsidR="00DB35BE">
              <w:t>,</w:t>
            </w:r>
            <w:r>
              <w:t xml:space="preserve"> etc.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4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33. Hard to be understood by strangers mainly because of incomplete sentences, lack of linking words, reversed cause-and-effect link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7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5D3A46">
            <w:pPr>
              <w:pStyle w:val="2"/>
            </w:pPr>
            <w:r>
              <w:t>34. Cannot find things</w:t>
            </w:r>
            <w:r w:rsidR="005D3A46">
              <w:t xml:space="preserve"> even with hints</w:t>
            </w:r>
            <w:r>
              <w:t xml:space="preserve">, such as </w:t>
            </w:r>
            <w:r w:rsidR="00DB35BE">
              <w:t>clothes, shoes, toys, books, etc</w:t>
            </w:r>
            <w:r w:rsidR="005D3A46">
              <w:t>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21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lastRenderedPageBreak/>
              <w:t>35. Can be easily distracted or disturbed by irrelevant stimulations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150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36. Must stop what is currently doing to be able to listen to the conversations in the surrounding environment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31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>
            <w:pPr>
              <w:pStyle w:val="2"/>
            </w:pPr>
            <w:r>
              <w:t>37. Has a smaller vocabulary compared with peers and uses simple, limited words with few adjectives or descriptions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  <w:tr w:rsidR="00A817DB" w:rsidTr="005F5AE2">
        <w:trPr>
          <w:trHeight w:val="479"/>
        </w:trPr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98060B" w:rsidP="00E72A6E">
            <w:pPr>
              <w:pStyle w:val="2"/>
            </w:pPr>
            <w:r>
              <w:t>38</w:t>
            </w:r>
            <w:r w:rsidR="00E72A6E">
              <w:t>.</w:t>
            </w:r>
            <w:r>
              <w:t xml:space="preserve"> Cannot do simple addition or subtraction with tools such as fingers, blocks</w:t>
            </w:r>
            <w:r w:rsidR="00DB35BE">
              <w:t>,</w:t>
            </w:r>
            <w:r>
              <w:t xml:space="preserve"> etc.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7DB" w:rsidRDefault="00A817DB"/>
        </w:tc>
      </w:tr>
    </w:tbl>
    <w:p w:rsidR="00A817DB" w:rsidRPr="0001475D" w:rsidRDefault="00A817DB">
      <w:pPr>
        <w:pStyle w:val="1"/>
        <w:rPr>
          <w:rFonts w:eastAsiaTheme="minorEastAsia" w:hint="eastAsia"/>
        </w:rPr>
      </w:pPr>
      <w:bookmarkStart w:id="0" w:name="_GoBack"/>
      <w:bookmarkEnd w:id="0"/>
    </w:p>
    <w:sectPr w:rsidR="00A817DB" w:rsidRPr="0001475D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822" w:rsidRDefault="00D96822">
      <w:r>
        <w:separator/>
      </w:r>
    </w:p>
  </w:endnote>
  <w:endnote w:type="continuationSeparator" w:id="0">
    <w:p w:rsidR="00D96822" w:rsidRDefault="00D9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822" w:rsidRDefault="00D96822">
      <w:r>
        <w:separator/>
      </w:r>
    </w:p>
  </w:footnote>
  <w:footnote w:type="continuationSeparator" w:id="0">
    <w:p w:rsidR="00D96822" w:rsidRDefault="00D9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7DB" w:rsidRDefault="00A817DB">
    <w:pPr>
      <w:pStyle w:val="a4"/>
      <w:tabs>
        <w:tab w:val="clear" w:pos="9020"/>
        <w:tab w:val="center" w:pos="4819"/>
        <w:tab w:val="right" w:pos="9638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457958"/>
    <w:multiLevelType w:val="hybridMultilevel"/>
    <w:tmpl w:val="AFBAE3E8"/>
    <w:lvl w:ilvl="0" w:tplc="BD9E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DB"/>
    <w:rsid w:val="0001475D"/>
    <w:rsid w:val="000F2138"/>
    <w:rsid w:val="00205F01"/>
    <w:rsid w:val="002253B9"/>
    <w:rsid w:val="00352963"/>
    <w:rsid w:val="00576588"/>
    <w:rsid w:val="005939F6"/>
    <w:rsid w:val="005D3A46"/>
    <w:rsid w:val="005F5AE2"/>
    <w:rsid w:val="00632CB2"/>
    <w:rsid w:val="00632CD5"/>
    <w:rsid w:val="00815FF8"/>
    <w:rsid w:val="00913638"/>
    <w:rsid w:val="0098060B"/>
    <w:rsid w:val="00A817DB"/>
    <w:rsid w:val="00C41355"/>
    <w:rsid w:val="00C77468"/>
    <w:rsid w:val="00D234A7"/>
    <w:rsid w:val="00D96822"/>
    <w:rsid w:val="00DB35BE"/>
    <w:rsid w:val="00E72A6E"/>
    <w:rsid w:val="00FA3959"/>
    <w:rsid w:val="636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E1AAE-0198-4D2E-A14D-16294E29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正文1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2">
    <w:name w:val="表格样式 2"/>
    <w:qFormat/>
    <w:rPr>
      <w:rFonts w:ascii="Helvetica Neue" w:eastAsia="Helvetica Neue" w:hAnsi="Helvetica Neue" w:cs="Helvetica Neue"/>
      <w:color w:val="000000"/>
    </w:rPr>
  </w:style>
  <w:style w:type="paragraph" w:styleId="a5">
    <w:name w:val="header"/>
    <w:basedOn w:val="a"/>
    <w:link w:val="Char"/>
    <w:rsid w:val="00913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3638"/>
    <w:rPr>
      <w:rFonts w:eastAsia="Arial Unicode MS"/>
      <w:sz w:val="18"/>
      <w:szCs w:val="18"/>
      <w:lang w:eastAsia="en-US"/>
    </w:rPr>
  </w:style>
  <w:style w:type="paragraph" w:styleId="a6">
    <w:name w:val="footer"/>
    <w:basedOn w:val="a"/>
    <w:link w:val="Char0"/>
    <w:rsid w:val="009136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13638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10</cp:revision>
  <dcterms:created xsi:type="dcterms:W3CDTF">2021-11-16T05:15:00Z</dcterms:created>
  <dcterms:modified xsi:type="dcterms:W3CDTF">2022-06-13T03:58:00Z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993630CA2BF24F8D9640D6A901A28FEA</vt:lpwstr>
  </property>
</Properties>
</file>