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8EDD" w14:textId="0D0C509D" w:rsidR="002E6CA0" w:rsidRDefault="002E6CA0" w:rsidP="002E6C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4B4F">
        <w:rPr>
          <w:rFonts w:ascii="Times New Roman" w:hAnsi="Times New Roman" w:cs="Times New Roman"/>
          <w:b/>
          <w:bCs/>
          <w:sz w:val="24"/>
          <w:szCs w:val="24"/>
        </w:rPr>
        <w:t>Annex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2C4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4: PSM procedure</w:t>
      </w:r>
    </w:p>
    <w:p w14:paraId="56C39EAF" w14:textId="5385826D" w:rsidR="002E6CA0" w:rsidRPr="002C4B4F" w:rsidRDefault="002E6CA0" w:rsidP="002E6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2. </w:t>
      </w:r>
      <w:r w:rsidRPr="002C4B4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6943A9">
        <w:rPr>
          <w:rFonts w:ascii="Times New Roman" w:hAnsi="Times New Roman" w:cs="Times New Roman"/>
          <w:b/>
          <w:bCs/>
          <w:sz w:val="24"/>
          <w:szCs w:val="24"/>
        </w:rPr>
        <w:t>Sample balance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C4B4F">
        <w:rPr>
          <w:rFonts w:ascii="Times New Roman" w:hAnsi="Times New Roman" w:cs="Times New Roman"/>
          <w:b/>
          <w:bCs/>
          <w:sz w:val="24"/>
          <w:szCs w:val="24"/>
        </w:rPr>
        <w:t xml:space="preserve"> before PSM and after PSM</w:t>
      </w:r>
    </w:p>
    <w:tbl>
      <w:tblPr>
        <w:tblStyle w:val="1"/>
        <w:tblW w:w="5000" w:type="pct"/>
        <w:jc w:val="center"/>
        <w:tblBorders>
          <w:top w:val="single" w:sz="4" w:space="0" w:color="FF0000"/>
          <w:left w:val="none" w:sz="0" w:space="0" w:color="auto"/>
          <w:bottom w:val="single" w:sz="4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3666"/>
        <w:gridCol w:w="2916"/>
        <w:gridCol w:w="2316"/>
      </w:tblGrid>
      <w:tr w:rsidR="002E6CA0" w:rsidRPr="00B50946" w14:paraId="06CDCAF5" w14:textId="77777777" w:rsidTr="00094386">
        <w:trPr>
          <w:jc w:val="center"/>
        </w:trPr>
        <w:tc>
          <w:tcPr>
            <w:tcW w:w="1397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29AB76B8" w14:textId="77777777" w:rsidR="002E6CA0" w:rsidRPr="00B50946" w:rsidRDefault="002E6CA0" w:rsidP="0009438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50946">
              <w:rPr>
                <w:rFonts w:ascii="Times New Roman" w:hAnsi="Times New Roman" w:cs="Times New Roman"/>
                <w:b/>
                <w:bCs/>
                <w:szCs w:val="21"/>
              </w:rPr>
              <w:t>Covariates</w:t>
            </w:r>
          </w:p>
        </w:tc>
        <w:tc>
          <w:tcPr>
            <w:tcW w:w="14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31F62DD6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50946">
              <w:rPr>
                <w:rFonts w:ascii="Times New Roman" w:hAnsi="Times New Roman" w:cs="Times New Roman"/>
                <w:b/>
                <w:bCs/>
                <w:szCs w:val="21"/>
              </w:rPr>
              <w:t>Unmatched</w:t>
            </w:r>
          </w:p>
        </w:tc>
        <w:tc>
          <w:tcPr>
            <w:tcW w:w="1183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C493F09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50946">
              <w:rPr>
                <w:rFonts w:ascii="Times New Roman" w:hAnsi="Times New Roman" w:cs="Times New Roman"/>
                <w:b/>
                <w:bCs/>
                <w:szCs w:val="21"/>
              </w:rPr>
              <w:sym w:font="Symbol" w:char="F063"/>
            </w:r>
            <w:r w:rsidRPr="00B50946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968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04235F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50946">
              <w:rPr>
                <w:rFonts w:ascii="Times New Roman" w:hAnsi="Times New Roman" w:cs="Times New Roman"/>
                <w:b/>
                <w:bCs/>
                <w:szCs w:val="21"/>
              </w:rPr>
              <w:t>P value</w:t>
            </w:r>
          </w:p>
        </w:tc>
      </w:tr>
      <w:tr w:rsidR="002E6CA0" w:rsidRPr="00B50946" w14:paraId="2D14CC52" w14:textId="77777777" w:rsidTr="00094386">
        <w:trPr>
          <w:jc w:val="center"/>
        </w:trPr>
        <w:tc>
          <w:tcPr>
            <w:tcW w:w="1397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1FEFCB82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4D5EFE09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50946">
              <w:rPr>
                <w:rFonts w:ascii="Times New Roman" w:hAnsi="Times New Roman" w:cs="Times New Roman"/>
                <w:b/>
                <w:bCs/>
                <w:szCs w:val="21"/>
              </w:rPr>
              <w:t>Matched</w:t>
            </w:r>
          </w:p>
        </w:tc>
        <w:tc>
          <w:tcPr>
            <w:tcW w:w="1183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504487DE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701D3F5D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6CA0" w:rsidRPr="00B50946" w14:paraId="6B3F814A" w14:textId="77777777" w:rsidTr="00094386">
        <w:trPr>
          <w:jc w:val="center"/>
        </w:trPr>
        <w:tc>
          <w:tcPr>
            <w:tcW w:w="1397" w:type="pct"/>
            <w:vMerge w:val="restart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14:paraId="11EF313F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452" w:type="pct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14:paraId="2040EDFE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75F6F446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125.934</w:t>
            </w:r>
          </w:p>
        </w:tc>
        <w:tc>
          <w:tcPr>
            <w:tcW w:w="968" w:type="pct"/>
            <w:tcBorders>
              <w:top w:val="single" w:sz="4" w:space="0" w:color="000000" w:themeColor="text1"/>
              <w:bottom w:val="nil"/>
            </w:tcBorders>
            <w:noWrap/>
            <w:vAlign w:val="center"/>
          </w:tcPr>
          <w:p w14:paraId="1E061AD1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5B68AD74" w14:textId="77777777" w:rsidTr="00094386">
        <w:trPr>
          <w:jc w:val="center"/>
        </w:trPr>
        <w:tc>
          <w:tcPr>
            <w:tcW w:w="1397" w:type="pct"/>
            <w:vMerge/>
            <w:tcBorders>
              <w:top w:val="nil"/>
            </w:tcBorders>
            <w:noWrap/>
            <w:vAlign w:val="center"/>
            <w:hideMark/>
          </w:tcPr>
          <w:p w14:paraId="7E4FEB04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tcBorders>
              <w:top w:val="nil"/>
            </w:tcBorders>
            <w:noWrap/>
            <w:vAlign w:val="center"/>
            <w:hideMark/>
          </w:tcPr>
          <w:p w14:paraId="5AF7F176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tcBorders>
              <w:top w:val="nil"/>
            </w:tcBorders>
            <w:noWrap/>
            <w:vAlign w:val="center"/>
          </w:tcPr>
          <w:p w14:paraId="74F72331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0.016</w:t>
            </w:r>
          </w:p>
        </w:tc>
        <w:tc>
          <w:tcPr>
            <w:tcW w:w="968" w:type="pct"/>
            <w:tcBorders>
              <w:top w:val="nil"/>
            </w:tcBorders>
            <w:noWrap/>
            <w:vAlign w:val="center"/>
          </w:tcPr>
          <w:p w14:paraId="480DFB26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0.900</w:t>
            </w:r>
          </w:p>
        </w:tc>
      </w:tr>
      <w:tr w:rsidR="002E6CA0" w:rsidRPr="00B50946" w14:paraId="6139EC39" w14:textId="77777777" w:rsidTr="00094386">
        <w:trPr>
          <w:jc w:val="center"/>
        </w:trPr>
        <w:tc>
          <w:tcPr>
            <w:tcW w:w="1397" w:type="pct"/>
            <w:vMerge w:val="restart"/>
            <w:noWrap/>
            <w:vAlign w:val="center"/>
            <w:hideMark/>
          </w:tcPr>
          <w:p w14:paraId="59D33460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1452" w:type="pct"/>
            <w:noWrap/>
            <w:vAlign w:val="center"/>
            <w:hideMark/>
          </w:tcPr>
          <w:p w14:paraId="168D1CAC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noWrap/>
            <w:vAlign w:val="center"/>
          </w:tcPr>
          <w:p w14:paraId="3E91A523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91.324</w:t>
            </w:r>
          </w:p>
        </w:tc>
        <w:tc>
          <w:tcPr>
            <w:tcW w:w="968" w:type="pct"/>
            <w:noWrap/>
            <w:vAlign w:val="center"/>
          </w:tcPr>
          <w:p w14:paraId="74790175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22AEF52C" w14:textId="77777777" w:rsidTr="00094386">
        <w:trPr>
          <w:jc w:val="center"/>
        </w:trPr>
        <w:tc>
          <w:tcPr>
            <w:tcW w:w="1397" w:type="pct"/>
            <w:vMerge/>
            <w:noWrap/>
            <w:vAlign w:val="center"/>
            <w:hideMark/>
          </w:tcPr>
          <w:p w14:paraId="06283754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noWrap/>
            <w:vAlign w:val="center"/>
            <w:hideMark/>
          </w:tcPr>
          <w:p w14:paraId="4FDF4537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noWrap/>
            <w:vAlign w:val="center"/>
          </w:tcPr>
          <w:p w14:paraId="436F358F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8.517</w:t>
            </w:r>
          </w:p>
        </w:tc>
        <w:tc>
          <w:tcPr>
            <w:tcW w:w="968" w:type="pct"/>
            <w:noWrap/>
            <w:vAlign w:val="center"/>
          </w:tcPr>
          <w:p w14:paraId="1C667BFA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0.074</w:t>
            </w:r>
          </w:p>
        </w:tc>
      </w:tr>
      <w:tr w:rsidR="002E6CA0" w:rsidRPr="00B50946" w14:paraId="13103511" w14:textId="77777777" w:rsidTr="00094386">
        <w:trPr>
          <w:jc w:val="center"/>
        </w:trPr>
        <w:tc>
          <w:tcPr>
            <w:tcW w:w="1397" w:type="pct"/>
            <w:vMerge w:val="restart"/>
            <w:noWrap/>
            <w:vAlign w:val="center"/>
            <w:hideMark/>
          </w:tcPr>
          <w:p w14:paraId="2D005A2C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Marital status</w:t>
            </w:r>
          </w:p>
        </w:tc>
        <w:tc>
          <w:tcPr>
            <w:tcW w:w="1452" w:type="pct"/>
            <w:noWrap/>
            <w:vAlign w:val="center"/>
            <w:hideMark/>
          </w:tcPr>
          <w:p w14:paraId="019024E0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noWrap/>
            <w:vAlign w:val="center"/>
          </w:tcPr>
          <w:p w14:paraId="11E36584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919.249</w:t>
            </w:r>
          </w:p>
        </w:tc>
        <w:tc>
          <w:tcPr>
            <w:tcW w:w="968" w:type="pct"/>
            <w:noWrap/>
            <w:vAlign w:val="center"/>
          </w:tcPr>
          <w:p w14:paraId="5BBA3F03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32A201CA" w14:textId="77777777" w:rsidTr="00094386">
        <w:trPr>
          <w:trHeight w:val="375"/>
          <w:jc w:val="center"/>
        </w:trPr>
        <w:tc>
          <w:tcPr>
            <w:tcW w:w="1397" w:type="pct"/>
            <w:vMerge/>
            <w:noWrap/>
            <w:vAlign w:val="center"/>
            <w:hideMark/>
          </w:tcPr>
          <w:p w14:paraId="6FD0763C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noWrap/>
            <w:vAlign w:val="center"/>
            <w:hideMark/>
          </w:tcPr>
          <w:p w14:paraId="2B54CA51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noWrap/>
            <w:vAlign w:val="center"/>
          </w:tcPr>
          <w:p w14:paraId="6EE25C44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9.471</w:t>
            </w:r>
          </w:p>
        </w:tc>
        <w:tc>
          <w:tcPr>
            <w:tcW w:w="968" w:type="pct"/>
            <w:noWrap/>
            <w:vAlign w:val="center"/>
          </w:tcPr>
          <w:p w14:paraId="7CFA8A8B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&gt;</w:t>
            </w:r>
            <w:r w:rsidRPr="00B50946">
              <w:rPr>
                <w:rFonts w:ascii="Times New Roman" w:hAnsi="Times New Roman" w:cs="Times New Roman"/>
                <w:szCs w:val="21"/>
              </w:rPr>
              <w:t>0.05</w:t>
            </w:r>
          </w:p>
        </w:tc>
      </w:tr>
      <w:tr w:rsidR="002E6CA0" w:rsidRPr="00B50946" w14:paraId="30E53230" w14:textId="77777777" w:rsidTr="00094386">
        <w:trPr>
          <w:jc w:val="center"/>
        </w:trPr>
        <w:tc>
          <w:tcPr>
            <w:tcW w:w="1397" w:type="pct"/>
            <w:vMerge w:val="restart"/>
            <w:noWrap/>
            <w:vAlign w:val="center"/>
            <w:hideMark/>
          </w:tcPr>
          <w:p w14:paraId="0C2B6FA3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Educational level</w:t>
            </w:r>
          </w:p>
        </w:tc>
        <w:tc>
          <w:tcPr>
            <w:tcW w:w="1452" w:type="pct"/>
            <w:noWrap/>
            <w:vAlign w:val="center"/>
            <w:hideMark/>
          </w:tcPr>
          <w:p w14:paraId="79667E1A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noWrap/>
            <w:vAlign w:val="center"/>
          </w:tcPr>
          <w:p w14:paraId="6C00ACFE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987.778</w:t>
            </w:r>
          </w:p>
        </w:tc>
        <w:tc>
          <w:tcPr>
            <w:tcW w:w="968" w:type="pct"/>
            <w:noWrap/>
            <w:vAlign w:val="center"/>
          </w:tcPr>
          <w:p w14:paraId="70F98EB9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652C7F11" w14:textId="77777777" w:rsidTr="00094386">
        <w:trPr>
          <w:jc w:val="center"/>
        </w:trPr>
        <w:tc>
          <w:tcPr>
            <w:tcW w:w="1397" w:type="pct"/>
            <w:vMerge/>
            <w:noWrap/>
            <w:vAlign w:val="center"/>
            <w:hideMark/>
          </w:tcPr>
          <w:p w14:paraId="63C33354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noWrap/>
            <w:vAlign w:val="center"/>
            <w:hideMark/>
          </w:tcPr>
          <w:p w14:paraId="5294F9D4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noWrap/>
            <w:vAlign w:val="center"/>
          </w:tcPr>
          <w:p w14:paraId="38410B77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4.301</w:t>
            </w:r>
          </w:p>
        </w:tc>
        <w:tc>
          <w:tcPr>
            <w:tcW w:w="968" w:type="pct"/>
            <w:noWrap/>
            <w:vAlign w:val="center"/>
          </w:tcPr>
          <w:p w14:paraId="326198B7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0.367</w:t>
            </w:r>
          </w:p>
        </w:tc>
      </w:tr>
      <w:tr w:rsidR="002E6CA0" w:rsidRPr="00B50946" w14:paraId="245225E0" w14:textId="77777777" w:rsidTr="00094386">
        <w:trPr>
          <w:jc w:val="center"/>
        </w:trPr>
        <w:tc>
          <w:tcPr>
            <w:tcW w:w="1397" w:type="pct"/>
            <w:vMerge w:val="restart"/>
            <w:noWrap/>
            <w:vAlign w:val="center"/>
            <w:hideMark/>
          </w:tcPr>
          <w:p w14:paraId="7713A02A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Occupation</w:t>
            </w:r>
          </w:p>
        </w:tc>
        <w:tc>
          <w:tcPr>
            <w:tcW w:w="1452" w:type="pct"/>
            <w:noWrap/>
            <w:vAlign w:val="center"/>
            <w:hideMark/>
          </w:tcPr>
          <w:p w14:paraId="46F4682A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noWrap/>
            <w:vAlign w:val="center"/>
          </w:tcPr>
          <w:p w14:paraId="294CE54E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326.655</w:t>
            </w:r>
          </w:p>
        </w:tc>
        <w:tc>
          <w:tcPr>
            <w:tcW w:w="968" w:type="pct"/>
            <w:noWrap/>
            <w:vAlign w:val="center"/>
          </w:tcPr>
          <w:p w14:paraId="0605B735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77D28157" w14:textId="77777777" w:rsidTr="00094386">
        <w:trPr>
          <w:jc w:val="center"/>
        </w:trPr>
        <w:tc>
          <w:tcPr>
            <w:tcW w:w="1397" w:type="pct"/>
            <w:vMerge/>
            <w:noWrap/>
            <w:vAlign w:val="center"/>
            <w:hideMark/>
          </w:tcPr>
          <w:p w14:paraId="7E83CFFF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noWrap/>
            <w:vAlign w:val="center"/>
            <w:hideMark/>
          </w:tcPr>
          <w:p w14:paraId="21CF70BC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noWrap/>
            <w:vAlign w:val="center"/>
          </w:tcPr>
          <w:p w14:paraId="2E24A2F5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7.743</w:t>
            </w:r>
          </w:p>
        </w:tc>
        <w:tc>
          <w:tcPr>
            <w:tcW w:w="968" w:type="pct"/>
            <w:noWrap/>
            <w:vAlign w:val="center"/>
          </w:tcPr>
          <w:p w14:paraId="4E8C4F7E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0.459</w:t>
            </w:r>
          </w:p>
        </w:tc>
      </w:tr>
      <w:tr w:rsidR="002E6CA0" w:rsidRPr="00B50946" w14:paraId="13FAFEF7" w14:textId="77777777" w:rsidTr="00094386">
        <w:trPr>
          <w:jc w:val="center"/>
        </w:trPr>
        <w:tc>
          <w:tcPr>
            <w:tcW w:w="1397" w:type="pct"/>
            <w:vMerge w:val="restart"/>
            <w:noWrap/>
            <w:vAlign w:val="center"/>
            <w:hideMark/>
          </w:tcPr>
          <w:p w14:paraId="61B8EE60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Perception of the NPV mutation</w:t>
            </w:r>
          </w:p>
        </w:tc>
        <w:tc>
          <w:tcPr>
            <w:tcW w:w="1452" w:type="pct"/>
            <w:noWrap/>
            <w:vAlign w:val="center"/>
            <w:hideMark/>
          </w:tcPr>
          <w:p w14:paraId="0E9DB7D0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noWrap/>
            <w:vAlign w:val="center"/>
          </w:tcPr>
          <w:p w14:paraId="53A15F5B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848.642</w:t>
            </w:r>
          </w:p>
        </w:tc>
        <w:tc>
          <w:tcPr>
            <w:tcW w:w="968" w:type="pct"/>
            <w:noWrap/>
            <w:vAlign w:val="center"/>
          </w:tcPr>
          <w:p w14:paraId="70D41A1F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714E9BC4" w14:textId="77777777" w:rsidTr="00094386">
        <w:trPr>
          <w:jc w:val="center"/>
        </w:trPr>
        <w:tc>
          <w:tcPr>
            <w:tcW w:w="1397" w:type="pct"/>
            <w:vMerge/>
            <w:noWrap/>
            <w:vAlign w:val="center"/>
            <w:hideMark/>
          </w:tcPr>
          <w:p w14:paraId="1F140C32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noWrap/>
            <w:vAlign w:val="center"/>
            <w:hideMark/>
          </w:tcPr>
          <w:p w14:paraId="5F24920F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noWrap/>
            <w:vAlign w:val="center"/>
          </w:tcPr>
          <w:p w14:paraId="1904369F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1.449</w:t>
            </w:r>
          </w:p>
        </w:tc>
        <w:tc>
          <w:tcPr>
            <w:tcW w:w="968" w:type="pct"/>
            <w:noWrap/>
            <w:vAlign w:val="center"/>
          </w:tcPr>
          <w:p w14:paraId="51B03E30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0.485</w:t>
            </w:r>
          </w:p>
        </w:tc>
      </w:tr>
      <w:tr w:rsidR="002E6CA0" w:rsidRPr="00B50946" w14:paraId="47D638EF" w14:textId="77777777" w:rsidTr="00094386">
        <w:trPr>
          <w:jc w:val="center"/>
        </w:trPr>
        <w:tc>
          <w:tcPr>
            <w:tcW w:w="1397" w:type="pct"/>
            <w:vMerge w:val="restart"/>
            <w:noWrap/>
            <w:vAlign w:val="center"/>
            <w:hideMark/>
          </w:tcPr>
          <w:p w14:paraId="6FBA905B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Perception of the</w:t>
            </w:r>
            <w:r w:rsidRPr="00B50946" w:rsidDel="002922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50946">
              <w:rPr>
                <w:rFonts w:ascii="Times New Roman" w:hAnsi="Times New Roman" w:cs="Times New Roman"/>
                <w:szCs w:val="21"/>
              </w:rPr>
              <w:t>effectiveness of COVID-19 vaccine</w:t>
            </w:r>
          </w:p>
        </w:tc>
        <w:tc>
          <w:tcPr>
            <w:tcW w:w="1452" w:type="pct"/>
            <w:noWrap/>
            <w:vAlign w:val="center"/>
            <w:hideMark/>
          </w:tcPr>
          <w:p w14:paraId="6340F176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noWrap/>
            <w:vAlign w:val="center"/>
          </w:tcPr>
          <w:p w14:paraId="4D7C2631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2621.518</w:t>
            </w:r>
          </w:p>
        </w:tc>
        <w:tc>
          <w:tcPr>
            <w:tcW w:w="968" w:type="pct"/>
            <w:noWrap/>
            <w:vAlign w:val="center"/>
          </w:tcPr>
          <w:p w14:paraId="2ED1F5FA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5AF0F688" w14:textId="77777777" w:rsidTr="00094386">
        <w:trPr>
          <w:jc w:val="center"/>
        </w:trPr>
        <w:tc>
          <w:tcPr>
            <w:tcW w:w="1397" w:type="pct"/>
            <w:vMerge/>
            <w:tcBorders>
              <w:bottom w:val="nil"/>
            </w:tcBorders>
            <w:noWrap/>
            <w:vAlign w:val="center"/>
            <w:hideMark/>
          </w:tcPr>
          <w:p w14:paraId="0052FCC0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tcBorders>
              <w:bottom w:val="nil"/>
            </w:tcBorders>
            <w:noWrap/>
            <w:vAlign w:val="center"/>
            <w:hideMark/>
          </w:tcPr>
          <w:p w14:paraId="0AB6EFA6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tcBorders>
              <w:bottom w:val="nil"/>
            </w:tcBorders>
            <w:noWrap/>
            <w:vAlign w:val="center"/>
          </w:tcPr>
          <w:p w14:paraId="271478FE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0.714</w:t>
            </w:r>
          </w:p>
        </w:tc>
        <w:tc>
          <w:tcPr>
            <w:tcW w:w="968" w:type="pct"/>
            <w:tcBorders>
              <w:bottom w:val="nil"/>
            </w:tcBorders>
            <w:noWrap/>
            <w:vAlign w:val="center"/>
          </w:tcPr>
          <w:p w14:paraId="57726747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0.982</w:t>
            </w:r>
          </w:p>
        </w:tc>
      </w:tr>
      <w:tr w:rsidR="002E6CA0" w:rsidRPr="00B50946" w14:paraId="32C031D0" w14:textId="77777777" w:rsidTr="00094386">
        <w:trPr>
          <w:jc w:val="center"/>
        </w:trPr>
        <w:tc>
          <w:tcPr>
            <w:tcW w:w="1397" w:type="pct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692E9892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Perception of the protection period of COVID-19 vaccine</w:t>
            </w:r>
          </w:p>
        </w:tc>
        <w:tc>
          <w:tcPr>
            <w:tcW w:w="145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B9FF8B9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U</w:t>
            </w:r>
          </w:p>
        </w:tc>
        <w:tc>
          <w:tcPr>
            <w:tcW w:w="1183" w:type="pct"/>
            <w:tcBorders>
              <w:top w:val="nil"/>
              <w:bottom w:val="nil"/>
            </w:tcBorders>
            <w:noWrap/>
            <w:vAlign w:val="center"/>
          </w:tcPr>
          <w:p w14:paraId="0315A954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510.325</w:t>
            </w:r>
          </w:p>
        </w:tc>
        <w:tc>
          <w:tcPr>
            <w:tcW w:w="968" w:type="pct"/>
            <w:tcBorders>
              <w:top w:val="nil"/>
              <w:bottom w:val="nil"/>
            </w:tcBorders>
            <w:noWrap/>
            <w:vAlign w:val="center"/>
          </w:tcPr>
          <w:p w14:paraId="710DA001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sym w:font="Symbol" w:char="F03C"/>
            </w:r>
            <w:r w:rsidRPr="00B50946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E6CA0" w:rsidRPr="00B50946" w14:paraId="779A7DCE" w14:textId="77777777" w:rsidTr="00094386">
        <w:trPr>
          <w:jc w:val="center"/>
        </w:trPr>
        <w:tc>
          <w:tcPr>
            <w:tcW w:w="1397" w:type="pct"/>
            <w:vMerge/>
            <w:tcBorders>
              <w:top w:val="nil"/>
              <w:bottom w:val="single" w:sz="4" w:space="0" w:color="000000" w:themeColor="text1"/>
            </w:tcBorders>
            <w:noWrap/>
            <w:vAlign w:val="center"/>
            <w:hideMark/>
          </w:tcPr>
          <w:p w14:paraId="1243D540" w14:textId="77777777" w:rsidR="002E6CA0" w:rsidRPr="00B50946" w:rsidRDefault="002E6CA0" w:rsidP="0009438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 w:themeColor="text1"/>
            </w:tcBorders>
            <w:noWrap/>
            <w:vAlign w:val="center"/>
            <w:hideMark/>
          </w:tcPr>
          <w:p w14:paraId="4F58C62D" w14:textId="77777777" w:rsidR="002E6CA0" w:rsidRPr="00B50946" w:rsidRDefault="002E6CA0" w:rsidP="000943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83" w:type="pct"/>
            <w:tcBorders>
              <w:top w:val="nil"/>
              <w:bottom w:val="single" w:sz="4" w:space="0" w:color="000000" w:themeColor="text1"/>
            </w:tcBorders>
            <w:noWrap/>
            <w:vAlign w:val="center"/>
          </w:tcPr>
          <w:p w14:paraId="1BB78298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2.761</w:t>
            </w:r>
          </w:p>
        </w:tc>
        <w:tc>
          <w:tcPr>
            <w:tcW w:w="968" w:type="pct"/>
            <w:tcBorders>
              <w:top w:val="nil"/>
              <w:bottom w:val="single" w:sz="4" w:space="0" w:color="000000" w:themeColor="text1"/>
            </w:tcBorders>
            <w:noWrap/>
            <w:vAlign w:val="center"/>
          </w:tcPr>
          <w:p w14:paraId="6A19B751" w14:textId="77777777" w:rsidR="002E6CA0" w:rsidRPr="00B50946" w:rsidRDefault="002E6CA0" w:rsidP="0009438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B50946">
              <w:rPr>
                <w:rFonts w:ascii="Times New Roman" w:hAnsi="Times New Roman" w:cs="Times New Roman"/>
                <w:szCs w:val="21"/>
              </w:rPr>
              <w:t>0.737</w:t>
            </w:r>
          </w:p>
        </w:tc>
      </w:tr>
    </w:tbl>
    <w:p w14:paraId="7CD950CD" w14:textId="77777777" w:rsidR="002E6CA0" w:rsidRDefault="002E6CA0" w:rsidP="002E6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PSM procedures: </w:t>
      </w:r>
    </w:p>
    <w:p w14:paraId="37FDCA2D" w14:textId="77777777" w:rsidR="002E6CA0" w:rsidRDefault="002E6CA0" w:rsidP="002E6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1)grouping:</w:t>
      </w:r>
      <w:r w:rsidRPr="0012412E">
        <w:rPr>
          <w:rFonts w:ascii="Times New Roman" w:hAnsi="Times New Roman" w:cs="Times New Roman"/>
          <w:sz w:val="24"/>
          <w:szCs w:val="24"/>
        </w:rPr>
        <w:t xml:space="preserve"> The unvaccinated p</w:t>
      </w:r>
      <w:r>
        <w:rPr>
          <w:rFonts w:ascii="Times New Roman" w:hAnsi="Times New Roman" w:cs="Times New Roman"/>
          <w:sz w:val="24"/>
          <w:szCs w:val="24"/>
        </w:rPr>
        <w:t xml:space="preserve">articipant group was set as “control group”, n=3172 (10.6%); the </w:t>
      </w:r>
      <w:r w:rsidRPr="0012412E">
        <w:rPr>
          <w:rFonts w:ascii="Times New Roman" w:hAnsi="Times New Roman" w:cs="Times New Roman"/>
          <w:sz w:val="24"/>
          <w:szCs w:val="24"/>
        </w:rPr>
        <w:t>vaccinated p</w:t>
      </w:r>
      <w:r>
        <w:rPr>
          <w:rFonts w:ascii="Times New Roman" w:hAnsi="Times New Roman" w:cs="Times New Roman"/>
          <w:sz w:val="24"/>
          <w:szCs w:val="24"/>
        </w:rPr>
        <w:t>articipant group was set as “intervention group”, n=26753(89.4%)</w:t>
      </w:r>
    </w:p>
    <w:p w14:paraId="1E41E403" w14:textId="77777777" w:rsidR="002E6CA0" w:rsidRDefault="002E6CA0" w:rsidP="002E6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m</w:t>
      </w:r>
      <w:r w:rsidRPr="00287CDE">
        <w:rPr>
          <w:rFonts w:ascii="Times New Roman" w:hAnsi="Times New Roman" w:cs="Times New Roman"/>
          <w:sz w:val="24"/>
          <w:szCs w:val="24"/>
        </w:rPr>
        <w:t>atching method</w:t>
      </w:r>
      <w:r>
        <w:rPr>
          <w:rFonts w:ascii="Times New Roman" w:hAnsi="Times New Roman" w:cs="Times New Roman"/>
          <w:sz w:val="24"/>
          <w:szCs w:val="24"/>
        </w:rPr>
        <w:t>: 1:1 matching.</w:t>
      </w:r>
    </w:p>
    <w:p w14:paraId="60D4FB63" w14:textId="77777777" w:rsidR="002E6CA0" w:rsidRDefault="002E6CA0" w:rsidP="002E6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confounders: </w:t>
      </w:r>
      <w:r w:rsidRPr="00287CDE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CDE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CDE"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287CDE">
        <w:rPr>
          <w:rFonts w:ascii="Times New Roman" w:hAnsi="Times New Roman" w:cs="Times New Roman"/>
          <w:sz w:val="24"/>
          <w:szCs w:val="24"/>
        </w:rPr>
        <w:t>ducational</w:t>
      </w:r>
      <w:proofErr w:type="gramEnd"/>
      <w:r w:rsidRPr="00287CDE">
        <w:rPr>
          <w:rFonts w:ascii="Times New Roman" w:hAnsi="Times New Roman" w:cs="Times New Roman"/>
          <w:sz w:val="24"/>
          <w:szCs w:val="24"/>
        </w:rPr>
        <w:t xml:space="preserve"> level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CDE">
        <w:rPr>
          <w:rFonts w:ascii="Times New Roman" w:hAnsi="Times New Roman" w:cs="Times New Roman"/>
          <w:sz w:val="24"/>
          <w:szCs w:val="24"/>
        </w:rPr>
        <w:t>Occupation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CDE">
        <w:rPr>
          <w:rFonts w:ascii="Times New Roman" w:hAnsi="Times New Roman" w:cs="Times New Roman"/>
          <w:sz w:val="24"/>
          <w:szCs w:val="24"/>
        </w:rPr>
        <w:t>Perception of the NPV mutation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CDE">
        <w:rPr>
          <w:rFonts w:ascii="Times New Roman" w:hAnsi="Times New Roman" w:cs="Times New Roman"/>
          <w:sz w:val="24"/>
          <w:szCs w:val="24"/>
        </w:rPr>
        <w:t>Perception of the effectiveness of COVID-19 vaccine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7CDE">
        <w:rPr>
          <w:rFonts w:ascii="Times New Roman" w:hAnsi="Times New Roman" w:cs="Times New Roman"/>
          <w:sz w:val="24"/>
          <w:szCs w:val="24"/>
        </w:rPr>
        <w:t>Perception of the protection period of COVID-19 vaccine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CFCEC" w14:textId="77777777" w:rsidR="002E6CA0" w:rsidRPr="00945A30" w:rsidRDefault="002E6CA0" w:rsidP="002E6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) outcome: 2041 pairs of participants captured (n=4082).</w:t>
      </w:r>
    </w:p>
    <w:p w14:paraId="1E3FE285" w14:textId="77777777" w:rsidR="002E6CA0" w:rsidRPr="00113394" w:rsidRDefault="002E6CA0" w:rsidP="002E6CA0">
      <w:pPr>
        <w:rPr>
          <w:rFonts w:ascii="Times New Roman" w:hAnsi="Times New Roman" w:cs="Times New Roman"/>
          <w:sz w:val="24"/>
          <w:szCs w:val="24"/>
        </w:rPr>
      </w:pPr>
    </w:p>
    <w:p w14:paraId="139DE7E8" w14:textId="77777777" w:rsidR="002E6CA0" w:rsidRPr="002E6CA0" w:rsidRDefault="002E6CA0"/>
    <w:sectPr w:rsidR="002E6CA0" w:rsidRPr="002E6CA0" w:rsidSect="007A1E60">
      <w:pgSz w:w="16840" w:h="11907" w:orient="landscape" w:code="9"/>
      <w:pgMar w:top="1797" w:right="1440" w:bottom="1797" w:left="1440" w:header="851" w:footer="992" w:gutter="0"/>
      <w:lnNumType w:countBy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A0"/>
    <w:rsid w:val="002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633F"/>
  <w15:chartTrackingRefBased/>
  <w15:docId w15:val="{B770B7DE-FAA0-4B2D-B1FC-B7D6BA5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E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E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WL</dc:creator>
  <cp:keywords/>
  <dc:description/>
  <cp:lastModifiedBy>Zhang WL</cp:lastModifiedBy>
  <cp:revision>1</cp:revision>
  <cp:lastPrinted>2022-09-29T10:08:00Z</cp:lastPrinted>
  <dcterms:created xsi:type="dcterms:W3CDTF">2022-09-29T10:07:00Z</dcterms:created>
  <dcterms:modified xsi:type="dcterms:W3CDTF">2022-09-29T10:09:00Z</dcterms:modified>
</cp:coreProperties>
</file>