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1108" w14:textId="77777777" w:rsidR="00D52474" w:rsidRPr="00376CC5" w:rsidRDefault="00D52474" w:rsidP="00D52474">
      <w:pPr>
        <w:pStyle w:val="Title"/>
      </w:pPr>
      <w:bookmarkStart w:id="0" w:name="_Hlk100743641"/>
      <w:r w:rsidRPr="00F6359A">
        <w:rPr>
          <w:sz w:val="36"/>
          <w:szCs w:val="36"/>
        </w:rPr>
        <w:t xml:space="preserve">A novel patient-tailored, cumulative neurotechnology-based therapy for upper-limb rehabilitation in severely impaired chronic stroke patients: the </w:t>
      </w:r>
      <w:r w:rsidRPr="00F6359A">
        <w:rPr>
          <w:i/>
          <w:sz w:val="36"/>
          <w:szCs w:val="36"/>
        </w:rPr>
        <w:t>AVANCER</w:t>
      </w:r>
      <w:r w:rsidRPr="00F6359A">
        <w:rPr>
          <w:sz w:val="36"/>
          <w:szCs w:val="36"/>
        </w:rPr>
        <w:t xml:space="preserve"> study protocol</w:t>
      </w:r>
      <w:r w:rsidRPr="00376CC5">
        <w:t xml:space="preserve"> </w:t>
      </w:r>
    </w:p>
    <w:bookmarkEnd w:id="0"/>
    <w:p w14:paraId="57F6A29A" w14:textId="7DC9D32D" w:rsidR="00EA3D3C" w:rsidRPr="00376CC5" w:rsidRDefault="00D52474" w:rsidP="004045FF">
      <w:pPr>
        <w:pStyle w:val="Heading1"/>
      </w:pPr>
      <w:r>
        <w:t>Graphical user interface</w:t>
      </w:r>
    </w:p>
    <w:p w14:paraId="2B0BA19E" w14:textId="77777777" w:rsidR="00FC1032" w:rsidRPr="008447EF" w:rsidRDefault="00FC1032" w:rsidP="00FC1032">
      <w:pPr>
        <w:jc w:val="both"/>
        <w:rPr>
          <w:rFonts w:cs="Times New Roman"/>
          <w:szCs w:val="24"/>
        </w:rPr>
      </w:pPr>
      <w:r w:rsidRPr="008447EF">
        <w:rPr>
          <w:rFonts w:cs="Times New Roman"/>
          <w:szCs w:val="24"/>
        </w:rPr>
        <w:t xml:space="preserve">The software used to govern the different devices, with the exception of </w:t>
      </w:r>
      <w:proofErr w:type="spellStart"/>
      <w:r w:rsidRPr="008447EF">
        <w:rPr>
          <w:rFonts w:cs="Times New Roman"/>
          <w:szCs w:val="24"/>
        </w:rPr>
        <w:t>tDCS</w:t>
      </w:r>
      <w:proofErr w:type="spellEnd"/>
      <w:r w:rsidRPr="008447EF">
        <w:rPr>
          <w:rFonts w:cs="Times New Roman"/>
          <w:szCs w:val="24"/>
        </w:rPr>
        <w:t>, is developed in Python 3.7. To ease the procedure, we created a graphical user interface (GUI) to attend to the different steps of a session: patient selection, calibration of exoskeleton and functional electrical stimulation (FES), fine calibration of exercises combining the two actuators, tuning and training of the brain-computer interface (BCI) decoder and selection of exercises for the current session. Each step is done on a specific window of the GUI. Safety measures to avoid co-activation of different elements of the GUI and warnings related to the connected devices are implemented.</w:t>
      </w:r>
    </w:p>
    <w:p w14:paraId="4FE4A45B" w14:textId="2D1E3EBC" w:rsidR="00DE23E8" w:rsidRDefault="00D52474" w:rsidP="00AC0270">
      <w:pPr>
        <w:pStyle w:val="Heading1"/>
      </w:pPr>
      <w:r>
        <w:t>Calibration</w:t>
      </w:r>
    </w:p>
    <w:p w14:paraId="7C598A69" w14:textId="65891CAF" w:rsidR="00FC1032" w:rsidRPr="00FC1032" w:rsidRDefault="00FC1032" w:rsidP="00FC1032">
      <w:pPr>
        <w:jc w:val="both"/>
        <w:rPr>
          <w:rFonts w:cs="Times New Roman"/>
          <w:szCs w:val="24"/>
        </w:rPr>
      </w:pPr>
      <w:r w:rsidRPr="008447EF">
        <w:rPr>
          <w:rFonts w:cs="Times New Roman"/>
          <w:szCs w:val="24"/>
        </w:rPr>
        <w:t>The calibration of each actuator is done through specific windows of the GUI, one for each device (Fig. 1</w:t>
      </w:r>
      <w:r w:rsidR="00AE1E6F">
        <w:rPr>
          <w:rFonts w:cs="Times New Roman"/>
          <w:szCs w:val="24"/>
        </w:rPr>
        <w:t>,</w:t>
      </w:r>
      <w:r w:rsidRPr="008447EF">
        <w:rPr>
          <w:rFonts w:cs="Times New Roman"/>
          <w:szCs w:val="24"/>
        </w:rPr>
        <w:t xml:space="preserve"> S</w:t>
      </w:r>
      <w:r w:rsidR="00CE48A2">
        <w:rPr>
          <w:rFonts w:cs="Times New Roman"/>
          <w:szCs w:val="24"/>
        </w:rPr>
        <w:t xml:space="preserve">upplementary </w:t>
      </w:r>
      <w:r w:rsidRPr="008447EF">
        <w:rPr>
          <w:rFonts w:cs="Times New Roman"/>
          <w:szCs w:val="24"/>
        </w:rPr>
        <w:t>M</w:t>
      </w:r>
      <w:r w:rsidR="00CE48A2">
        <w:rPr>
          <w:rFonts w:cs="Times New Roman"/>
          <w:szCs w:val="24"/>
        </w:rPr>
        <w:t>aterial</w:t>
      </w:r>
      <w:r w:rsidRPr="008447EF">
        <w:rPr>
          <w:rFonts w:cs="Times New Roman"/>
          <w:szCs w:val="24"/>
        </w:rPr>
        <w:t>).</w:t>
      </w:r>
    </w:p>
    <w:p w14:paraId="30D80EC5" w14:textId="151BA350" w:rsidR="00D52474" w:rsidRDefault="00D52474" w:rsidP="00D52474">
      <w:pPr>
        <w:pStyle w:val="Heading2"/>
      </w:pPr>
      <w:r>
        <w:t>Exoskeleton</w:t>
      </w:r>
    </w:p>
    <w:p w14:paraId="53F7F5CA" w14:textId="77777777" w:rsidR="00AE1E6F" w:rsidRDefault="00FC1032" w:rsidP="00FC1032">
      <w:pPr>
        <w:jc w:val="both"/>
        <w:rPr>
          <w:rFonts w:cs="Times New Roman"/>
          <w:szCs w:val="24"/>
        </w:rPr>
      </w:pPr>
      <w:r w:rsidRPr="008447EF">
        <w:rPr>
          <w:rFonts w:cs="Times New Roman"/>
          <w:szCs w:val="24"/>
        </w:rPr>
        <w:t xml:space="preserve">The </w:t>
      </w:r>
      <w:proofErr w:type="spellStart"/>
      <w:r w:rsidRPr="008447EF">
        <w:rPr>
          <w:rFonts w:cs="Times New Roman"/>
          <w:szCs w:val="24"/>
        </w:rPr>
        <w:t>Gloreha</w:t>
      </w:r>
      <w:proofErr w:type="spellEnd"/>
      <w:r w:rsidRPr="008447EF">
        <w:rPr>
          <w:rFonts w:cs="Times New Roman"/>
          <w:szCs w:val="24"/>
        </w:rPr>
        <w:t xml:space="preserve"> Sinfonia (</w:t>
      </w:r>
      <w:proofErr w:type="spellStart"/>
      <w:r w:rsidRPr="008447EF">
        <w:rPr>
          <w:rFonts w:cs="Times New Roman"/>
          <w:szCs w:val="24"/>
        </w:rPr>
        <w:t>Idrogenet</w:t>
      </w:r>
      <w:proofErr w:type="spellEnd"/>
      <w:r w:rsidRPr="008447EF">
        <w:rPr>
          <w:rFonts w:cs="Times New Roman"/>
          <w:szCs w:val="24"/>
        </w:rPr>
        <w:t xml:space="preserve">, Brescia, Italy) robotic glove is able to flex and extend each finger independently by elongating or shortening five mechanical wires placed into the guides of the glove worn by the subject </w:t>
      </w:r>
      <w:r w:rsidRPr="008447EF">
        <w:rPr>
          <w:rFonts w:cs="Times New Roman"/>
          <w:szCs w:val="24"/>
        </w:rPr>
        <w:fldChar w:fldCharType="begin"/>
      </w:r>
      <w:r>
        <w:rPr>
          <w:rFonts w:cs="Times New Roman"/>
          <w:szCs w:val="24"/>
        </w:rPr>
        <w:instrText xml:space="preserve"> ADDIN ZOTERO_ITEM CSL_CITATION {"citationID":"rxUVKt9s","properties":{"formattedCitation":"[1]","plainCitation":"[1]","noteIndex":0},"citationItems":[{"id":849,"uris":["http://zotero.org/users/4917572/items/7LTXQMJ5"],"itemData":{"id":849,"type":"article-journal","abstract":"&lt;h2&gt;Abstract&lt;/h2&gt;&lt;h3&gt;Objective&lt;/h3&gt;&lt;p&gt;The purpose of this study was to determine whether passive robotic-assisted hand motion, in addition to standard rehabilitation, would reduce hand pain, edema, or spasticity in all patients following acute stroke, in patients with and without hand paralysis.&lt;/p&gt;&lt;h3&gt;Methods&lt;/h3&gt;&lt;p&gt;Thirty-five participants, aged 45 to 80 years, with functional impairments of their upper extremities after a stroke were recruited for the study from September 2013 to October 2013. One group consisted of 16 patients (mean age ± SD, 68 ± 9 years) with full paralysis and the other groups included 14 patients (mean age ± SD, 67 ± 8 years) with partial paralysis. Patients in the both groups used the Gloreha device for passive mobilization of the hand twice a day for 2 consecutive weeks. The primary outcome measure was hand edema. Secondary outcome measures included pain intensity and spasticity. All outcome measures were collected at baseline and immediately after the intervention (2 weeks).&lt;/p&gt;&lt;h3&gt;Results&lt;/h3&gt;&lt;p&gt;Analysis of variance revealed that the partial paralysis group experienced a significantly greater reduction of edema at the wrist (&lt;i&gt;P&lt;/i&gt; = .005) and pain (&lt;i&gt;P&lt;/i&gt; = .04) when compared with the full paralysis group. Other outcomes were similar for the groups.&lt;/p&gt;&lt;h3&gt;Conclusion&lt;/h3&gt;&lt;p&gt;The results of the current study suggest that the partial paralysis group experienced a significantly greater reduction of edema at the wrist and pain when compared with the full paralysis group. The reduction in pain did not meet the threshold of a minimal clinically important difference.&lt;/p&gt;","container-title":"Journal of Manipulative &amp; Physiological Therapeutics","DOI":"10.1016/j.jmpt.2016.10.003","ISSN":"0161-4754, 1532-6586","issue":"1","journalAbbreviation":"Journal of Manipulative &amp; Physiological Therapeutics","language":"English","note":"publisher: Elsevier\nPMID: 27847124","page":"21-30","source":"www.jmptonline.org","title":"Robot-Assisted Rehabilitation of Hand Paralysis After Stroke Reduces Wrist Edema and Pain: A Prospective Clinical Trial","title-short":"Robot-Assisted Rehabilitation of Hand Paralysis After Stroke Reduces Wrist Edema and Pain","volume":"40","author":[{"family":"Borboni","given":"Alberto"},{"family":"Villafañe","given":"Jorge H."},{"family":"Mullè","given":"Chiara"},{"family":"Valdes","given":"Kristin"},{"family":"Faglia","given":"Rodolfo"},{"family":"Taveggia","given":"Giovanni"},{"family":"Negrini","given":"Stefano"}],"issued":{"date-parts":[["2017",1,1]]}}}],"schema":"https://github.com/citation-style-language/schema/raw/master/csl-citation.json"} </w:instrText>
      </w:r>
      <w:r w:rsidRPr="008447EF">
        <w:rPr>
          <w:rFonts w:cs="Times New Roman"/>
          <w:szCs w:val="24"/>
        </w:rPr>
        <w:fldChar w:fldCharType="separate"/>
      </w:r>
      <w:r w:rsidRPr="008447EF">
        <w:rPr>
          <w:rFonts w:cs="Times New Roman"/>
          <w:szCs w:val="24"/>
        </w:rPr>
        <w:t>[1]</w:t>
      </w:r>
      <w:r w:rsidRPr="008447EF">
        <w:rPr>
          <w:rFonts w:cs="Times New Roman"/>
          <w:szCs w:val="24"/>
        </w:rPr>
        <w:fldChar w:fldCharType="end"/>
      </w:r>
      <w:r w:rsidRPr="008447EF">
        <w:rPr>
          <w:rFonts w:cs="Times New Roman"/>
          <w:szCs w:val="24"/>
        </w:rPr>
        <w:t>. In addition, it has embedded stretch sensors for each finger. Therefore, two types of calibrations are possible: sensor calibration and wire calibration. The former is used to evaluate the active and passive range of motion (ROM) where fingers are moved by the patient or by the therapist, respectively. The latter is needed to tune the flexion of the fingers for each exercise. The combination of the two calibrations can be used to perform assisted-as-needed movements. With this approach, the glove does not passively perform the movement immediately, but waits for an active movement of the fingers for several seconds. If a movement of at least one fifth of the active ROM is detected, the exoskeleton will close or open the hand by the same fraction of ROM. If no movement is detected, the glove will passively perform the full movement.</w:t>
      </w:r>
    </w:p>
    <w:p w14:paraId="6054FB05" w14:textId="0FE86EA7" w:rsidR="00FC1032" w:rsidRPr="00FC1032" w:rsidRDefault="00FC1032" w:rsidP="00FC1032">
      <w:pPr>
        <w:jc w:val="both"/>
        <w:rPr>
          <w:rFonts w:cs="Times New Roman"/>
          <w:szCs w:val="24"/>
        </w:rPr>
      </w:pPr>
      <w:r w:rsidRPr="008447EF">
        <w:rPr>
          <w:rFonts w:cs="Times New Roman"/>
          <w:szCs w:val="24"/>
        </w:rPr>
        <w:t>The maximum extension of each finger is fixed manually, and all the flexions are calibrated through the software as a percentage of it: the maximum extension is always seen as 100% by the software. The rest anatomical position is also tuned through software as for the exercise flexions (Fig. 1a S</w:t>
      </w:r>
      <w:r w:rsidR="00AE1E6F">
        <w:rPr>
          <w:rFonts w:cs="Times New Roman"/>
          <w:szCs w:val="24"/>
        </w:rPr>
        <w:t xml:space="preserve">upplementary </w:t>
      </w:r>
      <w:r w:rsidRPr="008447EF">
        <w:rPr>
          <w:rFonts w:cs="Times New Roman"/>
          <w:szCs w:val="24"/>
        </w:rPr>
        <w:t>M</w:t>
      </w:r>
      <w:r w:rsidR="00AE1E6F">
        <w:rPr>
          <w:rFonts w:cs="Times New Roman"/>
          <w:szCs w:val="24"/>
        </w:rPr>
        <w:t>aterial</w:t>
      </w:r>
      <w:r w:rsidRPr="008447EF">
        <w:rPr>
          <w:rFonts w:cs="Times New Roman"/>
          <w:szCs w:val="24"/>
        </w:rPr>
        <w:t>).</w:t>
      </w:r>
    </w:p>
    <w:p w14:paraId="45470AC5" w14:textId="62240FCB" w:rsidR="00D52474" w:rsidRDefault="00D52474" w:rsidP="00D52474">
      <w:pPr>
        <w:pStyle w:val="Heading2"/>
      </w:pPr>
      <w:r>
        <w:t>Functional electrical stimulation (FES)</w:t>
      </w:r>
    </w:p>
    <w:p w14:paraId="1C7EBDD5" w14:textId="18322A92" w:rsidR="00FC1032" w:rsidRPr="00FC1032" w:rsidRDefault="00FC1032" w:rsidP="00FC1032">
      <w:pPr>
        <w:jc w:val="both"/>
        <w:rPr>
          <w:rFonts w:cs="Times New Roman"/>
          <w:szCs w:val="24"/>
        </w:rPr>
      </w:pPr>
      <w:r w:rsidRPr="008447EF">
        <w:rPr>
          <w:rFonts w:cs="Times New Roman"/>
          <w:szCs w:val="24"/>
        </w:rPr>
        <w:t xml:space="preserve">The maximum intensity (mA) to have an active contraction of the muscle of interest is adjusted in the FES-dedicated window of the GUI. Here, each muscle and associated channel can be configured independently. When the appropriate intensity is found, it is saved to all the exercises (Fig. 1b </w:t>
      </w:r>
      <w:r w:rsidR="00AE1E6F">
        <w:rPr>
          <w:rFonts w:cs="Times New Roman"/>
          <w:szCs w:val="24"/>
        </w:rPr>
        <w:t>Supplementary Material</w:t>
      </w:r>
      <w:r w:rsidRPr="008447EF">
        <w:rPr>
          <w:rFonts w:cs="Times New Roman"/>
          <w:szCs w:val="24"/>
        </w:rPr>
        <w:t xml:space="preserve">). </w:t>
      </w:r>
    </w:p>
    <w:p w14:paraId="00CCFF02" w14:textId="4E374760" w:rsidR="00D52474" w:rsidRDefault="00D52474" w:rsidP="00D52474">
      <w:pPr>
        <w:pStyle w:val="Heading2"/>
      </w:pPr>
      <w:r>
        <w:t>FES and exoskeleton</w:t>
      </w:r>
    </w:p>
    <w:p w14:paraId="39BA00D2" w14:textId="21B96968" w:rsidR="00FC1032" w:rsidRPr="00FC1032" w:rsidRDefault="00FC1032" w:rsidP="00FC1032">
      <w:pPr>
        <w:jc w:val="both"/>
        <w:rPr>
          <w:rFonts w:cs="Times New Roman"/>
          <w:szCs w:val="24"/>
        </w:rPr>
      </w:pPr>
      <w:r w:rsidRPr="008447EF">
        <w:rPr>
          <w:rFonts w:cs="Times New Roman"/>
          <w:szCs w:val="24"/>
        </w:rPr>
        <w:lastRenderedPageBreak/>
        <w:t>Fine-tuning of all the exercises that combine the two actuators is achieved through the time-planner window in which the timing of each actuator can be configured. Here, each channel of the FES is considered independently, whereas fingers are considered as a whole, i.e., the glove. Each exercise has a predefined default, which defines the duration of the exercise and the subdivision of the exercise into sequential tasks. Each task has the following properties for each channel: 1) ON/OFF; 2) initial position (or intensity); 3) final position (or intensity); 4) time of beginning of transition (decimal of second precision; i.e. time-point in subtask when the intensity or ROM start changing for the FES or glove respectively); 5) time of end of transition (decimal of second precision; i.e. time-point in subtask when the intensity or ROM stop changing for the FES or glove respectively). See Fig. 1c SM. Exercises start and finish with the subject in rest position, and with the FES stimulation turned off. An example of exercise with tasks division is shown in Fig. 2 S</w:t>
      </w:r>
      <w:r w:rsidR="00AE1E6F">
        <w:rPr>
          <w:rFonts w:cs="Times New Roman"/>
          <w:szCs w:val="24"/>
        </w:rPr>
        <w:t xml:space="preserve">upplementary </w:t>
      </w:r>
      <w:r w:rsidRPr="008447EF">
        <w:rPr>
          <w:rFonts w:cs="Times New Roman"/>
          <w:szCs w:val="24"/>
        </w:rPr>
        <w:t>M</w:t>
      </w:r>
      <w:r w:rsidR="00AE1E6F">
        <w:rPr>
          <w:rFonts w:cs="Times New Roman"/>
          <w:szCs w:val="24"/>
        </w:rPr>
        <w:t>aterial</w:t>
      </w:r>
      <w:r w:rsidRPr="008447EF">
        <w:rPr>
          <w:rFonts w:cs="Times New Roman"/>
          <w:szCs w:val="24"/>
        </w:rPr>
        <w:t xml:space="preserve">. </w:t>
      </w:r>
    </w:p>
    <w:p w14:paraId="06BA8A81" w14:textId="2655B94B" w:rsidR="00D52474" w:rsidRPr="00376CC5" w:rsidRDefault="00D52474" w:rsidP="00D52474">
      <w:pPr>
        <w:pStyle w:val="Heading2"/>
      </w:pPr>
      <w:r>
        <w:t>Brain-computer interface (BCI)</w:t>
      </w:r>
    </w:p>
    <w:p w14:paraId="281BE2D9" w14:textId="77777777" w:rsidR="00FC1032" w:rsidRDefault="00FC1032" w:rsidP="00FC1032">
      <w:pPr>
        <w:jc w:val="both"/>
        <w:rPr>
          <w:rFonts w:cs="Times New Roman"/>
          <w:szCs w:val="24"/>
        </w:rPr>
      </w:pPr>
      <w:r w:rsidRPr="008447EF">
        <w:rPr>
          <w:rFonts w:cs="Times New Roman"/>
          <w:szCs w:val="24"/>
        </w:rPr>
        <w:t>As for the actuators, the BCI has its own calibration window in the GUI (Fig. 1d SM). The calibration of the decoder (i.e., the classifier) requires a labelled training set, which is acquired at each therapy session by asking the patient to perform three actions for a minimum of 20 repetitions: move the affected hand, move the non-affected hand, and relax. These instructions are given from a screen placed in front of the patient and are synchronized with triggers sent to the EEG amplifier. If moving of the affected hand is not possible, the patient is instructed to try to move, without making compensatory movements, even if this attempt does not lead to an actual movement.</w:t>
      </w:r>
    </w:p>
    <w:p w14:paraId="2D0E1AFF" w14:textId="1D5D874A" w:rsidR="00FC1032" w:rsidRPr="008447EF" w:rsidRDefault="00FC1032" w:rsidP="00FC1032">
      <w:pPr>
        <w:jc w:val="both"/>
        <w:rPr>
          <w:rFonts w:cs="Times New Roman"/>
          <w:szCs w:val="24"/>
        </w:rPr>
      </w:pPr>
      <w:r w:rsidRPr="008447EF">
        <w:rPr>
          <w:rFonts w:cs="Times New Roman"/>
          <w:szCs w:val="24"/>
        </w:rPr>
        <w:t xml:space="preserve">Once this labelled dataset is gathered, a machine learning algorithm based on linear discriminant analysis is trained to find the features that best discriminate the “move the affected hand” class from the “relax” one. The class “move the non-affected hand” is acquired for post-hoc analyses of lateralization, but it is not used for the online model. The features to decode the different classes are based on the power spectral density (PSD) of the </w:t>
      </w:r>
      <w:proofErr w:type="spellStart"/>
      <w:r w:rsidRPr="008447EF">
        <w:rPr>
          <w:rFonts w:cs="Times New Roman"/>
          <w:szCs w:val="24"/>
        </w:rPr>
        <w:t>ipsilesional</w:t>
      </w:r>
      <w:proofErr w:type="spellEnd"/>
      <w:r w:rsidRPr="008447EF">
        <w:rPr>
          <w:rFonts w:cs="Times New Roman"/>
          <w:szCs w:val="24"/>
        </w:rPr>
        <w:t xml:space="preserve"> channels (i.e., nine channels over the motor cortex of the </w:t>
      </w:r>
      <w:proofErr w:type="spellStart"/>
      <w:r w:rsidRPr="008447EF">
        <w:rPr>
          <w:rFonts w:cs="Times New Roman"/>
          <w:szCs w:val="24"/>
        </w:rPr>
        <w:t>ipsilesional</w:t>
      </w:r>
      <w:proofErr w:type="spellEnd"/>
      <w:r w:rsidRPr="008447EF">
        <w:rPr>
          <w:rFonts w:cs="Times New Roman"/>
          <w:szCs w:val="24"/>
        </w:rPr>
        <w:t xml:space="preserve"> hemisphere) at each frequency band (2Hz wide) ranging from 2 to 40 Hz. Features, as well as hyper-parameters, are tuned using cross-validation. </w:t>
      </w:r>
    </w:p>
    <w:p w14:paraId="112E62A2" w14:textId="77777777" w:rsidR="00FC1032" w:rsidRPr="008447EF" w:rsidRDefault="00FC1032" w:rsidP="00FC1032">
      <w:pPr>
        <w:jc w:val="both"/>
        <w:rPr>
          <w:rFonts w:cs="Times New Roman"/>
          <w:szCs w:val="24"/>
        </w:rPr>
      </w:pPr>
      <w:r w:rsidRPr="008447EF">
        <w:rPr>
          <w:rFonts w:cs="Times New Roman"/>
          <w:szCs w:val="24"/>
        </w:rPr>
        <w:t>The offline results (i.e., performance of the classifier based on the training set alone) aid in choosing whether to save or discard the current model. A model is considered good if at least 70% accuracy for both classes is reached. If the model has a good offline performance, it is then tested online in the validation phase. Similarly to the model training, the patient will be asked to move the affected hand and rest for at least 10 repetitions. On top, neurofeedback can be added at patient discretion. This is used to give online feedback to the patient and is in the form of a bar, whose height changes according to the probability that the current signal (i.e. movement intention vs. rest) is classified correctly by the automatic decoded.</w:t>
      </w:r>
    </w:p>
    <w:p w14:paraId="46E02CF1" w14:textId="2079B35F" w:rsidR="001D5C23" w:rsidRDefault="00D52474" w:rsidP="001D5C23">
      <w:pPr>
        <w:pStyle w:val="Heading1"/>
      </w:pPr>
      <w:r>
        <w:t>List of exercises</w:t>
      </w:r>
    </w:p>
    <w:p w14:paraId="66BD9A7A" w14:textId="77777777" w:rsidR="00FC1032" w:rsidRPr="008447EF" w:rsidRDefault="00FC1032" w:rsidP="00FC1032">
      <w:pPr>
        <w:jc w:val="both"/>
        <w:rPr>
          <w:rFonts w:cs="Times New Roman"/>
          <w:szCs w:val="24"/>
        </w:rPr>
      </w:pPr>
      <w:r w:rsidRPr="008447EF">
        <w:rPr>
          <w:rFonts w:cs="Times New Roman"/>
          <w:szCs w:val="24"/>
        </w:rPr>
        <w:t>The combination of multiple-channel FES and exoskeleton allowed us to create a broad list of movements. The full list is reported hereunder; some are simple movements involving only few joints (e.g., shoulder flexion), while others can be considered as full exercises (e.g., reach and grasp an object).</w:t>
      </w:r>
    </w:p>
    <w:p w14:paraId="12DC2D43"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Shoulder flexion (only FES),</w:t>
      </w:r>
    </w:p>
    <w:p w14:paraId="23C12F3F"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Shoulder flexion with supination,</w:t>
      </w:r>
    </w:p>
    <w:p w14:paraId="453E3770"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lastRenderedPageBreak/>
        <w:t>Shoulder abduction (only FES),</w:t>
      </w:r>
    </w:p>
    <w:p w14:paraId="7EE19C53"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Shoulder abduction with elbow extension</w:t>
      </w:r>
    </w:p>
    <w:p w14:paraId="303717C9"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to mouth (only FES),</w:t>
      </w:r>
    </w:p>
    <w:p w14:paraId="4C9848C5"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to mouth with grip,</w:t>
      </w:r>
    </w:p>
    <w:p w14:paraId="092C83BD"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to mouth with grasp,</w:t>
      </w:r>
    </w:p>
    <w:p w14:paraId="0BC698CB"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to mouth with pinch,</w:t>
      </w:r>
    </w:p>
    <w:p w14:paraId="5CE060E3"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Wrist dorsiflexion,</w:t>
      </w:r>
    </w:p>
    <w:p w14:paraId="26F1C6B3"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opening and grasp,</w:t>
      </w:r>
    </w:p>
    <w:p w14:paraId="24607986"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 xml:space="preserve">Hand opening and pinch,  </w:t>
      </w:r>
    </w:p>
    <w:p w14:paraId="2422E1DF"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opening and tripod pinch,</w:t>
      </w:r>
    </w:p>
    <w:p w14:paraId="693FF9D5"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Hand opening and cylindrical grip,</w:t>
      </w:r>
    </w:p>
    <w:p w14:paraId="566047B4"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Finger counting,</w:t>
      </w:r>
    </w:p>
    <w:p w14:paraId="46ABB0BD"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Finger tapping,</w:t>
      </w:r>
    </w:p>
    <w:p w14:paraId="43A80F29"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Reach and grasp a cup,</w:t>
      </w:r>
    </w:p>
    <w:p w14:paraId="215A8332"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Reach and grasp a pen,</w:t>
      </w:r>
    </w:p>
    <w:p w14:paraId="2867CCD6" w14:textId="77777777"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Reach and grasp a ball,</w:t>
      </w:r>
    </w:p>
    <w:p w14:paraId="312A0602" w14:textId="087D978D" w:rsidR="00FC1032" w:rsidRPr="008447EF" w:rsidRDefault="00FC1032" w:rsidP="00FC1032">
      <w:pPr>
        <w:numPr>
          <w:ilvl w:val="0"/>
          <w:numId w:val="23"/>
        </w:numPr>
        <w:pBdr>
          <w:top w:val="nil"/>
          <w:left w:val="nil"/>
          <w:bottom w:val="nil"/>
          <w:right w:val="nil"/>
          <w:between w:val="nil"/>
        </w:pBdr>
        <w:jc w:val="both"/>
        <w:rPr>
          <w:rFonts w:cs="Times New Roman"/>
          <w:color w:val="000000"/>
          <w:szCs w:val="24"/>
        </w:rPr>
      </w:pPr>
      <w:r w:rsidRPr="008447EF">
        <w:rPr>
          <w:rFonts w:cs="Times New Roman"/>
          <w:color w:val="000000"/>
          <w:szCs w:val="24"/>
        </w:rPr>
        <w:t>Clean the table</w:t>
      </w:r>
      <w:r w:rsidR="00AE1E6F">
        <w:rPr>
          <w:rFonts w:cs="Times New Roman"/>
          <w:color w:val="000000"/>
          <w:szCs w:val="24"/>
        </w:rPr>
        <w:t>.</w:t>
      </w:r>
    </w:p>
    <w:p w14:paraId="77E313E8" w14:textId="77777777" w:rsidR="00FC1032" w:rsidRPr="00FC1032" w:rsidRDefault="00FC1032" w:rsidP="00FC1032"/>
    <w:p w14:paraId="322D7844" w14:textId="0714A6EC" w:rsidR="00B657B8" w:rsidRDefault="00D52474" w:rsidP="00B657B8">
      <w:pPr>
        <w:numPr>
          <w:ilvl w:val="0"/>
          <w:numId w:val="17"/>
        </w:numPr>
        <w:tabs>
          <w:tab w:val="clear" w:pos="567"/>
        </w:tabs>
        <w:rPr>
          <w:b/>
          <w:bCs/>
          <w:szCs w:val="24"/>
          <w:lang w:val="en-GB"/>
        </w:rPr>
      </w:pPr>
      <w:r>
        <w:rPr>
          <w:b/>
          <w:bCs/>
          <w:szCs w:val="24"/>
          <w:lang w:val="en-GB"/>
        </w:rPr>
        <w:t xml:space="preserve">Stimulation for electrodes placement for high definition focal </w:t>
      </w:r>
      <w:proofErr w:type="spellStart"/>
      <w:r>
        <w:rPr>
          <w:b/>
          <w:bCs/>
          <w:szCs w:val="24"/>
          <w:lang w:val="en-GB"/>
        </w:rPr>
        <w:t>tDCS</w:t>
      </w:r>
      <w:proofErr w:type="spellEnd"/>
    </w:p>
    <w:p w14:paraId="6A96606C" w14:textId="30114623" w:rsidR="00FC1032" w:rsidRPr="008447EF" w:rsidRDefault="00FC1032" w:rsidP="00FC1032">
      <w:pPr>
        <w:jc w:val="both"/>
        <w:rPr>
          <w:rFonts w:cs="Times New Roman"/>
          <w:szCs w:val="24"/>
        </w:rPr>
      </w:pPr>
      <w:r w:rsidRPr="008447EF">
        <w:rPr>
          <w:rFonts w:cs="Times New Roman"/>
          <w:szCs w:val="24"/>
        </w:rPr>
        <w:t xml:space="preserve">The gold standard montage for </w:t>
      </w:r>
      <w:proofErr w:type="spellStart"/>
      <w:r w:rsidRPr="008447EF">
        <w:rPr>
          <w:rFonts w:cs="Times New Roman"/>
          <w:szCs w:val="24"/>
        </w:rPr>
        <w:t>tDCS</w:t>
      </w:r>
      <w:proofErr w:type="spellEnd"/>
      <w:r w:rsidRPr="008447EF">
        <w:rPr>
          <w:rFonts w:cs="Times New Roman"/>
          <w:szCs w:val="24"/>
        </w:rPr>
        <w:t xml:space="preserve"> over the motor cortex is considered to be the large sponge-based setup, with the active electrode placed at the motor cortex and the return electrode on the frontal contralateral cortex with a surface area of 25cm</w:t>
      </w:r>
      <w:r w:rsidRPr="008447EF">
        <w:rPr>
          <w:rFonts w:cs="Times New Roman"/>
          <w:szCs w:val="24"/>
          <w:vertAlign w:val="superscript"/>
        </w:rPr>
        <w:t>2</w:t>
      </w:r>
      <w:r w:rsidRPr="008447EF">
        <w:rPr>
          <w:rFonts w:cs="Times New Roman"/>
          <w:szCs w:val="24"/>
        </w:rPr>
        <w:t xml:space="preserve">, and a current intensity of 1mA </w:t>
      </w:r>
      <w:r w:rsidRPr="008447EF">
        <w:rPr>
          <w:rFonts w:cs="Times New Roman"/>
          <w:szCs w:val="24"/>
        </w:rPr>
        <w:fldChar w:fldCharType="begin"/>
      </w:r>
      <w:r>
        <w:rPr>
          <w:rFonts w:cs="Times New Roman"/>
          <w:szCs w:val="24"/>
        </w:rPr>
        <w:instrText xml:space="preserve"> ADDIN ZOTERO_ITEM CSL_CITATION {"citationID":"0IMitZei","properties":{"formattedCitation":"[2]","plainCitation":"[2]","noteIndex":0},"citationItems":[{"id":935,"uris":["http://zotero.org/users/4917572/items/9DKSN9MG"],"itemData":{"id":935,"type":"article-journal","abstract":"Background and Purpose\nMechanisms of skill learning are paramount components for stroke recovery. Recent noninvasive brain stimulation studies demonstrated that decreasing activity in the contralesional motor cortex might be beneficial, providing transient functional improvements after stroke. The more crucial question, however, is whether this intervention can also enhance the acquisition of complex motor tasks, yielding longer-lasting functional improvements. In the present study, we tested the capacity of cathodal transcranial direct current stimulation (tDCS) applied over the contralesional motor cortex during training to enhance the acquisition and retention of complex sequential finger movements of the paretic hand.\n\nMethod\nTwelve well-recovered chronic patients with subcortical stroke attended 2 training sessions during which either cathodal tDCS or a sham intervention were applied to the contralesional motor cortex in a double-blind, crossover design. Two different motor sequences, matched for their degree of complexity, were tested in a counterbalanced order during as well as 90 minutes and 24 hours after the intervention. Potential underlying mechanisms were evaluated with transcranial magnetic stimulation.\n\nResults\ntDCS facilitated the acquisition of a new motor skill compared with sham stimulation (P=0.04) yielding better task retention results. A significant correlation was observed between the tDCS-induced improvement during training and the tDCS-induced changes of intracortical inhibition (R2=0.63).\n\nConclusions\nThese results indicate that tDCS is a promising tool to improve not only motor behavior, but also procedural learning. They further underline the potential of noninvasive brain stimulation as an adjuvant treatment for long-term recovery, at least in patients with mild functional impairment after stroke.","container-title":"Stroke; a journal of cerebral circulation","DOI":"10.1161/STROKEAHA.111.645382","ISSN":"0039-2499","issue":"8","journalAbbreviation":"Stroke","note":"PMID: 22618381\nPMCID: PMC4879963","page":"2185-2191","source":"PubMed Central","title":"Modulation of Training by Single-Session Transcranial Direct Current Stimulation to the Intact Motor Cortex Enhances Motor Skill Acquisition of the Paretic Hand","volume":"43","author":[{"family":"Zimerman","given":"Máximo"},{"family":"Heise","given":"Kirstin F."},{"family":"Hoppe","given":"Julia"},{"family":"Cohen","given":"Leonardo G."},{"family":"Gerloff","given":"Christian"},{"family":"Hummel","given":"Friedhelm C."}],"issued":{"date-parts":[["2012",8]]}}}],"schema":"https://github.com/citation-style-language/schema/raw/master/csl-citation.json"} </w:instrText>
      </w:r>
      <w:r w:rsidRPr="008447EF">
        <w:rPr>
          <w:rFonts w:cs="Times New Roman"/>
          <w:szCs w:val="24"/>
        </w:rPr>
        <w:fldChar w:fldCharType="separate"/>
      </w:r>
      <w:r w:rsidRPr="008447EF">
        <w:rPr>
          <w:rFonts w:cs="Times New Roman"/>
          <w:noProof/>
          <w:szCs w:val="24"/>
        </w:rPr>
        <w:t>[2]</w:t>
      </w:r>
      <w:r w:rsidRPr="008447EF">
        <w:rPr>
          <w:rFonts w:cs="Times New Roman"/>
          <w:szCs w:val="24"/>
        </w:rPr>
        <w:fldChar w:fldCharType="end"/>
      </w:r>
      <w:r w:rsidRPr="008447EF">
        <w:rPr>
          <w:rFonts w:cs="Times New Roman"/>
          <w:szCs w:val="24"/>
        </w:rPr>
        <w:t xml:space="preserve">. In the last decade, novel montages have appeared. Among others, the high definition montage has already been used in several clinical studies </w:t>
      </w:r>
      <w:r w:rsidRPr="008447EF">
        <w:rPr>
          <w:rFonts w:cs="Times New Roman"/>
          <w:szCs w:val="24"/>
        </w:rPr>
        <w:fldChar w:fldCharType="begin"/>
      </w:r>
      <w:r>
        <w:rPr>
          <w:rFonts w:cs="Times New Roman"/>
          <w:szCs w:val="24"/>
        </w:rPr>
        <w:instrText xml:space="preserve"> ADDIN ZOTERO_ITEM CSL_CITATION {"citationID":"5qlrBqMy","properties":{"formattedCitation":"[3\\uc0\\u8211{}9]","plainCitation":"[3–9]","noteIndex":0},"citationItems":[{"id":938,"uris":["http://zotero.org/users/4917572/items/XB5HUKTD"],"itemData":{"id":938,"type":"article-journal","abstract":"Transcranial direct current stimulation (tDCS) may serve as an adjunct approach in stroke rehabilitation. The cerebellum could be a target during standing balance training due to its role in motor adaptation. We tested whether cerebellar tDCS can lead to short-term effects on standing balance performance in patients with chronic stroke. Fifteen patients with a chronic stroke were stimulated with anodal stimulation on the contra-lesional cerebellar hemisphere, ipsi-lesional cerebellar hemisphere, or sham stimulation, for 20 min with 1.5 mA in three sessions in randomized order. Ten healthy controls participated in two sessions with cerebellar stimulation ipsi-lateral to their dominant leg or sham stimulation. During stimulation, subjects performed a medio-lateral postural tracking task on a force platform. Standing balance performance was measured directly before and after each training session in several standing positions. Outcomes were center of pressure (CoP) amplitude and its standard deviation, and velocity and its standard deviation and range, subsequently combined into a CoP composite score (comp-score) as a qualitative outcome parameter. In the patient group, a decrease in comp-score in the tandem position was found after contra-lesional tDCS: β = - 0.25, CI = - 0.48 to - 0.03, p = 0.03. No significant differences in demographics and clinical characteristics were found between patients who responded (N = 10) and patients who did not respond (N = 5) to the stimulation. Contra-lesional cerebellar tDCS shows promise for improving standing balance performance. Exploration of optimal timing, dose, and the relation between qualitative parameters and clinical improvements are needed to establish whether tDCS can augment standing balance performance after stroke.","container-title":"Cerebellum (London, England)","DOI":"10.1007/s12311-018-0939-0","ISSN":"1473-4230","issue":"5","journalAbbreviation":"Cerebellum","language":"eng","note":"PMID: 29797226\nPMCID: PMC6132826","page":"575-589","source":"PubMed","title":"Short-Term Effects of Cerebellar tDCS on Standing Balance Performance in Patients with Chronic Stroke and Healthy Age-Matched Elderly","volume":"17","author":[{"family":"Zandvliet","given":"Sarah B."},{"family":"Meskers","given":"Carel G. M."},{"family":"Kwakkel","given":"Gert"},{"family":"Wegen","given":"Erwin E. H.","non-dropping-particle":"van"}],"issued":{"date-parts":[["2018",10]]}}},{"id":941,"uris":["http://zotero.org/users/4917572/items/4A2PR8E8"],"itemData":{"id":941,"type":"article-journal","abstract":"Transcranial Direct Current Stimulation (tDCS) is a non-invasive, low-cost, well-tolerated technique producing lasting modulation of cortical excitability. Behavioral and therapeutic outcomes of tDCS are linked to the targeted brain regions, but there is little evidence that current reaches the brain as intended. We aimed to: (1) validate a computational model for estimating cortical electric fields in human transcranial stimulation, and (2) assess the magnitude and spread of cortical electric field with a novel High-Definition tDCS (HD-tDCS) scalp montage using a 4×1-Ring electrode configuration. In three healthy adults, Transcranial Electrical Stimulation (TES) over primary motor cortex (M1) was delivered using the 4×1 montage (4× cathode, surrounding a single central anode; montage radius ~3 cm) with sufficient intensity to elicit a discrete muscle twitch in the hand. The estimated current distribution in M1 was calculated using the individualized MRI-based model, and compared with the observed motor response across subjects. The response magnitude was quantified with stimulation over motor cortex as well as anterior and posterior to motor cortex. In each case the model data were consistent with the motor response across subjects. The estimated cortical electric fields with the 4×1 montage were compared (area, magnitude, direction) for TES and tDCS in each subject., We provide direct evidence in humans that TES with a 4×1-Ring configuration can activate motor cortex and that current does not substantially spread outside the stimulation area. Computational models predict that both TES and tDCS waveforms using the 4×1-Ring configuration generate electric fields in cortex with comparable gross current distribution, and preferentially directed normal (inward) currents. The agreement of modeling and experimental data for both current delivery and focality support the use of the HD-tDCS 4×1-Ring montage for cortically targeted neuromodulation.","container-title":"NeuroImage","DOI":"10.1016/j.neuroimage.2013.01.042","ISSN":"1053-8119","journalAbbreviation":"Neuroimage","note":"PMID: 23370061\nPMCID: PMC4359173","page":"266-275","source":"PubMed Central","title":"Physiological and modeling evidence for focal transcranial electrical brain stimulation in humans: A basis for high-definition tDCS","title-short":"Physiological and modeling evidence for focal transcranial electrical brain stimulation in humans","volume":"74","author":[{"family":"Edwards","given":"Dylan"},{"family":"Cortes","given":"Mar"},{"family":"Datta","given":"Abhishek"},{"family":"Minhas","given":"Preet"},{"family":"Wassermann","given":"Eric M."},{"family":"Bikson","given":"Marom"}],"issued":{"date-parts":[["2013",7,1]]}}},{"id":944,"uris":["http://zotero.org/users/4917572/items/ZTVRWKYA"],"itemData":{"id":944,"type":"article-journal","abstract":"BACKGROUND: Previous research has typically focussed on the neuromodulatory effects of direct currents applied over single regions of the cortex. However, complex processes such as working memory (WM) strongly rely on activations across a wider neural network and therefore might benefit from stimulation administered over multiple cortical targets.\nOBJECTIVE: We examined the neurobiological and cognitive effects of High-Definition transcranial direct current stimulation (HD-tDCS) montages that either targeted the dorsolateral prefrontal cortex (DLPFC) alone, or simultaneously stimulated the DLPFC and parietal cortex (DLPFC + PC).\nMETHODS: In a within-subjects design, 16 healthy participants completed three experimental sessions in which they received HD-tDCS over either the DLPFC, the DLPFC + PC or sham stimulation. Changes in cortical reactivity were examined using transcranial magnetic stimulation combined with electroencephalography (TMS-EEG), while oscillatory power was measured via EEG recorded during n-back tasks. WM performance was also examined across several separate tasks.\nRESULTS: Stimulation using both the DLPFC or DLPFC + PC montages modulated cortical reactivity, as indexed by potentiation of the P60 TMS-evoked potential. However, only the dual-site DLPFC + PC stimulation produced a reduction in the amplitude of the N100 component, relative to baseline. Increases in theta and gamma power were also observed following this montage, when compared to baseline, but were not present following HD-tDCS over the DLPFC alone. Despite these neurophysiological changes, WM performance was not significantly modulated by HD-tDCS, regardless of stimulation montage.\nCONCLUSION: These results provide important initial insight into the behavioural and biological effects of stimulation over key cortical regions linked to WM and attest to the sensitivity of TMS-EEG and EEG in detecting subtle neurophysiological changes induced by HD-tDCS.","container-title":"Brain Stimulation","DOI":"10.1016/j.brs.2018.06.005","ISSN":"1876-4754","issue":"5","journalAbbreviation":"Brain Stimul","language":"eng","note":"PMID: 29936014","page":"1033-1043","source":"PubMed","title":"Effects of single versus dual-site High-Definition transcranial direct current stimulation (HD-tDCS) on cortical reactivity and working memory performance in healthy subjects","volume":"11","author":[{"family":"Hill","given":"Aron T."},{"family":"Rogasch","given":"Nigel C."},{"family":"Fitzgerald","given":"Paul B."},{"family":"Hoy","given":"Kate E."}],"issued":{"date-parts":[["2018",10]]}}},{"id":946,"uris":["http://zotero.org/users/4917572/items/LNPKGYRI"],"itemData":{"id":946,"type":"article-journal","abstract":"Transcranial direct current stimulation (tDCS) is a non-invasive brain stimulation technique used to modulate cortical activity. However, measured effects on clinically relevant assessments have been inconsistent, possibly due to the non-focal dispersion of current from traditional two electrode configurations. High-definition (HD)-tDCS uses a small array of electrodes (N = 5) to improve targeted current delivery. The purpose of this study was to determine the effects of a single session of anodal and cathodal HD-tDCS on gait kinematics and kinetics and the corticomotor response to transcranial magnetic stimulation (TMS) in individuals post-stroke. We hypothesized that ipsilesional anodal stimulation would increase the corticomotor response to TMS leading to beneficial changes in gait. Eighteen participants post-stroke (average age: 64.8 years, SD: 12.5; average months post-stroke: 54, SD: 42; average lower extremity Fugl-Meyer score: 26, SD: 6) underwent biomechanical and corticomotor response testing on three separate occasions prior to and after HD-tDCS stimulation. In a randomized order, anodal, cathodal, and sham HD-tDCS were applied to the ipsilesional motor cortex for 20 min while participants pedaled on a recumbent cycle ergometer. Gait kinetic and kinematic data were collected while walking on an instrumented split-belt treadmill with motion capture. The corticomotor response of the paretic and non-paretic tibialis anterior (TA) muscles were measured using neuronavigated TMS. Repeated measures ANOVAs using within-subject factors of time point (pre, post) and stimulation type (sham, anodal, cathodal) were used to compare effects of HD-tDCS stimulation on measured variables. HD-tDCS had no effect on over ground walking speed (P &gt; 0.41), or kinematic variables (P &gt; 0.54). The corticomotor responses of the TA muscles were also unaffected by HD-tDCS (resting motor threshold, P = 0.15; motor evoked potential (MEP) amplitude, P = 0.25; MEP normalized latency, P = 0.66). A single session of anodal or cathodal HD-tDCS delivered to a standardized ipsilesional area of the motor cortex does not appear to alter gait kinematics or corticomotor response post-stroke. Repeated sessions and individualized delivery of HD-tDCS may be required to induce beneficial plastic effects. Contralesional stimulation should also be investigated due to the altered interactions between the cerebral hemispheres post-stroke.","container-title":"Frontiers in Neuroscience","DOI":"10.3389/fnins.2019.00286","ISSN":"1662-4548","journalAbbreviation":"Front Neurosci","language":"eng","note":"PMID: 31031579\nPMCID: PMC6470292","page":"286","source":"PubMed","title":"Single Sessions of High-Definition Transcranial Direct Current Stimulation Do Not Alter Lower Extremity Biomechanical or Corticomotor Response Variables Post-stroke","volume":"13","author":[{"family":"Kindred","given":"John Harvey"},{"family":"Kautz","given":"Steven A."},{"family":"Wonsetler","given":"Elizabeth Carr"},{"family":"Bowden","given":"Mark Goodman"}],"issued":{"date-parts":[["2019"]]}}},{"id":797,"uris":["http://zotero.org/users/4917572/items/WBG98VUM"],"itemData":{"id":797,"type":"article-journal","abstract":"Background\nTranscranial direct current stimulation (tDCS) induces long-lasting NMDA receptor-dependent cortical plasticity via persistent subthreshold polarization of neuronal membranes. Conventional bipolar tDCS is applied with two large (35 cm2) rectangular electrodes, resulting in directional modulation of neuronal excitability. Recently a newly designed 4 × 1 high-definition (HD) tDCS protocol was proposed for more focal stimulation according to the results of computational modeling. HD tDCS utilizes small disc electrodes deployed in 4 × 1 ring configuration whereby the physiological effects of the induced electric field are thought to be grossly constrained to the cortical area circumscribed by the ring.\nObjective\nWe aim to compare the physiological effects of both tDCS electrode arrangements on motor cortex excitability.\nMethods\ntDCS was applied with 2 mA for 10 min. Fourteen healthy subjects participated, and motor cortex excitability was monitored by transcranial magnetic stimulation (TMS) before and after tDCS.\nResults\nExcitability enhancement following anodal and a respective reduction after cathodal stimulation occurred in both, conventional and HD tDCS. However, the plastic changes showed a more delayed peak at 30 min and longer lasting after-effects for more than 2 h after HD tDCS for both polarities, as compared to conventional tDCS.\nConclusion\nThe results show that this new electrode arrangement is efficient for the induction of neuroplasticity in the primary motor cortex. The pattern of aftereffects might be compatible with the concept of GABA-mediated surround inhibition, which should be explored in future studies directly.","container-title":"Brain Stimulation","DOI":"10.1016/j.brs.2012.09.010","ISSN":"1935-861X","issue":"4","journalAbbreviation":"Brain Stimulation","language":"en","page":"644-648","source":"ScienceDirect","title":"Comparing Cortical Plasticity Induced by Conventional and High-Definition 4 × 1 Ring tDCS: A Neurophysiological Study","title-short":"Comparing Cortical Plasticity Induced by Conventional and High-Definition 4 × 1 Ring tDCS","volume":"6","author":[{"family":"Kuo","given":"Hsiao-I."},{"family":"Bikson","given":"Marom"},{"family":"Datta","given":"Abhishek"},{"family":"Minhas","given":"Preet"},{"family":"Paulus","given":"Walter"},{"family":"Kuo","given":"Min-Fang"},{"family":"Nitsche","given":"Michael A."}],"issued":{"date-parts":[["2013",7,1]]}}},{"id":949,"uris":["http://zotero.org/users/4917572/items/ICH38X59"],"itemData":{"id":949,"type":"article-journal","abstract":"Transcutaneous electrical stimulation is applied in a range of biomedical applications including transcranial direct current stimulation (tDCS). tDCS is a non-invasive procedure where a weak direct current (&lt;2 mA) is applied across the scalp to modulate brain function. High-definition tDCS (HD-tDCS) is a technique used to increase the spatial focality of tDCS by passing current across the scalp using &lt;12 mm diameter electrodes. The purpose of this study was to design and optimize \"high-definition\" electrode-gel parameters for electrode durability, skin safety and subjective pain. Anode and cathode electrode potential, temperature, pH and subjective sensation over time were assessed during application of 2 mA direct current, for up to 22 min on agar gel or subject forearms. A selection of five types of solid-conductors (Ag pellet, Ag/AgCl pellet, rubber pellet, Ag/AgCl ring and Ag/AgCl disc) and seven conductive gels (Signa, Spectra, Tensive, Redux, BioGel, Lectron and CCNY-4) were investigated. The Ag/AgCl ring in combination with CCNY-4 gel resulted in the most favorable outcomes. Under anode stimulations, electrode potential and temperature rises were generally observed in all electrode-gel combinations except for Ag/AgCl ring and disc electrodes. pH remained constant for all solid-conductors except for both Ag and rubber pellet electrodes with Signa and CCNY-4 gels. Sensation ratings were independent of stimulation polarity. Ag/AgCl ring electrodes were found to be the most comfortable followed by Ag, rubber and Ag/AgCl pellet electrodes across all gels.","container-title":"Journal of Neuroscience Methods","DOI":"10.1016/j.jneumeth.2010.05.007","ISSN":"1872-678X","issue":"2","journalAbbreviation":"J Neurosci Methods","language":"eng","note":"PMID: 20488204\nPMCID: PMC2920288","page":"188-197","source":"PubMed","title":"Electrodes for high-definition transcutaneous DC stimulation for applications in drug delivery and electrotherapy, including tDCS","volume":"190","author":[{"family":"Minhas","given":"Preet"},{"family":"Bansal","given":"Varun"},{"family":"Patel","given":"Jinal"},{"family":"Ho","given":"Johnson S."},{"family":"Diaz","given":"Julian"},{"family":"Datta","given":"Abhishek"},{"family":"Bikson","given":"Marom"}],"issued":{"date-parts":[["2010",7,15]]}}},{"id":952,"uris":["http://zotero.org/users/4917572/items/5S86DI2K"],"itemData":{"id":952,"type":"article-journal","abstract":"Motor dysfunction is known to be a prominent residual impairment in stroke survivors. There is evidence supporting short-term behavioral changes correlated with electrophysiological changes using electric brain stimulation. Studies suggest that altering cortical excitability may prime the cortex for subsequent training and improve functional activity. Using Neuroelectrics’ Starstim novel multichannel wireless device, which allows for simultaneous electroencephalography (EEG), 3D accelerometry and transcranial direct current stimulation (tDCS) using relatively small, gelled, Ag/AgCl electrodes (1cm diameter), we aimed to determine the effects of anodal stimulation tDCS on EEG and transcranial magnetic stimulation (TMS) response, as well as kinematic movement performance in chronic stroke survivors with residual motor deficit in the arm. Fifteen chronic stroke patients with hemiparesis following a first single unilateral lesion received 20min of bilateral 1mA anodal tDCS over the motor cortex of the lesioned hemisphere. Four neurophysiological and motor evaluations were conducted during the experiment: one prior to stimulation and three at different time points following stimulation. Evaluations consisted of a 5min EEG recording at rest and assessment of cortical excitability properties of the lesioned hemisphere using TMS. During the TMS evaluations, motor evoked potentials (MEP) were recorded via surface electromyography (EMG) electrodes both at rest and during maximal voluntary contraction. In addition, EEG was recorded during tDCS stimulation. We report results of MEPs, EEG, and motor behavior. We show, for the first time, that tDCS and EEG recording can be concurrently applied in stroke patients. Bilateral M1 stimulation using small Ag/AgCl electrodes is well tolerated and can augment corticospinal excitability in the affected hemisphere. In the literature, there is only one prior studying using concurrent EEG recording during cathodal tDCS in healthy subjects and two patients with epileptic encephalopathy (Faria et al., 2012). As far as we know, no studies have applied tDCS simultaneous with EEG recording in chronic stroke patients. We report the first study investigating feasibility and proof-of-concept of tDCS in 15 chronic stroke patients using EEG recording simultaneously with tDCS. With continuous EEG recording and neurophysiological data, we hope to gain insight into the mechanisms of biological responses to tDCS and the behavioral changes resulting from stimulation.","container-title":"Clinical Neurophysiology","DOI":"10.1016/j.clinph.2013.04.249","ISSN":"1388-2457","issue":"10","journalAbbreviation":"Clinical Neurophysiology","language":"en","page":"e146-e147","source":"ScienceDirect","title":"P 172. Focal tDCS in Chronic Stroke patients: A pilot study of physiological effects using TMS and concurrent EEG","title-short":"P 172. Focal tDCS in Chronic Stroke patients","volume":"124","author":[{"family":"Boratyn","given":"D."},{"family":"Ruffini","given":"G."},{"family":"Cortes","given":"M."},{"family":"Rykman","given":"A."},{"family":"Medeiros","given":"A."},{"family":"Pascual-Leone","given":"A."},{"family":"Edwards","given":"D."}],"issued":{"date-parts":[["2013",10,1]]}}}],"schema":"https://github.com/citation-style-language/schema/raw/master/csl-citation.json"} </w:instrText>
      </w:r>
      <w:r w:rsidRPr="008447EF">
        <w:rPr>
          <w:rFonts w:cs="Times New Roman"/>
          <w:szCs w:val="24"/>
        </w:rPr>
        <w:fldChar w:fldCharType="separate"/>
      </w:r>
      <w:r w:rsidRPr="008447EF">
        <w:rPr>
          <w:rFonts w:cs="Times New Roman"/>
          <w:szCs w:val="24"/>
          <w:lang w:val="en-GB"/>
        </w:rPr>
        <w:t>[3–9]</w:t>
      </w:r>
      <w:r w:rsidRPr="008447EF">
        <w:rPr>
          <w:rFonts w:cs="Times New Roman"/>
          <w:szCs w:val="24"/>
        </w:rPr>
        <w:fldChar w:fldCharType="end"/>
      </w:r>
      <w:r w:rsidRPr="008447EF">
        <w:rPr>
          <w:rFonts w:cs="Times New Roman"/>
          <w:szCs w:val="24"/>
        </w:rPr>
        <w:t xml:space="preserve">. In this montage the active electrode, with a small surface area is placed on the target region with multiple return electrodes on a fixed distance surrounding it </w:t>
      </w:r>
      <w:r w:rsidRPr="008447EF">
        <w:rPr>
          <w:rFonts w:cs="Times New Roman"/>
          <w:szCs w:val="24"/>
        </w:rPr>
        <w:fldChar w:fldCharType="begin"/>
      </w:r>
      <w:r>
        <w:rPr>
          <w:rFonts w:cs="Times New Roman"/>
          <w:szCs w:val="24"/>
        </w:rPr>
        <w:instrText xml:space="preserve"> ADDIN ZOTERO_ITEM CSL_CITATION {"citationID":"5x3TWAtL","properties":{"formattedCitation":"[7]","plainCitation":"[7]","noteIndex":0},"citationItems":[{"id":797,"uris":["http://zotero.org/users/4917572/items/WBG98VUM"],"itemData":{"id":797,"type":"article-journal","abstract":"Background\nTranscranial direct current stimulation (tDCS) induces long-lasting NMDA receptor-dependent cortical plasticity via persistent subthreshold polarization of neuronal membranes. Conventional bipolar tDCS is applied with two large (35 cm2) rectangular electrodes, resulting in directional modulation of neuronal excitability. Recently a newly designed 4 × 1 high-definition (HD) tDCS protocol was proposed for more focal stimulation according to the results of computational modeling. HD tDCS utilizes small disc electrodes deployed in 4 × 1 ring configuration whereby the physiological effects of the induced electric field are thought to be grossly constrained to the cortical area circumscribed by the ring.\nObjective\nWe aim to compare the physiological effects of both tDCS electrode arrangements on motor cortex excitability.\nMethods\ntDCS was applied with 2 mA for 10 min. Fourteen healthy subjects participated, and motor cortex excitability was monitored by transcranial magnetic stimulation (TMS) before and after tDCS.\nResults\nExcitability enhancement following anodal and a respective reduction after cathodal stimulation occurred in both, conventional and HD tDCS. However, the plastic changes showed a more delayed peak at 30 min and longer lasting after-effects for more than 2 h after HD tDCS for both polarities, as compared to conventional tDCS.\nConclusion\nThe results show that this new electrode arrangement is efficient for the induction of neuroplasticity in the primary motor cortex. The pattern of aftereffects might be compatible with the concept of GABA-mediated surround inhibition, which should be explored in future studies directly.","container-title":"Brain Stimulation","DOI":"10.1016/j.brs.2012.09.010","ISSN":"1935-861X","issue":"4","journalAbbreviation":"Brain Stimulation","language":"en","page":"644-648","source":"ScienceDirect","title":"Comparing Cortical Plasticity Induced by Conventional and High-Definition 4 × 1 Ring tDCS: A Neurophysiological Study","title-short":"Comparing Cortical Plasticity Induced by Conventional and High-Definition 4 × 1 Ring tDCS","volume":"6","author":[{"family":"Kuo","given":"Hsiao-I."},{"family":"Bikson","given":"Marom"},{"family":"Datta","given":"Abhishek"},{"family":"Minhas","given":"Preet"},{"family":"Paulus","given":"Walter"},{"family":"Kuo","given":"Min-Fang"},{"family":"Nitsche","given":"Michael A."}],"issued":{"date-parts":[["2013",7,1]]}}}],"schema":"https://github.com/citation-style-language/schema/raw/master/csl-citation.json"} </w:instrText>
      </w:r>
      <w:r w:rsidRPr="008447EF">
        <w:rPr>
          <w:rFonts w:cs="Times New Roman"/>
          <w:szCs w:val="24"/>
        </w:rPr>
        <w:fldChar w:fldCharType="separate"/>
      </w:r>
      <w:r w:rsidRPr="008447EF">
        <w:rPr>
          <w:rFonts w:cs="Times New Roman"/>
          <w:noProof/>
          <w:szCs w:val="24"/>
        </w:rPr>
        <w:t>[7]</w:t>
      </w:r>
      <w:r w:rsidRPr="008447EF">
        <w:rPr>
          <w:rFonts w:cs="Times New Roman"/>
          <w:szCs w:val="24"/>
        </w:rPr>
        <w:fldChar w:fldCharType="end"/>
      </w:r>
      <w:r w:rsidRPr="008447EF">
        <w:rPr>
          <w:rFonts w:cs="Times New Roman"/>
          <w:szCs w:val="24"/>
        </w:rPr>
        <w:t xml:space="preserve">; because the electrodes used have a rather small diameter (10-20mm), they provide focal stimulation. </w:t>
      </w:r>
    </w:p>
    <w:p w14:paraId="1CF6C0A2" w14:textId="762D4495" w:rsidR="00FC1032" w:rsidRPr="008447EF" w:rsidRDefault="00FC1032" w:rsidP="00FC1032">
      <w:pPr>
        <w:jc w:val="both"/>
        <w:rPr>
          <w:rFonts w:cs="Times New Roman"/>
          <w:szCs w:val="24"/>
        </w:rPr>
      </w:pPr>
      <w:r w:rsidRPr="008447EF">
        <w:rPr>
          <w:rFonts w:cs="Times New Roman"/>
          <w:szCs w:val="24"/>
        </w:rPr>
        <w:t xml:space="preserve">The exact positioning of the high definition 4x1 montage electrodes is however not fixed and we used simulations to find the best placement of all of them, using as benchmark the gold standard. Simulations were done using </w:t>
      </w:r>
      <w:proofErr w:type="spellStart"/>
      <w:r w:rsidRPr="008447EF">
        <w:rPr>
          <w:rFonts w:cs="Times New Roman"/>
          <w:szCs w:val="24"/>
        </w:rPr>
        <w:t>SimNIBS</w:t>
      </w:r>
      <w:proofErr w:type="spellEnd"/>
      <w:r w:rsidRPr="008447EF">
        <w:rPr>
          <w:rFonts w:cs="Times New Roman"/>
          <w:szCs w:val="24"/>
        </w:rPr>
        <w:t xml:space="preserve"> 3.0 </w:t>
      </w:r>
      <w:r w:rsidRPr="008447EF">
        <w:rPr>
          <w:rFonts w:cs="Times New Roman"/>
          <w:szCs w:val="24"/>
        </w:rPr>
        <w:fldChar w:fldCharType="begin"/>
      </w:r>
      <w:r>
        <w:rPr>
          <w:rFonts w:cs="Times New Roman"/>
          <w:szCs w:val="24"/>
        </w:rPr>
        <w:instrText xml:space="preserve"> ADDIN ZOTERO_ITEM CSL_CITATION {"citationID":"QG8Hyg1F","properties":{"formattedCitation":"[10]","plainCitation":"[10]","noteIndex":0},"citationItems":[{"id":928,"uris":["http://zotero.org/users/4917572/items/5TPRTPVX"],"itemData":{"id":928,"type":"article-journal","abstract":"Electric field calculations based on numerical methods and increasingly realistic head models are more and more used in research on Transcranial Magnetic Stimulation (TMS). However, they are still far from being established as standard tools for the planning and analysis in practical applications of TMS. Here, we start by delineating three main challenges that need to be addressed to unravel their full potential. This comprises (i) identifying and dealing with the model uncertainties, (ii) establishing a clear link between the induced fields and the physiological stimulation effects, and (iii) improving the usability of the tools for field calculation to the level that they can be easily used by non-experts. We then introduce a new version of our pipeline for field calculations (www.simnibs.org) that substantially simplifies setting up and running TMS and tDCS simulations based on Finite-Element Methods (FEM). We conclude with a brief outlook on how the new version of SimNIBS can help to target the above identified challenges.","container-title":"Annual International Conference of the IEEE Engineering in Medicine and Biology Society. IEEE Engineering in Medicine and Biology Society. Annual International Conference","DOI":"10.1109/EMBC.2015.7318340","ISSN":"2694-0604","journalAbbreviation":"Annu Int Conf IEEE Eng Med Biol Soc","language":"eng","note":"PMID: 26736240","page":"222-225","source":"PubMed","title":"Field modeling for transcranial magnetic stimulation: A useful tool to understand the physiological effects of TMS?","title-short":"Field modeling for transcranial magnetic stimulation","volume":"2015","author":[{"family":"Thielscher","given":"Axel"},{"family":"Antunes","given":"Andre"},{"family":"Saturnino","given":"Guilherme B."}],"issued":{"date-parts":[["2015"]]}}}],"schema":"https://github.com/citation-style-language/schema/raw/master/csl-citation.json"} </w:instrText>
      </w:r>
      <w:r w:rsidRPr="008447EF">
        <w:rPr>
          <w:rFonts w:cs="Times New Roman"/>
          <w:szCs w:val="24"/>
        </w:rPr>
        <w:fldChar w:fldCharType="separate"/>
      </w:r>
      <w:r w:rsidRPr="008447EF">
        <w:rPr>
          <w:rFonts w:cs="Times New Roman"/>
          <w:noProof/>
          <w:szCs w:val="24"/>
        </w:rPr>
        <w:t>[10]</w:t>
      </w:r>
      <w:r w:rsidRPr="008447EF">
        <w:rPr>
          <w:rFonts w:cs="Times New Roman"/>
          <w:szCs w:val="24"/>
        </w:rPr>
        <w:fldChar w:fldCharType="end"/>
      </w:r>
      <w:r w:rsidRPr="008447EF">
        <w:rPr>
          <w:rFonts w:cs="Times New Roman"/>
          <w:szCs w:val="24"/>
        </w:rPr>
        <w:t xml:space="preserve"> which computes the electric field and current density induced by transcranial stimulation using Finite-Element Methods. Specifically, we aimed at positioning Ag/AgCl lentil electrodes, as developed for the DC-stimulator (</w:t>
      </w:r>
      <w:proofErr w:type="spellStart"/>
      <w:r w:rsidRPr="008447EF">
        <w:rPr>
          <w:rFonts w:cs="Times New Roman"/>
          <w:szCs w:val="24"/>
        </w:rPr>
        <w:t>Neuroconn</w:t>
      </w:r>
      <w:proofErr w:type="spellEnd"/>
      <w:r w:rsidRPr="008447EF">
        <w:rPr>
          <w:rFonts w:cs="Times New Roman"/>
          <w:szCs w:val="24"/>
        </w:rPr>
        <w:t xml:space="preserve">, </w:t>
      </w:r>
      <w:proofErr w:type="spellStart"/>
      <w:r w:rsidRPr="008447EF">
        <w:rPr>
          <w:rFonts w:cs="Times New Roman"/>
          <w:szCs w:val="24"/>
        </w:rPr>
        <w:t>Ilmenau</w:t>
      </w:r>
      <w:proofErr w:type="spellEnd"/>
      <w:r w:rsidRPr="008447EF">
        <w:rPr>
          <w:rFonts w:cs="Times New Roman"/>
          <w:szCs w:val="24"/>
        </w:rPr>
        <w:t xml:space="preserve">, Germany). As starting </w:t>
      </w:r>
      <w:r w:rsidRPr="008447EF">
        <w:rPr>
          <w:rFonts w:cs="Times New Roman"/>
          <w:szCs w:val="24"/>
        </w:rPr>
        <w:lastRenderedPageBreak/>
        <w:t xml:space="preserve">position we placed the anode (i.e., central electrode) near C3, and the four cathodes around it at the same distance, rotated at 45 degrees. From there, we manually translated the anode around the motor cortex, as well as rotated the cathodes around it to evaluate if major differences were obtained in the induced electric field. Different distances between the anode and the cathodes were also tried. The goal of this optimization was to achieve focal motor and sensory cortices stimulation, and a high current density peak in those regions. The final choice was then restricted by the physical impossibility of cutting the EEG cap too close to EEG electrodes needed for the BCI. </w:t>
      </w:r>
    </w:p>
    <w:p w14:paraId="3E54637B" w14:textId="04A83D5B" w:rsidR="00FC1032" w:rsidRPr="00FC1032" w:rsidRDefault="00FC1032" w:rsidP="00FC1032">
      <w:pPr>
        <w:jc w:val="both"/>
        <w:rPr>
          <w:rFonts w:cs="Times New Roman"/>
          <w:szCs w:val="24"/>
        </w:rPr>
      </w:pPr>
      <w:bookmarkStart w:id="1" w:name="_heading=h.1fob9te" w:colFirst="0" w:colLast="0"/>
      <w:bookmarkEnd w:id="1"/>
      <w:r w:rsidRPr="008447EF">
        <w:rPr>
          <w:rFonts w:cs="Times New Roman"/>
          <w:szCs w:val="24"/>
        </w:rPr>
        <w:t>Fig. 3a</w:t>
      </w:r>
      <w:r w:rsidR="00AE1E6F">
        <w:rPr>
          <w:rFonts w:cs="Times New Roman"/>
          <w:szCs w:val="24"/>
        </w:rPr>
        <w:t xml:space="preserve"> Supplementary Material</w:t>
      </w:r>
      <w:r w:rsidRPr="008447EF">
        <w:rPr>
          <w:rFonts w:cs="Times New Roman"/>
          <w:szCs w:val="24"/>
        </w:rPr>
        <w:t>, shows the results of the gold-standard montage. The active electrode is positioned over the left motor cortex (C3 in the international 10-20 EEG system) with an orientation of approximately 45° to the midline. The return electrode is placed over the right frontal cortex (F4 international 10-20 system). Current intensity was 1 mA. Fig. 3b</w:t>
      </w:r>
      <w:r w:rsidR="00AE1E6F">
        <w:rPr>
          <w:rFonts w:cs="Times New Roman"/>
          <w:szCs w:val="24"/>
        </w:rPr>
        <w:t xml:space="preserve"> Supplementary Material</w:t>
      </w:r>
      <w:r w:rsidRPr="008447EF">
        <w:rPr>
          <w:rFonts w:cs="Times New Roman"/>
          <w:szCs w:val="24"/>
        </w:rPr>
        <w:t xml:space="preserve">, shows the simulation results with the chosen 4x1 montage, where the anode is placed over C3 and the 4 cathodes are around it at </w:t>
      </w:r>
      <w:r w:rsidRPr="008447EF">
        <w:rPr>
          <w:rFonts w:cs="Times New Roman"/>
          <w:color w:val="222222"/>
          <w:szCs w:val="24"/>
          <w:shd w:val="clear" w:color="auto" w:fill="FFFFFF"/>
        </w:rPr>
        <w:t>CP5, CP1, FC1, FC5</w:t>
      </w:r>
      <w:r w:rsidRPr="008447EF">
        <w:rPr>
          <w:rFonts w:cs="Times New Roman"/>
          <w:szCs w:val="24"/>
        </w:rPr>
        <w:t xml:space="preserve">. Current intensity is 2 mA. We can observe that the current density peak is in both cases far below the presumed threshold for tissue damage </w:t>
      </w:r>
      <w:r w:rsidRPr="008447EF">
        <w:rPr>
          <w:rFonts w:cs="Times New Roman"/>
          <w:szCs w:val="24"/>
        </w:rPr>
        <w:fldChar w:fldCharType="begin"/>
      </w:r>
      <w:r>
        <w:rPr>
          <w:rFonts w:cs="Times New Roman"/>
          <w:szCs w:val="24"/>
        </w:rPr>
        <w:instrText xml:space="preserve"> ADDIN ZOTERO_ITEM CSL_CITATION {"citationID":"pGbRRE4l","properties":{"formattedCitation":"[11]","plainCitation":"[11]","noteIndex":0},"citationItems":[{"id":1077,"uris":["http://zotero.org/users/4917572/items/E8DJBH7R"],"itemData":{"id":1077,"type":"article-journal","abstract":"Low intensity transcranial electrical stimulation (TES) in humans, encompassing transcranial direct current (tDCS), transcutaneous spinal Direct Current Stimulation (tsDCS), transcranial alternating current (tACS), and transcranial random noise (tRNS) stimulation or their combinations, appears to be safe. No serious adverse events (SAEs) have been reported so far in over 18,000 sessions administered to healthy subjects, neurological and psychiatric patients, as summarized here. Moderate adverse events (AEs), as defined by the necessity to intervene, are rare, and include skin burns with tDCS due to suboptimal electrode-skin contact. Very rarely mania or hypomania was induced in patients with depression (11 documented cases), yet a causal relationship is difficult to prove because of the low incidence rate and limited numbers of subjects in controlled trials. Mild AEs (MAEs) include headache and fatigue following stimulation as well as prickling and burning sensations occurring during tDCS at peak-to-baseline intensities of 1–2 mA and during tACS at higher peak-to-peak intensities above 2 mA., The prevalence of published AEs is different in studies specifically assessing AEs vs. those not assessing them, being higher in the former. AEs are frequently reported by individuals receiving placebo stimulation. The profile of AEs in terms of frequency, magnitude and type is comparable in healthy and clinical populations, and this is also the case for more vulnerable populations, such as children, elderly persons, or pregnant women. Combined interventions (e.g., co-application of drugs, electrophysiological measurements, neuroimaging) were not associated with further safety issues., Safety is established for low-intensity ‘conventional’ TES defined as &lt;4 mA, up to 60 min duration per day. Animal studies and modeling evidence indicate that brain injury could occur at predicted current densities in the brain of 6.3–13 A/m2 that are over an order of magnitude above those produced by tDCS in humans. Using AC stimulation fewer AEs were reported compared to DC. In specific paradigms with amplitudes of up to 10 mA, frequencies in the kHz range appear to be safe., In this paper we provide structured interviews and recommend their use in future controlled studies, in particular when trying to extend the parameters applied. We also discuss recent regulatory issues, reporting practices and ethical issues. These recommendations achieved consensus in a meeting, which took place in Göttingen, Germany, on September 6–7, 2016 and were refined thereafter by email correspondence.","container-title":"Clinical neurophysiology : official journal of the International Federation of Clinical Neurophysiology","DOI":"10.1016/j.clinph.2017.06.001","ISSN":"1388-2457","issue":"9","journalAbbreviation":"Clin Neurophysiol","note":"PMID: 28709880\nPMCID: PMC5985830","page":"1774-1809","source":"PubMed Central","title":"Low intensity transcranial electric stimulation: Safety, ethical, legal regulatory and application guidelines","title-short":"Low intensity transcranial electric stimulation","volume":"128","author":[{"family":"Antal","given":"A."},{"family":"Alekseichuk","given":"I."},{"family":"Bikson","given":"M."},{"family":"Brockmöller","given":"J."},{"family":"Brunoni","given":"A.R."},{"family":"Chen","given":"R."},{"family":"Cohen","given":"L.G."},{"family":"Dowthwaite","given":"G."},{"family":"Ellrich","given":"J."},{"family":"Flöel","given":"A."},{"family":"Fregni","given":"F."},{"family":"George","given":"M.S."},{"family":"Hamilton","given":"R."},{"family":"Haueisen","given":"J."},{"family":"Herrmann","given":"C.S."},{"family":"Hummel","given":"F.C."},{"family":"Lefaucheur","given":"J.P."},{"family":"Liebetanz","given":"D."},{"family":"Loo","given":"C.K."},{"family":"McCaig","given":"C.D."},{"family":"Miniussi","given":"C."},{"family":"Miranda","given":"P.C."},{"family":"Moliadze","given":"V."},{"family":"Nitsche","given":"M.A."},{"family":"Nowak","given":"R."},{"family":"Padberg","given":"F."},{"family":"Pascual-Leone","given":"A."},{"family":"Poppendieck","given":"W."},{"family":"Priori","given":"A."},{"family":"Rossi","given":"S."},{"family":"Rossini","given":"P.M."},{"family":"Rothwell","given":"J."},{"family":"Rueger","given":"M.A."},{"family":"Ruffini","given":"G."},{"family":"Schellhorn","given":"K."},{"family":"Siebner","given":"H.R."},{"family":"Ugawa","given":"Y."},{"family":"Wexler","given":"A."},{"family":"Ziemann","given":"U."},{"family":"Hallett","given":"M."},{"family":"Paulus","given":"W."}],"issued":{"date-parts":[["2017",9]]}}}],"schema":"https://github.com/citation-style-language/schema/raw/master/csl-citation.json"} </w:instrText>
      </w:r>
      <w:r w:rsidRPr="008447EF">
        <w:rPr>
          <w:rFonts w:cs="Times New Roman"/>
          <w:szCs w:val="24"/>
        </w:rPr>
        <w:fldChar w:fldCharType="separate"/>
      </w:r>
      <w:r w:rsidRPr="008447EF">
        <w:rPr>
          <w:rFonts w:cs="Times New Roman"/>
          <w:noProof/>
          <w:szCs w:val="24"/>
        </w:rPr>
        <w:t>[11]</w:t>
      </w:r>
      <w:r w:rsidRPr="008447EF">
        <w:rPr>
          <w:rFonts w:cs="Times New Roman"/>
          <w:szCs w:val="24"/>
        </w:rPr>
        <w:fldChar w:fldCharType="end"/>
      </w:r>
      <w:r w:rsidRPr="008447EF">
        <w:rPr>
          <w:rFonts w:cs="Times New Roman"/>
          <w:szCs w:val="24"/>
        </w:rPr>
        <w:t xml:space="preserve">. </w:t>
      </w:r>
    </w:p>
    <w:p w14:paraId="4ADC8CDA" w14:textId="0E6E5E0E" w:rsidR="00117666" w:rsidRPr="00376CC5" w:rsidRDefault="00D52474" w:rsidP="00AC0270">
      <w:pPr>
        <w:pStyle w:val="Heading1"/>
      </w:pPr>
      <w:r>
        <w:t>TMS-EEG protocol</w:t>
      </w:r>
    </w:p>
    <w:p w14:paraId="7EF1BD10" w14:textId="77777777" w:rsidR="00D52474" w:rsidRPr="008447EF" w:rsidRDefault="00D52474" w:rsidP="00D52474">
      <w:pPr>
        <w:jc w:val="both"/>
        <w:rPr>
          <w:rFonts w:cs="Times New Roman"/>
          <w:szCs w:val="24"/>
        </w:rPr>
      </w:pPr>
      <w:r w:rsidRPr="008447EF">
        <w:rPr>
          <w:rFonts w:cs="Times New Roman"/>
          <w:bCs/>
          <w:szCs w:val="24"/>
        </w:rPr>
        <w:t xml:space="preserve">At T0, T1 and T2 the patient will also attend a transcranial magnetic stimulation (TMS)-EEG session. During the experiment, the subject will be seated in a comfortable chair. We will record EEG activity through </w:t>
      </w:r>
      <w:r w:rsidRPr="008447EF">
        <w:rPr>
          <w:rFonts w:cs="Times New Roman"/>
          <w:szCs w:val="24"/>
        </w:rPr>
        <w:t>64 Ag/AgCl TMS-compatible electrodes in a 10-20 system (</w:t>
      </w:r>
      <w:proofErr w:type="spellStart"/>
      <w:r w:rsidRPr="008447EF">
        <w:rPr>
          <w:rFonts w:cs="Times New Roman"/>
          <w:szCs w:val="24"/>
        </w:rPr>
        <w:t>ActiCap</w:t>
      </w:r>
      <w:proofErr w:type="spellEnd"/>
      <w:r w:rsidRPr="008447EF">
        <w:rPr>
          <w:rFonts w:cs="Times New Roman"/>
          <w:szCs w:val="24"/>
        </w:rPr>
        <w:t xml:space="preserve"> 64 channels, </w:t>
      </w:r>
      <w:proofErr w:type="spellStart"/>
      <w:r w:rsidRPr="008447EF">
        <w:rPr>
          <w:rFonts w:cs="Times New Roman"/>
          <w:szCs w:val="24"/>
        </w:rPr>
        <w:t>Brainvision</w:t>
      </w:r>
      <w:proofErr w:type="spellEnd"/>
      <w:r w:rsidRPr="008447EF">
        <w:rPr>
          <w:rFonts w:cs="Times New Roman"/>
          <w:szCs w:val="24"/>
        </w:rPr>
        <w:t xml:space="preserve">, </w:t>
      </w:r>
      <w:proofErr w:type="spellStart"/>
      <w:r w:rsidRPr="008447EF">
        <w:rPr>
          <w:rFonts w:cs="Times New Roman"/>
          <w:szCs w:val="24"/>
        </w:rPr>
        <w:t>Gilching</w:t>
      </w:r>
      <w:proofErr w:type="spellEnd"/>
      <w:r w:rsidRPr="008447EF">
        <w:rPr>
          <w:rFonts w:cs="Times New Roman"/>
          <w:szCs w:val="24"/>
        </w:rPr>
        <w:t xml:space="preserve">, Germany). </w:t>
      </w:r>
      <w:r w:rsidRPr="008447EF">
        <w:rPr>
          <w:rFonts w:cs="Times New Roman"/>
          <w:szCs w:val="24"/>
          <w:lang w:val="en-GB"/>
        </w:rPr>
        <w:t xml:space="preserve">Sampling rate will be put at 2.5 kHz, with a high cut-off of 1 kHz. The reference will be placed at </w:t>
      </w:r>
      <w:proofErr w:type="spellStart"/>
      <w:r w:rsidRPr="008447EF">
        <w:rPr>
          <w:rFonts w:cs="Times New Roman"/>
          <w:szCs w:val="24"/>
          <w:lang w:val="en-GB"/>
        </w:rPr>
        <w:t>AFz</w:t>
      </w:r>
      <w:proofErr w:type="spellEnd"/>
      <w:r w:rsidRPr="008447EF">
        <w:rPr>
          <w:rFonts w:cs="Times New Roman"/>
          <w:szCs w:val="24"/>
          <w:lang w:val="en-GB"/>
        </w:rPr>
        <w:t xml:space="preserve"> and the ground at </w:t>
      </w:r>
      <w:proofErr w:type="spellStart"/>
      <w:r w:rsidRPr="008447EF">
        <w:rPr>
          <w:rFonts w:cs="Times New Roman"/>
          <w:szCs w:val="24"/>
          <w:lang w:val="en-GB"/>
        </w:rPr>
        <w:t>Fpz</w:t>
      </w:r>
      <w:proofErr w:type="spellEnd"/>
      <w:r w:rsidRPr="008447EF">
        <w:rPr>
          <w:rFonts w:cs="Times New Roman"/>
          <w:szCs w:val="24"/>
          <w:lang w:val="en-GB"/>
        </w:rPr>
        <w:t xml:space="preserve">. </w:t>
      </w:r>
      <w:r w:rsidRPr="008447EF">
        <w:rPr>
          <w:rFonts w:cs="Times New Roman"/>
          <w:szCs w:val="24"/>
        </w:rPr>
        <w:t xml:space="preserve">Electromyography (EMG) activity will be acquired using a pair of disposable Ag-AgCl electrodes. The signal will be amplified </w:t>
      </w:r>
      <w:r w:rsidRPr="008447EF">
        <w:rPr>
          <w:rFonts w:cs="Times New Roman"/>
          <w:szCs w:val="24"/>
          <w:lang w:val="en-GB"/>
        </w:rPr>
        <w:t xml:space="preserve">and sampled at 3 kHz using a </w:t>
      </w:r>
      <w:proofErr w:type="spellStart"/>
      <w:r w:rsidRPr="008447EF">
        <w:rPr>
          <w:rFonts w:cs="Times New Roman"/>
          <w:szCs w:val="24"/>
          <w:lang w:val="en-GB"/>
        </w:rPr>
        <w:t>Noraxon</w:t>
      </w:r>
      <w:proofErr w:type="spellEnd"/>
      <w:r w:rsidRPr="008447EF">
        <w:rPr>
          <w:rFonts w:cs="Times New Roman"/>
          <w:szCs w:val="24"/>
          <w:lang w:val="en-GB"/>
        </w:rPr>
        <w:t xml:space="preserve"> DTS Receiver (</w:t>
      </w:r>
      <w:proofErr w:type="spellStart"/>
      <w:r w:rsidRPr="008447EF">
        <w:rPr>
          <w:rFonts w:cs="Times New Roman"/>
          <w:szCs w:val="24"/>
          <w:lang w:val="en-GB"/>
        </w:rPr>
        <w:t>Scottasdale</w:t>
      </w:r>
      <w:proofErr w:type="spellEnd"/>
      <w:r w:rsidRPr="008447EF">
        <w:rPr>
          <w:rFonts w:cs="Times New Roman"/>
          <w:szCs w:val="24"/>
          <w:lang w:val="en-GB"/>
        </w:rPr>
        <w:t>, Arizona, United States) with the band-pass filter from 10 Hz to 1000 Hz (</w:t>
      </w:r>
      <w:r w:rsidRPr="008447EF">
        <w:rPr>
          <w:rFonts w:eastAsia="Times New Roman" w:cs="Times New Roman"/>
          <w:szCs w:val="24"/>
        </w:rPr>
        <w:t xml:space="preserve">analog </w:t>
      </w:r>
      <w:proofErr w:type="spellStart"/>
      <w:r w:rsidRPr="008447EF">
        <w:rPr>
          <w:rFonts w:eastAsia="Times New Roman" w:cs="Times New Roman"/>
          <w:szCs w:val="24"/>
        </w:rPr>
        <w:t>Sallen</w:t>
      </w:r>
      <w:proofErr w:type="spellEnd"/>
      <w:r w:rsidRPr="008447EF">
        <w:rPr>
          <w:rFonts w:eastAsia="Times New Roman" w:cs="Times New Roman"/>
          <w:szCs w:val="24"/>
        </w:rPr>
        <w:t>-Key for high-pass filter and digital FIR filter with order 128 for the low-pass; the gain will be set at 500)</w:t>
      </w:r>
      <w:r w:rsidRPr="008447EF">
        <w:rPr>
          <w:rFonts w:cs="Times New Roman"/>
          <w:szCs w:val="24"/>
          <w:lang w:val="en-GB"/>
        </w:rPr>
        <w:t xml:space="preserve">, and will be digitized at 5 kHz using Signal software (Cambridge Electronic Design Limited, Cambridge, UK) for further processing on a laptop. Seven muscles on the affected upper limb will be recorded throughout the experiment: the first dorsal </w:t>
      </w:r>
      <w:proofErr w:type="spellStart"/>
      <w:r w:rsidRPr="008447EF">
        <w:rPr>
          <w:rFonts w:cs="Times New Roman"/>
          <w:szCs w:val="24"/>
          <w:lang w:val="en-GB"/>
        </w:rPr>
        <w:t>intraossei</w:t>
      </w:r>
      <w:proofErr w:type="spellEnd"/>
      <w:r w:rsidRPr="008447EF">
        <w:rPr>
          <w:rFonts w:cs="Times New Roman"/>
          <w:szCs w:val="24"/>
          <w:lang w:val="en-GB"/>
        </w:rPr>
        <w:t xml:space="preserve"> (FDI), abductor </w:t>
      </w:r>
      <w:proofErr w:type="spellStart"/>
      <w:r w:rsidRPr="008447EF">
        <w:rPr>
          <w:rFonts w:cs="Times New Roman"/>
          <w:szCs w:val="24"/>
          <w:lang w:val="en-GB"/>
        </w:rPr>
        <w:t>digitor</w:t>
      </w:r>
      <w:proofErr w:type="spellEnd"/>
      <w:r w:rsidRPr="008447EF">
        <w:rPr>
          <w:rFonts w:cs="Times New Roman"/>
          <w:szCs w:val="24"/>
          <w:lang w:val="en-GB"/>
        </w:rPr>
        <w:t xml:space="preserve"> </w:t>
      </w:r>
      <w:proofErr w:type="spellStart"/>
      <w:r w:rsidRPr="008447EF">
        <w:rPr>
          <w:rFonts w:cs="Times New Roman"/>
          <w:szCs w:val="24"/>
          <w:lang w:val="en-GB"/>
        </w:rPr>
        <w:t>minimi</w:t>
      </w:r>
      <w:proofErr w:type="spellEnd"/>
      <w:r w:rsidRPr="008447EF">
        <w:rPr>
          <w:rFonts w:cs="Times New Roman"/>
          <w:szCs w:val="24"/>
          <w:lang w:val="en-GB"/>
        </w:rPr>
        <w:t xml:space="preserve">, abductor pollicis </w:t>
      </w:r>
      <w:proofErr w:type="spellStart"/>
      <w:r w:rsidRPr="008447EF">
        <w:rPr>
          <w:rFonts w:cs="Times New Roman"/>
          <w:szCs w:val="24"/>
          <w:lang w:val="en-GB"/>
        </w:rPr>
        <w:t>brevi</w:t>
      </w:r>
      <w:proofErr w:type="spellEnd"/>
      <w:r w:rsidRPr="008447EF">
        <w:rPr>
          <w:rFonts w:cs="Times New Roman"/>
          <w:szCs w:val="24"/>
          <w:lang w:val="en-GB"/>
        </w:rPr>
        <w:t xml:space="preserve">, flexor carpi </w:t>
      </w:r>
      <w:proofErr w:type="spellStart"/>
      <w:r w:rsidRPr="008447EF">
        <w:rPr>
          <w:rFonts w:cs="Times New Roman"/>
          <w:szCs w:val="24"/>
          <w:lang w:val="en-GB"/>
        </w:rPr>
        <w:t>ulnaris</w:t>
      </w:r>
      <w:proofErr w:type="spellEnd"/>
      <w:r w:rsidRPr="008447EF">
        <w:rPr>
          <w:rFonts w:cs="Times New Roman"/>
          <w:szCs w:val="24"/>
          <w:lang w:val="en-GB"/>
        </w:rPr>
        <w:t xml:space="preserve">, flexor carpi radialis, extensor carpi radialis longus and brevis, extensor carpi </w:t>
      </w:r>
      <w:proofErr w:type="spellStart"/>
      <w:r w:rsidRPr="008447EF">
        <w:rPr>
          <w:rFonts w:cs="Times New Roman"/>
          <w:szCs w:val="24"/>
          <w:lang w:val="en-GB"/>
        </w:rPr>
        <w:t>ulnaris</w:t>
      </w:r>
      <w:proofErr w:type="spellEnd"/>
      <w:r w:rsidRPr="008447EF">
        <w:rPr>
          <w:rFonts w:cs="Times New Roman"/>
          <w:szCs w:val="24"/>
          <w:lang w:val="en-GB"/>
        </w:rPr>
        <w:t xml:space="preserve">. The FDI of the non-affected hand will also be recorded. Transcranial magnetic stimulation will be delivered with </w:t>
      </w:r>
      <w:r w:rsidRPr="008447EF">
        <w:rPr>
          <w:rFonts w:cs="Times New Roman"/>
          <w:szCs w:val="24"/>
        </w:rPr>
        <w:t xml:space="preserve">a </w:t>
      </w:r>
      <w:proofErr w:type="spellStart"/>
      <w:r w:rsidRPr="008447EF">
        <w:rPr>
          <w:rFonts w:cs="Times New Roman"/>
          <w:szCs w:val="24"/>
        </w:rPr>
        <w:t>MagPro</w:t>
      </w:r>
      <w:proofErr w:type="spellEnd"/>
      <w:r w:rsidRPr="008447EF">
        <w:rPr>
          <w:rFonts w:cs="Times New Roman"/>
          <w:szCs w:val="24"/>
        </w:rPr>
        <w:t xml:space="preserve"> X100 stimulator connected to an MC-B70 coil (</w:t>
      </w:r>
      <w:proofErr w:type="spellStart"/>
      <w:r w:rsidRPr="008447EF">
        <w:rPr>
          <w:rFonts w:cs="Times New Roman"/>
          <w:szCs w:val="24"/>
        </w:rPr>
        <w:t>Magventure</w:t>
      </w:r>
      <w:proofErr w:type="spellEnd"/>
      <w:r w:rsidRPr="008447EF">
        <w:rPr>
          <w:rFonts w:cs="Times New Roman"/>
          <w:szCs w:val="24"/>
        </w:rPr>
        <w:t xml:space="preserve">, </w:t>
      </w:r>
      <w:proofErr w:type="spellStart"/>
      <w:r w:rsidRPr="008447EF">
        <w:rPr>
          <w:rFonts w:cs="Times New Roman"/>
          <w:szCs w:val="24"/>
        </w:rPr>
        <w:t>Farum</w:t>
      </w:r>
      <w:proofErr w:type="spellEnd"/>
      <w:r w:rsidRPr="008447EF">
        <w:rPr>
          <w:rFonts w:cs="Times New Roman"/>
          <w:szCs w:val="24"/>
        </w:rPr>
        <w:t xml:space="preserve">, Denmark). Moreover, stimulation will be applied using </w:t>
      </w:r>
      <w:proofErr w:type="spellStart"/>
      <w:r w:rsidRPr="008447EF">
        <w:rPr>
          <w:rFonts w:cs="Times New Roman"/>
          <w:szCs w:val="24"/>
        </w:rPr>
        <w:t>Neuronavigation</w:t>
      </w:r>
      <w:proofErr w:type="spellEnd"/>
      <w:r w:rsidRPr="008447EF">
        <w:rPr>
          <w:rFonts w:cs="Times New Roman"/>
          <w:szCs w:val="24"/>
        </w:rPr>
        <w:t xml:space="preserve"> (</w:t>
      </w:r>
      <w:proofErr w:type="spellStart"/>
      <w:r w:rsidRPr="008447EF">
        <w:rPr>
          <w:rFonts w:cs="Times New Roman"/>
          <w:szCs w:val="24"/>
        </w:rPr>
        <w:t>Localite</w:t>
      </w:r>
      <w:proofErr w:type="spellEnd"/>
      <w:r w:rsidRPr="008447EF">
        <w:rPr>
          <w:rFonts w:cs="Times New Roman"/>
          <w:szCs w:val="24"/>
        </w:rPr>
        <w:t xml:space="preserve"> GmbH, Bonn, Germany) along all the experiment. This will use the T1 image of the patient previously acquired (see (f)MRI paragraph on SM for specifics).</w:t>
      </w:r>
    </w:p>
    <w:p w14:paraId="1AEF1742" w14:textId="77777777" w:rsidR="00D52474" w:rsidRPr="008447EF" w:rsidRDefault="00D52474" w:rsidP="00D52474">
      <w:pPr>
        <w:jc w:val="both"/>
        <w:rPr>
          <w:rFonts w:cs="Times New Roman"/>
          <w:szCs w:val="24"/>
        </w:rPr>
      </w:pPr>
      <w:r w:rsidRPr="008447EF">
        <w:rPr>
          <w:rFonts w:cs="Times New Roman"/>
          <w:szCs w:val="24"/>
        </w:rPr>
        <w:t>A minimum of four and a maximum of six stimulation blocks will be delivered at every session. Each block will be composed of thirty single-pulse and thirty short-interval intracortical inhibition (SICI) pulses placed in a pseudo-randomized manner; two pseudo-randomized sequences will be used. The stimulation location will be the FDI hotspot of the affected hand. This will be searched on the affected hemisphere as the location that elicits the highest motor-evoked potential (MEP). If no MEP can be elicited, the hotspot will be chosen from the anatomy as the hand-knob of the affected hemisphere. Stimulation intensities will be found from the non-affected hemisphere. Single pulses will be delivered at the test intensity, which is the intensity consistently giving an MEP with peak-to-peak amplitude of at least 0.5mV. SICI will also be delivered at the same intensity, with the conditioning stimulus at 80% of the resting motor threshold (RMT). The latter is defined as the intensity that elicits an MEP with peak-to-peak amplitude of at least 0.05mV five times out of 10. Pulses will be applied every 4 seconds with a 25% jitter. During the stimulation blocks, patients will be wearing noise-cancelling headphones providing white noise to cover the “click” provided by the stimulator.</w:t>
      </w:r>
    </w:p>
    <w:p w14:paraId="615C0FF9" w14:textId="77777777" w:rsidR="00D52474" w:rsidRPr="008447EF" w:rsidRDefault="00D52474" w:rsidP="00D52474">
      <w:pPr>
        <w:jc w:val="both"/>
        <w:rPr>
          <w:rFonts w:cs="Times New Roman"/>
          <w:szCs w:val="24"/>
        </w:rPr>
      </w:pPr>
      <w:r w:rsidRPr="008447EF">
        <w:rPr>
          <w:rFonts w:cs="Times New Roman"/>
          <w:szCs w:val="24"/>
        </w:rPr>
        <w:lastRenderedPageBreak/>
        <w:t>Before and after the stimulation blocks we will acquire three minutes of resting state with eyes open (fixating a cross) and eyes closed.</w:t>
      </w:r>
    </w:p>
    <w:p w14:paraId="4D7649F0" w14:textId="392E7ACF" w:rsidR="00CB43D5" w:rsidRDefault="00D52474" w:rsidP="00CB43D5">
      <w:pPr>
        <w:pStyle w:val="Heading1"/>
      </w:pPr>
      <w:r>
        <w:t>(f)-MRI protocol</w:t>
      </w:r>
    </w:p>
    <w:p w14:paraId="5872B33F" w14:textId="77777777" w:rsidR="00B435A9" w:rsidRDefault="00D52474" w:rsidP="00B435A9">
      <w:pPr>
        <w:jc w:val="both"/>
        <w:rPr>
          <w:rFonts w:cs="Times New Roman"/>
          <w:szCs w:val="24"/>
        </w:rPr>
      </w:pPr>
      <w:r w:rsidRPr="008447EF">
        <w:rPr>
          <w:rFonts w:cs="Times New Roman"/>
          <w:szCs w:val="24"/>
        </w:rPr>
        <w:t xml:space="preserve">The imaging session will be performed in a 3T MAGNETOM PRISMA scanner (Siemens, Erlangen, Germany). Structural T1-weighted images will be acquired by 3D MPRAGE sequence with the following parameters: TR = 2.3s; TE = 2.96 </w:t>
      </w:r>
      <w:proofErr w:type="spellStart"/>
      <w:r w:rsidRPr="008447EF">
        <w:rPr>
          <w:rFonts w:cs="Times New Roman"/>
          <w:szCs w:val="24"/>
        </w:rPr>
        <w:t>ms</w:t>
      </w:r>
      <w:proofErr w:type="spellEnd"/>
      <w:r w:rsidRPr="008447EF">
        <w:rPr>
          <w:rFonts w:cs="Times New Roman"/>
          <w:szCs w:val="24"/>
        </w:rPr>
        <w:t xml:space="preserve">; flip angle = 9°; slices = 192; voxel size = 1 × 1 × 1 mm, FOV = 256mm. T2 images will be also collected with the following parameters: TR = 3s; TE = 409 </w:t>
      </w:r>
      <w:proofErr w:type="spellStart"/>
      <w:r w:rsidRPr="008447EF">
        <w:rPr>
          <w:rFonts w:cs="Times New Roman"/>
          <w:szCs w:val="24"/>
        </w:rPr>
        <w:t>ms</w:t>
      </w:r>
      <w:proofErr w:type="spellEnd"/>
      <w:r w:rsidRPr="008447EF">
        <w:rPr>
          <w:rFonts w:cs="Times New Roman"/>
          <w:szCs w:val="24"/>
        </w:rPr>
        <w:t xml:space="preserve">; slices = 208; voxel size = 0.8 × 0.8 × 0.8 mm, FOV = 256mm. Echo-Planar Imaging (EPI) sequences will be used to obtain resting-state and task-based functional images. Resting state sequences will be acquired with the following parameters: TR = 1.25s; TE = 32ms; flip angle = 58°; slices = 75; voxel size = 2 × 2 × 2 mm; FOV = 224mm. Task-based images will be obtained by applying the following parameters: TR = 1s; TE = 32ms; flip angle = 50°; slices = 66; voxel size = 2 × 2 × 2 mm; FOV = 224mm. Diffusion-weighted images (DWI) will be obtained by collecting seven T2-weighted images without diffusion weighting (b0;b=0s/mm2), including one in opposite phase encoded direction, and 101 images with noncollinear diffusion gradient directions distributed equally over the half-sphere covering 5 diffusion gradient strengths (b-values=[300.0,700.0,1000.0,2000.0,3000.0]s/mm2; shell-samples=[3,7,16,29,46]). These images will be acquired using pulsed gradient spin echo technique, with the following parameters: TR = 5000ms; TE = 77ms; slices = 84; voxel size = 1.6 × 1.6 × 1.6mm; FOV = 234mm. No medication or contrast agents will be given. </w:t>
      </w:r>
    </w:p>
    <w:p w14:paraId="3BCAFF59" w14:textId="78AB2335" w:rsidR="00D52474" w:rsidRPr="00B435A9" w:rsidRDefault="00D52474" w:rsidP="00B435A9">
      <w:pPr>
        <w:jc w:val="both"/>
        <w:rPr>
          <w:rFonts w:cs="Times New Roman"/>
          <w:szCs w:val="24"/>
        </w:rPr>
      </w:pPr>
      <w:r w:rsidRPr="008447EF">
        <w:rPr>
          <w:rFonts w:eastAsia="Calibri" w:cs="Times New Roman"/>
          <w:szCs w:val="24"/>
          <w:lang w:eastAsia="fr-CH"/>
        </w:rPr>
        <w:t xml:space="preserve">The assessment protocol will consist in around 8 minutes of resting state data, around 9 minutes of visual control task, around 9 minutes of motor task and additional structural sequences. During the motor task participants are required to attempt to perform or perform hand force generation involving the paretic and non-paretic hand. For this, the participant is first provided with the gripper(s) to be used in the task and instructed to look at an initially black screen and follow the instructions. The first set of instructions requires the participant to let go of the trigger activating the gripper while holding the device in a comfortable position. A relaxation value is obtained at this time, to serve as a lower bound during the task. The participant is then instructed by a message on the screen to exert and hold as much force possible on the gripper. An average of the applied maximum force is calculated over three repetitions. After the rest and maximum force values have been obtained, the participant may start with the task. During the task, two concentric rings are presented, with a fixation cross at their center. The rings, normally gray, are given a white shade to indicate the target ring. An additional ring (dark gray, here referred to as the output ring), changes its size proportionally to the force applied by the participant. The goal of the participant is, then, to match the size of the output ring to that of the white, target ring. The outer ring corresponds to no force applied, whereas the inner ring is reached when applying a preset percentage of the maximum voluntary contraction (i.e. 20%). The target rings switch continuously so that the participant needs to apply force and release rhythmically over time. If participant have not enough force to perform the task, a standard visual feedback is shown with the theoretical movement of the output ring. Rest periods (during which only the fixation cross is shown) are allowed between blocks. The visual control condition consists of the same display of switching target rings, with the difference of the participant being instructed not to apply force at all (the output ring is not shown), but only to look at the ring which becomes white. </w:t>
      </w:r>
    </w:p>
    <w:p w14:paraId="0D6553A8" w14:textId="37291DC6" w:rsidR="00045678" w:rsidRDefault="00D52474" w:rsidP="00045678">
      <w:pPr>
        <w:pStyle w:val="Heading1"/>
      </w:pPr>
      <w:r>
        <w:t xml:space="preserve">Instrumented </w:t>
      </w:r>
      <w:proofErr w:type="spellStart"/>
      <w:r>
        <w:t>Fugl</w:t>
      </w:r>
      <w:proofErr w:type="spellEnd"/>
      <w:r w:rsidR="00FC1032">
        <w:t>-Meyer Assessment protocol</w:t>
      </w:r>
    </w:p>
    <w:p w14:paraId="0AC4F4C3" w14:textId="22907204" w:rsidR="00FC1032" w:rsidRPr="008447EF" w:rsidRDefault="00FC1032" w:rsidP="00FC1032">
      <w:pPr>
        <w:jc w:val="both"/>
        <w:rPr>
          <w:rFonts w:eastAsia="Times New Roman" w:cs="Times New Roman"/>
          <w:szCs w:val="24"/>
        </w:rPr>
      </w:pPr>
      <w:r w:rsidRPr="008447EF">
        <w:rPr>
          <w:rFonts w:cs="Times New Roman"/>
          <w:szCs w:val="24"/>
        </w:rPr>
        <w:lastRenderedPageBreak/>
        <w:t xml:space="preserve">Recently the Stroke Recovery and Rehabilitation Roundtable </w:t>
      </w:r>
      <w:r w:rsidRPr="008447EF">
        <w:rPr>
          <w:rFonts w:cs="Times New Roman"/>
          <w:szCs w:val="24"/>
        </w:rPr>
        <w:fldChar w:fldCharType="begin"/>
      </w:r>
      <w:r>
        <w:rPr>
          <w:rFonts w:cs="Times New Roman"/>
          <w:szCs w:val="24"/>
        </w:rPr>
        <w:instrText xml:space="preserve"> ADDIN ZOTERO_ITEM CSL_CITATION {"citationID":"yeyW0Seg","properties":{"formattedCitation":"[12]","plainCitation":"[12]","noteIndex":0},"citationItems":[{"id":1142,"uris":["http://zotero.org/users/4917572/items/XDG3923A"],"itemData":{"id":1142,"type":"article-journal","abstract":"The first Stroke Recovery and Rehabilitation Roundtable established a game changing set of new standards for stroke recovery research. Common language and definitions were required to develop an agreed framework spanning the four working groups: translation of basic science, biomarkers of stroke recovery, measurement in clinical trials and intervention development and reporting. This paper outlines the working definitions established by our group and an agreed vision for accelerating progress in stroke recovery research.","container-title":"International Journal of Stroke","DOI":"10.1177/1747493017711816","ISSN":"1747-4930","issue":"5","journalAbbreviation":"International Journal of Stroke","language":"en","note":"publisher: SAGE Publications","page":"444-450","source":"SAGE Journals","title":"Agreed definitions and a shared vision for new standards in stroke recovery research: The Stroke Recovery and Rehabilitation Roundtable taskforce","title-short":"Agreed definitions and a shared vision for new standards in stroke recovery research","volume":"12","author":[{"family":"Bernhardt","given":"Julie"},{"family":"Hayward","given":"Kathryn S"},{"family":"Kwakkel","given":"Gert"},{"family":"Ward","given":"Nick S"},{"family":"Wolf","given":"Steven L"},{"family":"Borschmann","given":"Karen"},{"family":"Krakauer","given":"John W"},{"family":"Boyd","given":"Lara A"},{"family":"Carmichael","given":"S Thomas"},{"family":"Corbett","given":"Dale"},{"family":"Cramer","given":"Steven C"}],"issued":{"date-parts":[["2017",7,1]]}}}],"schema":"https://github.com/citation-style-language/schema/raw/master/csl-citation.json"} </w:instrText>
      </w:r>
      <w:r w:rsidRPr="008447EF">
        <w:rPr>
          <w:rFonts w:cs="Times New Roman"/>
          <w:szCs w:val="24"/>
        </w:rPr>
        <w:fldChar w:fldCharType="separate"/>
      </w:r>
      <w:r w:rsidRPr="008447EF">
        <w:rPr>
          <w:rFonts w:cs="Times New Roman"/>
          <w:szCs w:val="24"/>
        </w:rPr>
        <w:t>[12]</w:t>
      </w:r>
      <w:r w:rsidRPr="008447EF">
        <w:rPr>
          <w:rFonts w:cs="Times New Roman"/>
          <w:szCs w:val="24"/>
        </w:rPr>
        <w:fldChar w:fldCharType="end"/>
      </w:r>
      <w:r w:rsidRPr="008447EF">
        <w:rPr>
          <w:rFonts w:cs="Times New Roman"/>
          <w:szCs w:val="24"/>
        </w:rPr>
        <w:t xml:space="preserve"> suggested the potential of kinematic measures to evaluate motor improvement. Following the increased interest in the topic, we decided to instrument the assessment of our primary outcome: the </w:t>
      </w:r>
      <w:proofErr w:type="spellStart"/>
      <w:r w:rsidRPr="008447EF">
        <w:rPr>
          <w:rFonts w:cs="Times New Roman"/>
          <w:szCs w:val="24"/>
        </w:rPr>
        <w:t>Fugl</w:t>
      </w:r>
      <w:proofErr w:type="spellEnd"/>
      <w:r w:rsidRPr="008447EF">
        <w:rPr>
          <w:rFonts w:cs="Times New Roman"/>
          <w:szCs w:val="24"/>
        </w:rPr>
        <w:t xml:space="preserve">-Meyer Assessment of the upper limb (FM-UE) </w:t>
      </w:r>
      <w:r w:rsidRPr="008447EF">
        <w:rPr>
          <w:rFonts w:cs="Times New Roman"/>
          <w:szCs w:val="24"/>
        </w:rPr>
        <w:fldChar w:fldCharType="begin"/>
      </w:r>
      <w:r>
        <w:rPr>
          <w:rFonts w:cs="Times New Roman"/>
          <w:szCs w:val="24"/>
        </w:rPr>
        <w:instrText xml:space="preserve"> ADDIN ZOTERO_ITEM CSL_CITATION {"citationID":"yN6PrU7h","properties":{"formattedCitation":"[13]","plainCitation":"[13]","noteIndex":0},"citationItems":[{"id":738,"uris":["http://zotero.org/users/4917572/items/JA3WZNYJ"],"itemData":{"id":738,"type":"article-journal","container-title":"Scandinavian Journal of Rehabilitation Medicine","issue":"1","page":"13-31","title":"The post-stroke hemiplegic patient. 1. a method for evaluation of physical performance.","volume":"7","author":[{"family":"Fugl-Meyer","given":"AR"},{"family":"Jääskö","given":"L"},{"family":"Leyman","given":"I"},{"family":"Olsson","given":"S"},{"family":"Steglind","given":"S"}],"issued":{"date-parts":[["1975",1,1]]}}}],"schema":"https://github.com/citation-style-language/schema/raw/master/csl-citation.json"} </w:instrText>
      </w:r>
      <w:r w:rsidRPr="008447EF">
        <w:rPr>
          <w:rFonts w:cs="Times New Roman"/>
          <w:szCs w:val="24"/>
        </w:rPr>
        <w:fldChar w:fldCharType="separate"/>
      </w:r>
      <w:r w:rsidRPr="008447EF">
        <w:rPr>
          <w:rFonts w:cs="Times New Roman"/>
          <w:szCs w:val="24"/>
        </w:rPr>
        <w:t>[13]</w:t>
      </w:r>
      <w:r w:rsidRPr="008447EF">
        <w:rPr>
          <w:rFonts w:cs="Times New Roman"/>
          <w:szCs w:val="24"/>
        </w:rPr>
        <w:fldChar w:fldCharType="end"/>
      </w:r>
      <w:r w:rsidRPr="008447EF">
        <w:rPr>
          <w:rFonts w:cs="Times New Roman"/>
          <w:szCs w:val="24"/>
        </w:rPr>
        <w:t>. The assessment will see the patient wear wireless EMG sensors as well as inertial motor units (IMUs) (</w:t>
      </w:r>
      <w:proofErr w:type="spellStart"/>
      <w:r w:rsidRPr="008447EF">
        <w:rPr>
          <w:rFonts w:cs="Times New Roman"/>
          <w:szCs w:val="24"/>
        </w:rPr>
        <w:t>Xsens</w:t>
      </w:r>
      <w:proofErr w:type="spellEnd"/>
      <w:r w:rsidRPr="008447EF">
        <w:rPr>
          <w:rFonts w:cs="Times New Roman"/>
          <w:szCs w:val="24"/>
        </w:rPr>
        <w:t xml:space="preserve"> MVN, </w:t>
      </w:r>
      <w:r w:rsidRPr="008447EF">
        <w:rPr>
          <w:rFonts w:cs="Times New Roman"/>
          <w:color w:val="202124"/>
          <w:szCs w:val="24"/>
          <w:highlight w:val="white"/>
        </w:rPr>
        <w:t>Enschede</w:t>
      </w:r>
      <w:r w:rsidRPr="008447EF">
        <w:rPr>
          <w:rFonts w:eastAsia="Arial" w:cs="Times New Roman"/>
          <w:color w:val="202124"/>
          <w:szCs w:val="24"/>
          <w:highlight w:val="white"/>
        </w:rPr>
        <w:t xml:space="preserve">, </w:t>
      </w:r>
      <w:r w:rsidRPr="008447EF">
        <w:rPr>
          <w:rFonts w:cs="Times New Roman"/>
          <w:szCs w:val="24"/>
        </w:rPr>
        <w:t xml:space="preserve">Netherlands). The former will be placed to cover the following muscles of both upper limbs: trapezius, deltoid, biceps long head, teres major, triceps, pectoralis, pronator teres, extensor carpi radialis, flexor </w:t>
      </w:r>
      <w:proofErr w:type="spellStart"/>
      <w:r w:rsidRPr="008447EF">
        <w:rPr>
          <w:rFonts w:cs="Times New Roman"/>
          <w:szCs w:val="24"/>
        </w:rPr>
        <w:t>ulnaris</w:t>
      </w:r>
      <w:proofErr w:type="spellEnd"/>
      <w:r w:rsidRPr="008447EF">
        <w:rPr>
          <w:rFonts w:cs="Times New Roman"/>
          <w:szCs w:val="24"/>
        </w:rPr>
        <w:t xml:space="preserve">. The signal will be amplified </w:t>
      </w:r>
      <w:r w:rsidRPr="008447EF">
        <w:rPr>
          <w:rFonts w:cs="Times New Roman"/>
          <w:szCs w:val="24"/>
          <w:lang w:val="en-GB"/>
        </w:rPr>
        <w:t xml:space="preserve">and sampled at 3 kHz using a </w:t>
      </w:r>
      <w:proofErr w:type="spellStart"/>
      <w:r w:rsidRPr="008447EF">
        <w:rPr>
          <w:rFonts w:cs="Times New Roman"/>
          <w:szCs w:val="24"/>
          <w:lang w:val="en-GB"/>
        </w:rPr>
        <w:t>Noraxon</w:t>
      </w:r>
      <w:proofErr w:type="spellEnd"/>
      <w:r w:rsidRPr="008447EF">
        <w:rPr>
          <w:rFonts w:cs="Times New Roman"/>
          <w:szCs w:val="24"/>
          <w:lang w:val="en-GB"/>
        </w:rPr>
        <w:t xml:space="preserve"> DTS Receiver (</w:t>
      </w:r>
      <w:proofErr w:type="spellStart"/>
      <w:r w:rsidRPr="008447EF">
        <w:rPr>
          <w:rFonts w:cs="Times New Roman"/>
          <w:szCs w:val="24"/>
          <w:lang w:val="en-GB"/>
        </w:rPr>
        <w:t>Scottasdale</w:t>
      </w:r>
      <w:proofErr w:type="spellEnd"/>
      <w:r w:rsidRPr="008447EF">
        <w:rPr>
          <w:rFonts w:cs="Times New Roman"/>
          <w:szCs w:val="24"/>
          <w:lang w:val="en-GB"/>
        </w:rPr>
        <w:t>, Arizona, United States) with the band-pass filter at 10 Hz to 1000 Hz (</w:t>
      </w:r>
      <w:r w:rsidRPr="008447EF">
        <w:rPr>
          <w:rFonts w:eastAsia="Times New Roman" w:cs="Times New Roman"/>
          <w:szCs w:val="24"/>
        </w:rPr>
        <w:t xml:space="preserve">analog </w:t>
      </w:r>
      <w:proofErr w:type="spellStart"/>
      <w:r w:rsidRPr="008447EF">
        <w:rPr>
          <w:rFonts w:eastAsia="Times New Roman" w:cs="Times New Roman"/>
          <w:szCs w:val="24"/>
        </w:rPr>
        <w:t>Sallen</w:t>
      </w:r>
      <w:proofErr w:type="spellEnd"/>
      <w:r w:rsidRPr="008447EF">
        <w:rPr>
          <w:rFonts w:eastAsia="Times New Roman" w:cs="Times New Roman"/>
          <w:szCs w:val="24"/>
        </w:rPr>
        <w:t xml:space="preserve">-Key for high-pass filter and digital FIR filter with order 128 for the low-pass; the gain will be set at 500). The 3D motion capture sensors based on IMUs will be place on the forehead, both hands, both wrist and upper arms (placed right below the deltoids), on the sternum and on the sacrum, at the level of S1; on the shoulders at 1cm lateral from the scapula border and on top of the spina scapula. Following the instructions from the manufacturer [14], a calibration step will be performed before starting the real assessment. The </w:t>
      </w:r>
      <w:proofErr w:type="spellStart"/>
      <w:r w:rsidRPr="008447EF">
        <w:rPr>
          <w:rFonts w:eastAsia="Times New Roman" w:cs="Times New Roman"/>
          <w:szCs w:val="24"/>
        </w:rPr>
        <w:t>Noraxon</w:t>
      </w:r>
      <w:proofErr w:type="spellEnd"/>
      <w:r w:rsidRPr="008447EF">
        <w:rPr>
          <w:rFonts w:eastAsia="Times New Roman" w:cs="Times New Roman"/>
          <w:szCs w:val="24"/>
        </w:rPr>
        <w:t xml:space="preserve"> receiver will receive a trigger as soon as the </w:t>
      </w:r>
      <w:proofErr w:type="spellStart"/>
      <w:r w:rsidRPr="008447EF">
        <w:rPr>
          <w:rFonts w:eastAsia="Times New Roman" w:cs="Times New Roman"/>
          <w:szCs w:val="24"/>
        </w:rPr>
        <w:t>Xsens</w:t>
      </w:r>
      <w:proofErr w:type="spellEnd"/>
      <w:r w:rsidRPr="008447EF">
        <w:rPr>
          <w:rFonts w:eastAsia="Times New Roman" w:cs="Times New Roman"/>
          <w:szCs w:val="24"/>
        </w:rPr>
        <w:t xml:space="preserve"> software begins and ends to record the data. The assessment will also be videotaped. For each FMA item, the patients will be asked to perform it five times. </w:t>
      </w:r>
    </w:p>
    <w:p w14:paraId="5722F5F5" w14:textId="291D519D" w:rsidR="00AC3EA3" w:rsidRPr="00376CC5" w:rsidRDefault="00FC1032" w:rsidP="00A53000">
      <w:pPr>
        <w:pStyle w:val="Heading1"/>
      </w:pPr>
      <w:r>
        <w:t>References</w:t>
      </w:r>
    </w:p>
    <w:p w14:paraId="2F5D1B96" w14:textId="77777777" w:rsidR="00FC1032" w:rsidRPr="00FC1032" w:rsidRDefault="00FC1032" w:rsidP="00FC1032">
      <w:pPr>
        <w:pStyle w:val="Bibliography"/>
        <w:rPr>
          <w:rFonts w:cs="Times New Roman"/>
        </w:rPr>
      </w:pPr>
      <w:r>
        <w:fldChar w:fldCharType="begin"/>
      </w:r>
      <w:r w:rsidRPr="00FC1032">
        <w:rPr>
          <w:lang w:val="it-IT"/>
        </w:rPr>
        <w:instrText xml:space="preserve"> ADDIN ZOTERO_BIBL {"uncited":[],"omitted":[],"custom":[]} CSL_BIBLIOGRAPHY </w:instrText>
      </w:r>
      <w:r>
        <w:fldChar w:fldCharType="separate"/>
      </w:r>
      <w:r w:rsidRPr="00FC1032">
        <w:rPr>
          <w:rFonts w:cs="Times New Roman"/>
          <w:lang w:val="it-IT"/>
        </w:rPr>
        <w:t>[1]</w:t>
      </w:r>
      <w:r w:rsidRPr="00FC1032">
        <w:rPr>
          <w:rFonts w:cs="Times New Roman"/>
          <w:lang w:val="it-IT"/>
        </w:rPr>
        <w:tab/>
        <w:t xml:space="preserve">Borboni A, Villafañe JH, Mullè C, Valdes K, Faglia R, Taveggia G, et al. </w:t>
      </w:r>
      <w:r w:rsidRPr="00FC1032">
        <w:rPr>
          <w:rFonts w:cs="Times New Roman"/>
        </w:rPr>
        <w:t>Robot-Assisted Rehabilitation of Hand Paralysis After Stroke Reduces Wrist Edema and Pain: A Prospective Clinical Trial. Journal of Manipulative &amp; Physiological Therapeutics 2017;40:21–30. https://doi.org/10.1016/j.jmpt.2016.10.003.</w:t>
      </w:r>
    </w:p>
    <w:p w14:paraId="21F82834" w14:textId="77777777" w:rsidR="00FC1032" w:rsidRPr="009073A0" w:rsidRDefault="00FC1032" w:rsidP="00FC1032">
      <w:pPr>
        <w:pStyle w:val="Bibliography"/>
        <w:rPr>
          <w:rFonts w:cs="Times New Roman"/>
          <w:lang w:val="nl-NL"/>
        </w:rPr>
      </w:pPr>
      <w:r w:rsidRPr="00FC1032">
        <w:rPr>
          <w:rFonts w:cs="Times New Roman"/>
          <w:lang w:val="de-CH"/>
        </w:rPr>
        <w:t>[2]</w:t>
      </w:r>
      <w:r w:rsidRPr="00FC1032">
        <w:rPr>
          <w:rFonts w:cs="Times New Roman"/>
          <w:lang w:val="de-CH"/>
        </w:rPr>
        <w:tab/>
        <w:t xml:space="preserve">Zimerman M, Heise KF, Hoppe J, Cohen LG, Gerloff C, Hummel FC. </w:t>
      </w:r>
      <w:r w:rsidRPr="00FC1032">
        <w:rPr>
          <w:rFonts w:cs="Times New Roman"/>
        </w:rPr>
        <w:t xml:space="preserve">Modulation of Training by Single-Session Transcranial Direct Current Stimulation to the Intact Motor Cortex Enhances Motor Skill Acquisition of the Paretic Hand. </w:t>
      </w:r>
      <w:r w:rsidRPr="009073A0">
        <w:rPr>
          <w:rFonts w:cs="Times New Roman"/>
          <w:lang w:val="nl-NL"/>
        </w:rPr>
        <w:t>Stroke 2012;43:2185–91. https://doi.org/10.1161/STROKEAHA.111.645382.</w:t>
      </w:r>
    </w:p>
    <w:p w14:paraId="482B1D25" w14:textId="77777777" w:rsidR="00FC1032" w:rsidRPr="00FC1032" w:rsidRDefault="00FC1032" w:rsidP="00FC1032">
      <w:pPr>
        <w:pStyle w:val="Bibliography"/>
        <w:rPr>
          <w:rFonts w:cs="Times New Roman"/>
        </w:rPr>
      </w:pPr>
      <w:r w:rsidRPr="009073A0">
        <w:rPr>
          <w:rFonts w:cs="Times New Roman"/>
          <w:lang w:val="nl-NL"/>
        </w:rPr>
        <w:t>[3]</w:t>
      </w:r>
      <w:r w:rsidRPr="009073A0">
        <w:rPr>
          <w:rFonts w:cs="Times New Roman"/>
          <w:lang w:val="nl-NL"/>
        </w:rPr>
        <w:tab/>
        <w:t xml:space="preserve">Zandvliet SB, Meskers CGM, Kwakkel G, van Wegen EEH. </w:t>
      </w:r>
      <w:r w:rsidRPr="00FC1032">
        <w:rPr>
          <w:rFonts w:cs="Times New Roman"/>
        </w:rPr>
        <w:t>Short-Term Effects of Cerebellar tDCS on Standing Balance Performance in Patients with Chronic Stroke and Healthy Age-Matched Elderly. Cerebellum 2018;17:575–89. https://doi.org/10.1007/s12311-018-0939-0.</w:t>
      </w:r>
    </w:p>
    <w:p w14:paraId="3909EE82" w14:textId="77777777" w:rsidR="00FC1032" w:rsidRPr="00FC1032" w:rsidRDefault="00FC1032" w:rsidP="00FC1032">
      <w:pPr>
        <w:pStyle w:val="Bibliography"/>
        <w:rPr>
          <w:rFonts w:cs="Times New Roman"/>
        </w:rPr>
      </w:pPr>
      <w:r w:rsidRPr="00FC1032">
        <w:rPr>
          <w:rFonts w:cs="Times New Roman"/>
        </w:rPr>
        <w:t>[4]</w:t>
      </w:r>
      <w:r w:rsidRPr="00FC1032">
        <w:rPr>
          <w:rFonts w:cs="Times New Roman"/>
        </w:rPr>
        <w:tab/>
        <w:t>Edwards D, Cortes M, Datta A, Minhas P, Wassermann EM, Bikson M. Physiological and modeling evidence for focal transcranial electrical brain stimulation in humans: A basis for high-definition tDCS. Neuroimage 2013;74:266–75. https://doi.org/10.1016/j.neuroimage.2013.01.042.</w:t>
      </w:r>
    </w:p>
    <w:p w14:paraId="4D0FB171" w14:textId="77777777" w:rsidR="00FC1032" w:rsidRPr="00FC1032" w:rsidRDefault="00FC1032" w:rsidP="00FC1032">
      <w:pPr>
        <w:pStyle w:val="Bibliography"/>
        <w:rPr>
          <w:rFonts w:cs="Times New Roman"/>
        </w:rPr>
      </w:pPr>
      <w:r w:rsidRPr="00FC1032">
        <w:rPr>
          <w:rFonts w:cs="Times New Roman"/>
        </w:rPr>
        <w:t>[5]</w:t>
      </w:r>
      <w:r w:rsidRPr="00FC1032">
        <w:rPr>
          <w:rFonts w:cs="Times New Roman"/>
        </w:rPr>
        <w:tab/>
        <w:t>Hill AT, Rogasch NC, Fitzgerald PB, Hoy KE. Effects of single versus dual-site High-Definition transcranial direct current stimulation (HD-tDCS) on cortical reactivity and working memory performance in healthy subjects. Brain Stimul 2018;11:1033–43. https://doi.org/10.1016/j.brs.2018.06.005.</w:t>
      </w:r>
    </w:p>
    <w:p w14:paraId="6E170913" w14:textId="77777777" w:rsidR="00FC1032" w:rsidRPr="00FC1032" w:rsidRDefault="00FC1032" w:rsidP="00FC1032">
      <w:pPr>
        <w:pStyle w:val="Bibliography"/>
        <w:rPr>
          <w:rFonts w:cs="Times New Roman"/>
          <w:lang w:val="fr-CH"/>
        </w:rPr>
      </w:pPr>
      <w:r w:rsidRPr="00FC1032">
        <w:rPr>
          <w:rFonts w:cs="Times New Roman"/>
        </w:rPr>
        <w:t>[6]</w:t>
      </w:r>
      <w:r w:rsidRPr="00FC1032">
        <w:rPr>
          <w:rFonts w:cs="Times New Roman"/>
        </w:rPr>
        <w:tab/>
        <w:t xml:space="preserve">Kindred JH, Kautz SA, Wonsetler EC, Bowden MG. Single Sessions of High-Definition Transcranial Direct Current Stimulation Do Not Alter Lower Extremity Biomechanical or Corticomotor Response Variables Post-stroke. </w:t>
      </w:r>
      <w:r w:rsidRPr="00FC1032">
        <w:rPr>
          <w:rFonts w:cs="Times New Roman"/>
          <w:lang w:val="fr-CH"/>
        </w:rPr>
        <w:t>Front Neurosci 2019;13:286. https://doi.org/10.3389/fnins.2019.00286.</w:t>
      </w:r>
    </w:p>
    <w:p w14:paraId="04C4139E" w14:textId="77777777" w:rsidR="00FC1032" w:rsidRPr="00FC1032" w:rsidRDefault="00FC1032" w:rsidP="00FC1032">
      <w:pPr>
        <w:pStyle w:val="Bibliography"/>
        <w:rPr>
          <w:rFonts w:cs="Times New Roman"/>
        </w:rPr>
      </w:pPr>
      <w:r w:rsidRPr="00FC1032">
        <w:rPr>
          <w:rFonts w:cs="Times New Roman"/>
          <w:lang w:val="fr-CH"/>
        </w:rPr>
        <w:t>[7]</w:t>
      </w:r>
      <w:r w:rsidRPr="00FC1032">
        <w:rPr>
          <w:rFonts w:cs="Times New Roman"/>
          <w:lang w:val="fr-CH"/>
        </w:rPr>
        <w:tab/>
        <w:t xml:space="preserve">Kuo H-I, Bikson M, Datta A, Minhas P, Paulus W, Kuo M-F, et al. </w:t>
      </w:r>
      <w:r w:rsidRPr="00FC1032">
        <w:rPr>
          <w:rFonts w:cs="Times New Roman"/>
        </w:rPr>
        <w:t>Comparing Cortical Plasticity Induced by Conventional and High-Definition 4 × 1 Ring tDCS: A Neurophysiological Study. Brain Stimulation 2013;6:644–8. https://doi.org/10.1016/j.brs.2012.09.010.</w:t>
      </w:r>
    </w:p>
    <w:p w14:paraId="713155A9" w14:textId="77777777" w:rsidR="00FC1032" w:rsidRPr="00FC1032" w:rsidRDefault="00FC1032" w:rsidP="00FC1032">
      <w:pPr>
        <w:pStyle w:val="Bibliography"/>
        <w:rPr>
          <w:rFonts w:cs="Times New Roman"/>
          <w:lang w:val="it-IT"/>
        </w:rPr>
      </w:pPr>
      <w:r w:rsidRPr="00FC1032">
        <w:rPr>
          <w:rFonts w:cs="Times New Roman"/>
        </w:rPr>
        <w:lastRenderedPageBreak/>
        <w:t>[8]</w:t>
      </w:r>
      <w:r w:rsidRPr="00FC1032">
        <w:rPr>
          <w:rFonts w:cs="Times New Roman"/>
        </w:rPr>
        <w:tab/>
        <w:t xml:space="preserve">Minhas P, Bansal V, Patel J, Ho JS, Diaz J, Datta A, et al. Electrodes for high-definition transcutaneous DC stimulation for applications in drug delivery and electrotherapy, including tDCS. </w:t>
      </w:r>
      <w:r w:rsidRPr="00FC1032">
        <w:rPr>
          <w:rFonts w:cs="Times New Roman"/>
          <w:lang w:val="it-IT"/>
        </w:rPr>
        <w:t>J Neurosci Methods 2010;190:188–97. https://doi.org/10.1016/j.jneumeth.2010.05.007.</w:t>
      </w:r>
    </w:p>
    <w:p w14:paraId="0CB01641" w14:textId="77777777" w:rsidR="00FC1032" w:rsidRPr="00FC1032" w:rsidRDefault="00FC1032" w:rsidP="00FC1032">
      <w:pPr>
        <w:pStyle w:val="Bibliography"/>
        <w:rPr>
          <w:rFonts w:cs="Times New Roman"/>
        </w:rPr>
      </w:pPr>
      <w:r w:rsidRPr="00FC1032">
        <w:rPr>
          <w:rFonts w:cs="Times New Roman"/>
          <w:lang w:val="it-IT"/>
        </w:rPr>
        <w:t>[9]</w:t>
      </w:r>
      <w:r w:rsidRPr="00FC1032">
        <w:rPr>
          <w:rFonts w:cs="Times New Roman"/>
          <w:lang w:val="it-IT"/>
        </w:rPr>
        <w:tab/>
        <w:t xml:space="preserve">Boratyn D, Ruffini G, Cortes M, Rykman A, Medeiros A, Pascual-Leone A, et al. </w:t>
      </w:r>
      <w:r w:rsidRPr="00FC1032">
        <w:rPr>
          <w:rFonts w:cs="Times New Roman"/>
        </w:rPr>
        <w:t>P 172. Focal tDCS in Chronic Stroke patients: A pilot study of physiological effects using TMS and concurrent EEG. Clinical Neurophysiology 2013;124:e146–7. https://doi.org/10.1016/j.clinph.2013.04.249.</w:t>
      </w:r>
    </w:p>
    <w:p w14:paraId="5A5277C8" w14:textId="77777777" w:rsidR="00FC1032" w:rsidRPr="00FC1032" w:rsidRDefault="00FC1032" w:rsidP="00FC1032">
      <w:pPr>
        <w:pStyle w:val="Bibliography"/>
        <w:rPr>
          <w:rFonts w:cs="Times New Roman"/>
        </w:rPr>
      </w:pPr>
      <w:r w:rsidRPr="00FC1032">
        <w:rPr>
          <w:rFonts w:cs="Times New Roman"/>
        </w:rPr>
        <w:t>[10]</w:t>
      </w:r>
      <w:r w:rsidRPr="00FC1032">
        <w:rPr>
          <w:rFonts w:cs="Times New Roman"/>
        </w:rPr>
        <w:tab/>
        <w:t>Thielscher A, Antunes A, Saturnino GB. Field modeling for transcranial magnetic stimulation: A useful tool to understand the physiological effects of TMS? Annu Int Conf IEEE Eng Med Biol Soc 2015;2015:222–5. https://doi.org/10.1109/EMBC.2015.7318340.</w:t>
      </w:r>
    </w:p>
    <w:p w14:paraId="28CA0807" w14:textId="77777777" w:rsidR="00FC1032" w:rsidRPr="009073A0" w:rsidRDefault="00FC1032" w:rsidP="00FC1032">
      <w:pPr>
        <w:pStyle w:val="Bibliography"/>
        <w:rPr>
          <w:rFonts w:cs="Times New Roman"/>
        </w:rPr>
      </w:pPr>
      <w:r w:rsidRPr="00FC1032">
        <w:rPr>
          <w:rFonts w:cs="Times New Roman"/>
        </w:rPr>
        <w:t>[11]</w:t>
      </w:r>
      <w:r w:rsidRPr="00FC1032">
        <w:rPr>
          <w:rFonts w:cs="Times New Roman"/>
        </w:rPr>
        <w:tab/>
        <w:t xml:space="preserve">Antal A, Alekseichuk I, Bikson M, Brockmöller J, Brunoni AR, Chen R, et al. Low intensity transcranial electric stimulation: Safety, ethical, legal regulatory and application guidelines. </w:t>
      </w:r>
      <w:r w:rsidRPr="009073A0">
        <w:rPr>
          <w:rFonts w:cs="Times New Roman"/>
        </w:rPr>
        <w:t>Clin Neurophysiol 2017;128:1774–809. https://doi.org/10.1016/j.clinph.2017.06.001.</w:t>
      </w:r>
    </w:p>
    <w:p w14:paraId="69A2BC3F" w14:textId="77777777" w:rsidR="00FC1032" w:rsidRPr="00FC1032" w:rsidRDefault="00FC1032" w:rsidP="00FC1032">
      <w:pPr>
        <w:pStyle w:val="Bibliography"/>
        <w:rPr>
          <w:rFonts w:cs="Times New Roman"/>
        </w:rPr>
      </w:pPr>
      <w:r w:rsidRPr="009073A0">
        <w:rPr>
          <w:rFonts w:cs="Times New Roman"/>
        </w:rPr>
        <w:t>[12]</w:t>
      </w:r>
      <w:r w:rsidRPr="009073A0">
        <w:rPr>
          <w:rFonts w:cs="Times New Roman"/>
        </w:rPr>
        <w:tab/>
        <w:t xml:space="preserve">Bernhardt J, Hayward KS, Kwakkel G, Ward NS, Wolf SL, Borschmann K, et al. </w:t>
      </w:r>
      <w:r w:rsidRPr="00FC1032">
        <w:rPr>
          <w:rFonts w:cs="Times New Roman"/>
        </w:rPr>
        <w:t>Agreed definitions and a shared vision for new standards in stroke recovery research: The Stroke Recovery and Rehabilitation Roundtable taskforce. International Journal of Stroke 2017;12:444–50. https://doi.org/10.1177/1747493017711816.</w:t>
      </w:r>
    </w:p>
    <w:p w14:paraId="231CB693" w14:textId="3E4E004F" w:rsidR="00FC1032" w:rsidRDefault="00FC1032" w:rsidP="00FC1032">
      <w:pPr>
        <w:pStyle w:val="Bibliography"/>
        <w:rPr>
          <w:rFonts w:cs="Times New Roman"/>
        </w:rPr>
      </w:pPr>
      <w:r w:rsidRPr="00FC1032">
        <w:rPr>
          <w:rFonts w:cs="Times New Roman"/>
        </w:rPr>
        <w:t>[13]</w:t>
      </w:r>
      <w:r w:rsidRPr="00FC1032">
        <w:rPr>
          <w:rFonts w:cs="Times New Roman"/>
        </w:rPr>
        <w:tab/>
        <w:t>Fugl-Meyer A, Jääskö L, Leyman I, Olsson S, Steglind S. The post-stroke hemiplegic patient. 1. a method for evaluation of physical performance. Scandinavian Journal of Rehabilitation Medicine 1975;7:13–31.</w:t>
      </w:r>
    </w:p>
    <w:p w14:paraId="535B0B6A" w14:textId="77777777" w:rsidR="00FC1032" w:rsidRPr="008447EF" w:rsidRDefault="00FC1032" w:rsidP="00FC1032">
      <w:pPr>
        <w:jc w:val="both"/>
        <w:rPr>
          <w:rFonts w:cs="Times New Roman"/>
          <w:color w:val="000000"/>
          <w:szCs w:val="24"/>
        </w:rPr>
      </w:pPr>
      <w:r w:rsidRPr="008447EF">
        <w:rPr>
          <w:rFonts w:cs="Times New Roman"/>
          <w:bCs/>
          <w:szCs w:val="24"/>
        </w:rPr>
        <w:t>[14]</w:t>
      </w:r>
      <w:r w:rsidRPr="008447EF">
        <w:rPr>
          <w:rFonts w:cs="Times New Roman"/>
          <w:b/>
          <w:szCs w:val="24"/>
        </w:rPr>
        <w:t xml:space="preserve"> </w:t>
      </w:r>
      <w:r w:rsidRPr="008447EF">
        <w:rPr>
          <w:rFonts w:cs="Times New Roman"/>
          <w:color w:val="000000"/>
          <w:szCs w:val="24"/>
        </w:rPr>
        <w:t>MVN User Manual. User Guide MVN, MVN BIOMECH MVN Link, MVN Awinda. Rev. March, 2017, Xsens Technologies B.V</w:t>
      </w:r>
    </w:p>
    <w:p w14:paraId="516EBC4D" w14:textId="77777777" w:rsidR="00FC1032" w:rsidRPr="00FC1032" w:rsidRDefault="00FC1032" w:rsidP="00FC1032"/>
    <w:p w14:paraId="74ECDC54" w14:textId="327C81FB" w:rsidR="00765F7A" w:rsidRPr="00376CC5" w:rsidRDefault="00FC1032" w:rsidP="00765F7A">
      <w:pPr>
        <w:pStyle w:val="Heading1"/>
      </w:pPr>
      <w:r>
        <w:fldChar w:fldCharType="end"/>
      </w:r>
      <w:r w:rsidR="00765F7A" w:rsidRPr="00765F7A">
        <w:t xml:space="preserve"> </w:t>
      </w:r>
      <w:r w:rsidR="00765F7A">
        <w:t>Figures Captions</w:t>
      </w:r>
    </w:p>
    <w:p w14:paraId="3279B7ED" w14:textId="51CDB74F" w:rsidR="00246B63" w:rsidRPr="00555121" w:rsidRDefault="00246B63" w:rsidP="00246B63">
      <w:pPr>
        <w:pStyle w:val="Caption"/>
        <w:rPr>
          <w:b w:val="0"/>
          <w:i/>
          <w:iCs/>
          <w:noProof/>
          <w:color w:val="000000" w:themeColor="text1"/>
          <w:sz w:val="22"/>
          <w:szCs w:val="22"/>
        </w:rPr>
      </w:pPr>
      <w:r w:rsidRPr="00555121">
        <w:rPr>
          <w:b w:val="0"/>
          <w:color w:val="000000" w:themeColor="text1"/>
        </w:rPr>
        <w:t xml:space="preserve">Fig. </w:t>
      </w:r>
      <w:r w:rsidRPr="00555121">
        <w:rPr>
          <w:b w:val="0"/>
          <w:i/>
          <w:iCs/>
          <w:color w:val="000000" w:themeColor="text1"/>
        </w:rPr>
        <w:fldChar w:fldCharType="begin"/>
      </w:r>
      <w:r w:rsidRPr="00555121">
        <w:rPr>
          <w:b w:val="0"/>
          <w:color w:val="000000" w:themeColor="text1"/>
        </w:rPr>
        <w:instrText xml:space="preserve"> SEQ Figure \* ARABIC </w:instrText>
      </w:r>
      <w:r w:rsidRPr="00555121">
        <w:rPr>
          <w:b w:val="0"/>
          <w:i/>
          <w:iCs/>
          <w:color w:val="000000" w:themeColor="text1"/>
        </w:rPr>
        <w:fldChar w:fldCharType="separate"/>
      </w:r>
      <w:r w:rsidRPr="00555121">
        <w:rPr>
          <w:b w:val="0"/>
          <w:noProof/>
          <w:color w:val="000000" w:themeColor="text1"/>
        </w:rPr>
        <w:t>1</w:t>
      </w:r>
      <w:r w:rsidRPr="00555121">
        <w:rPr>
          <w:b w:val="0"/>
          <w:i/>
          <w:iCs/>
          <w:color w:val="000000" w:themeColor="text1"/>
        </w:rPr>
        <w:fldChar w:fldCharType="end"/>
      </w:r>
      <w:r w:rsidRPr="00555121">
        <w:rPr>
          <w:b w:val="0"/>
          <w:color w:val="000000" w:themeColor="text1"/>
        </w:rPr>
        <w:t xml:space="preserve"> S</w:t>
      </w:r>
      <w:r w:rsidR="00AE1E6F">
        <w:rPr>
          <w:b w:val="0"/>
          <w:color w:val="000000" w:themeColor="text1"/>
        </w:rPr>
        <w:t xml:space="preserve">upplementary </w:t>
      </w:r>
      <w:r w:rsidR="00555121">
        <w:rPr>
          <w:b w:val="0"/>
          <w:color w:val="000000" w:themeColor="text1"/>
        </w:rPr>
        <w:t>M</w:t>
      </w:r>
      <w:r w:rsidR="00AE1E6F">
        <w:rPr>
          <w:b w:val="0"/>
          <w:color w:val="000000" w:themeColor="text1"/>
        </w:rPr>
        <w:t xml:space="preserve">aterial - </w:t>
      </w:r>
      <w:r w:rsidRPr="00555121">
        <w:rPr>
          <w:b w:val="0"/>
          <w:color w:val="000000" w:themeColor="text1"/>
        </w:rPr>
        <w:t xml:space="preserve">AVANCER GUI windows screenshots for calibration of </w:t>
      </w:r>
      <w:proofErr w:type="spellStart"/>
      <w:r w:rsidRPr="00555121">
        <w:rPr>
          <w:b w:val="0"/>
          <w:color w:val="000000" w:themeColor="text1"/>
        </w:rPr>
        <w:t>neurotechnologies</w:t>
      </w:r>
      <w:proofErr w:type="spellEnd"/>
      <w:r w:rsidRPr="00555121">
        <w:rPr>
          <w:b w:val="0"/>
          <w:color w:val="000000" w:themeColor="text1"/>
        </w:rPr>
        <w:t>: a) exoskeleton calibration; b) FES calibration; c) single task calibration; d) BCI calibration</w:t>
      </w:r>
    </w:p>
    <w:p w14:paraId="144AD466" w14:textId="1EFCFB5A" w:rsidR="00555121" w:rsidRPr="00555121" w:rsidRDefault="00555121" w:rsidP="00555121">
      <w:pPr>
        <w:pStyle w:val="Caption"/>
        <w:jc w:val="both"/>
        <w:rPr>
          <w:b w:val="0"/>
          <w:i/>
          <w:iCs/>
          <w:color w:val="000000" w:themeColor="text1"/>
        </w:rPr>
      </w:pPr>
      <w:r w:rsidRPr="00555121">
        <w:rPr>
          <w:b w:val="0"/>
          <w:color w:val="000000" w:themeColor="text1"/>
        </w:rPr>
        <w:t xml:space="preserve">Fig. </w:t>
      </w:r>
      <w:r w:rsidRPr="00555121">
        <w:rPr>
          <w:b w:val="0"/>
          <w:i/>
          <w:iCs/>
          <w:color w:val="000000" w:themeColor="text1"/>
        </w:rPr>
        <w:fldChar w:fldCharType="begin"/>
      </w:r>
      <w:r w:rsidRPr="00555121">
        <w:rPr>
          <w:b w:val="0"/>
          <w:color w:val="000000" w:themeColor="text1"/>
        </w:rPr>
        <w:instrText xml:space="preserve"> SEQ Figure \* ARABIC </w:instrText>
      </w:r>
      <w:r w:rsidRPr="00555121">
        <w:rPr>
          <w:b w:val="0"/>
          <w:i/>
          <w:iCs/>
          <w:color w:val="000000" w:themeColor="text1"/>
        </w:rPr>
        <w:fldChar w:fldCharType="separate"/>
      </w:r>
      <w:r w:rsidRPr="00555121">
        <w:rPr>
          <w:b w:val="0"/>
          <w:noProof/>
          <w:color w:val="000000" w:themeColor="text1"/>
        </w:rPr>
        <w:t>2</w:t>
      </w:r>
      <w:r w:rsidRPr="00555121">
        <w:rPr>
          <w:b w:val="0"/>
          <w:i/>
          <w:iCs/>
          <w:color w:val="000000" w:themeColor="text1"/>
        </w:rPr>
        <w:fldChar w:fldCharType="end"/>
      </w:r>
      <w:r w:rsidRPr="00555121">
        <w:rPr>
          <w:b w:val="0"/>
          <w:color w:val="000000" w:themeColor="text1"/>
        </w:rPr>
        <w:t xml:space="preserve"> S</w:t>
      </w:r>
      <w:r w:rsidR="00AE1E6F">
        <w:rPr>
          <w:b w:val="0"/>
          <w:color w:val="000000" w:themeColor="text1"/>
        </w:rPr>
        <w:t xml:space="preserve">upplementary </w:t>
      </w:r>
      <w:r>
        <w:rPr>
          <w:b w:val="0"/>
          <w:color w:val="000000" w:themeColor="text1"/>
        </w:rPr>
        <w:t>M</w:t>
      </w:r>
      <w:r w:rsidR="00AE1E6F">
        <w:rPr>
          <w:b w:val="0"/>
          <w:color w:val="000000" w:themeColor="text1"/>
        </w:rPr>
        <w:t>aterial -</w:t>
      </w:r>
      <w:r w:rsidRPr="00555121">
        <w:rPr>
          <w:b w:val="0"/>
          <w:color w:val="000000" w:themeColor="text1"/>
        </w:rPr>
        <w:t xml:space="preserve"> Example of task division for exercise “Hand to mouth”. a) GUI display showing the sequential (de-)activation of different channels. b) Video-clips of actual tasks performed with multi-channel FES. Task names are written at the top, activated channels at the bottom and default task duration in the lowest line. </w:t>
      </w:r>
      <w:proofErr w:type="spellStart"/>
      <w:r w:rsidRPr="00555121">
        <w:rPr>
          <w:b w:val="0"/>
          <w:color w:val="000000" w:themeColor="text1"/>
        </w:rPr>
        <w:t>Rhom</w:t>
      </w:r>
      <w:proofErr w:type="spellEnd"/>
      <w:r w:rsidRPr="00555121">
        <w:rPr>
          <w:b w:val="0"/>
          <w:color w:val="000000" w:themeColor="text1"/>
        </w:rPr>
        <w:t xml:space="preserve">=rhomboids; </w:t>
      </w:r>
      <w:proofErr w:type="spellStart"/>
      <w:r w:rsidRPr="00555121">
        <w:rPr>
          <w:b w:val="0"/>
          <w:color w:val="000000" w:themeColor="text1"/>
        </w:rPr>
        <w:t>dant</w:t>
      </w:r>
      <w:proofErr w:type="spellEnd"/>
      <w:r w:rsidRPr="00555121">
        <w:rPr>
          <w:b w:val="0"/>
          <w:color w:val="000000" w:themeColor="text1"/>
        </w:rPr>
        <w:t xml:space="preserve">: deltoids anterior; </w:t>
      </w:r>
      <w:proofErr w:type="spellStart"/>
      <w:r w:rsidRPr="00555121">
        <w:rPr>
          <w:b w:val="0"/>
          <w:color w:val="000000" w:themeColor="text1"/>
        </w:rPr>
        <w:t>bic</w:t>
      </w:r>
      <w:proofErr w:type="spellEnd"/>
      <w:r w:rsidRPr="00555121">
        <w:rPr>
          <w:b w:val="0"/>
          <w:color w:val="000000" w:themeColor="text1"/>
        </w:rPr>
        <w:t xml:space="preserve">= biceps; sup=supinator muscles (i.e., brachioradialis); </w:t>
      </w:r>
      <w:proofErr w:type="spellStart"/>
      <w:r w:rsidRPr="00555121">
        <w:rPr>
          <w:b w:val="0"/>
          <w:color w:val="000000" w:themeColor="text1"/>
        </w:rPr>
        <w:t>edm</w:t>
      </w:r>
      <w:proofErr w:type="spellEnd"/>
      <w:r w:rsidRPr="00555121">
        <w:rPr>
          <w:b w:val="0"/>
          <w:color w:val="000000" w:themeColor="text1"/>
        </w:rPr>
        <w:t xml:space="preserve">=extensor digitorum medialis. </w:t>
      </w:r>
    </w:p>
    <w:p w14:paraId="66F4C1BD" w14:textId="550DA040" w:rsidR="00555121" w:rsidRPr="00555121" w:rsidRDefault="00555121" w:rsidP="00555121">
      <w:pPr>
        <w:pStyle w:val="Caption"/>
        <w:rPr>
          <w:b w:val="0"/>
          <w:i/>
          <w:iCs/>
          <w:color w:val="000000" w:themeColor="text1"/>
        </w:rPr>
      </w:pPr>
      <w:r w:rsidRPr="00555121">
        <w:rPr>
          <w:b w:val="0"/>
        </w:rPr>
        <w:t xml:space="preserve">Fig. 3 </w:t>
      </w:r>
      <w:r w:rsidR="00AE1E6F" w:rsidRPr="00555121">
        <w:rPr>
          <w:b w:val="0"/>
          <w:color w:val="000000" w:themeColor="text1"/>
        </w:rPr>
        <w:t>S</w:t>
      </w:r>
      <w:r w:rsidR="00AE1E6F">
        <w:rPr>
          <w:b w:val="0"/>
          <w:color w:val="000000" w:themeColor="text1"/>
        </w:rPr>
        <w:t>upplementary Material</w:t>
      </w:r>
      <w:r w:rsidR="00AE1E6F" w:rsidRPr="00555121">
        <w:rPr>
          <w:b w:val="0"/>
          <w:color w:val="000000" w:themeColor="text1"/>
        </w:rPr>
        <w:t xml:space="preserve"> </w:t>
      </w:r>
      <w:r w:rsidR="00AE1E6F">
        <w:rPr>
          <w:b w:val="0"/>
          <w:color w:val="000000" w:themeColor="text1"/>
        </w:rPr>
        <w:t xml:space="preserve">- </w:t>
      </w:r>
      <w:r w:rsidRPr="00555121">
        <w:rPr>
          <w:b w:val="0"/>
          <w:color w:val="000000" w:themeColor="text1"/>
        </w:rPr>
        <w:t>Brain stimulation simulation results. On the right side, current density induction result with color scale; on the left electrodes positioning over the brain and the 10-20 system. a) Gold-standard electrode positioning; the maximum peak intensity reached is 0.126A/m</w:t>
      </w:r>
      <w:r w:rsidRPr="00555121">
        <w:rPr>
          <w:b w:val="0"/>
          <w:color w:val="000000" w:themeColor="text1"/>
          <w:vertAlign w:val="superscript"/>
        </w:rPr>
        <w:t xml:space="preserve">2 </w:t>
      </w:r>
      <w:r w:rsidRPr="00555121">
        <w:rPr>
          <w:b w:val="0"/>
          <w:color w:val="000000" w:themeColor="text1"/>
        </w:rPr>
        <w:t>for an input current of 1mA; b) Chosen focal high-density montage; the maximum peak intensity reach is 0.126A/m</w:t>
      </w:r>
      <w:r w:rsidRPr="00555121">
        <w:rPr>
          <w:b w:val="0"/>
          <w:color w:val="000000" w:themeColor="text1"/>
          <w:vertAlign w:val="superscript"/>
        </w:rPr>
        <w:t xml:space="preserve">2 </w:t>
      </w:r>
      <w:r w:rsidRPr="00555121">
        <w:rPr>
          <w:b w:val="0"/>
          <w:color w:val="000000" w:themeColor="text1"/>
        </w:rPr>
        <w:t>for an input current of 2mA.</w:t>
      </w:r>
    </w:p>
    <w:p w14:paraId="33DE3510" w14:textId="2C3A0272" w:rsidR="0088513A" w:rsidRPr="0088513A" w:rsidRDefault="0088513A" w:rsidP="006B2D5B">
      <w:pPr>
        <w:rPr>
          <w:rFonts w:cs="Times New Roman"/>
          <w:szCs w:val="24"/>
        </w:rPr>
      </w:pPr>
    </w:p>
    <w:sectPr w:rsidR="0088513A" w:rsidRPr="0088513A" w:rsidSect="009073A0">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8DD6" w14:textId="77777777" w:rsidR="00CE0754" w:rsidRDefault="00CE0754" w:rsidP="00117666">
      <w:pPr>
        <w:spacing w:after="0"/>
      </w:pPr>
      <w:r>
        <w:separator/>
      </w:r>
    </w:p>
  </w:endnote>
  <w:endnote w:type="continuationSeparator" w:id="0">
    <w:p w14:paraId="03EFCE2B" w14:textId="77777777" w:rsidR="00CE0754" w:rsidRDefault="00CE075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980A587" w:rsidR="00686C9D" w:rsidRPr="00577C4C" w:rsidRDefault="00C52A7B">
    <w:pPr>
      <w:pStyle w:val="Footer"/>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51D4B8BD" wp14:editId="575B181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0C22" w14:textId="77777777" w:rsidR="00CE0754" w:rsidRDefault="00CE0754" w:rsidP="00117666">
      <w:pPr>
        <w:spacing w:after="0"/>
      </w:pPr>
      <w:r>
        <w:separator/>
      </w:r>
    </w:p>
  </w:footnote>
  <w:footnote w:type="continuationSeparator" w:id="0">
    <w:p w14:paraId="0CC8A8F9" w14:textId="77777777" w:rsidR="00CE0754" w:rsidRDefault="00CE075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77777777" w:rsidR="00686C9D" w:rsidRPr="007E3148" w:rsidRDefault="00C52A7B"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77777777" w:rsidR="00686C9D" w:rsidRPr="00A53000" w:rsidRDefault="00C52A7B"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834D5"/>
    <w:multiLevelType w:val="multilevel"/>
    <w:tmpl w:val="2E361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C6F29"/>
    <w:multiLevelType w:val="multilevel"/>
    <w:tmpl w:val="C6A8CCEA"/>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6092876">
    <w:abstractNumId w:val="0"/>
  </w:num>
  <w:num w:numId="2" w16cid:durableId="1123498150">
    <w:abstractNumId w:val="13"/>
  </w:num>
  <w:num w:numId="3" w16cid:durableId="1325010189">
    <w:abstractNumId w:val="1"/>
  </w:num>
  <w:num w:numId="4" w16cid:durableId="408045105">
    <w:abstractNumId w:val="16"/>
  </w:num>
  <w:num w:numId="5" w16cid:durableId="1560245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042538">
    <w:abstractNumId w:val="10"/>
  </w:num>
  <w:num w:numId="7" w16cid:durableId="1602882993">
    <w:abstractNumId w:val="8"/>
  </w:num>
  <w:num w:numId="8" w16cid:durableId="997732223">
    <w:abstractNumId w:val="6"/>
  </w:num>
  <w:num w:numId="9" w16cid:durableId="1322392737">
    <w:abstractNumId w:val="9"/>
  </w:num>
  <w:num w:numId="10" w16cid:durableId="1168179395">
    <w:abstractNumId w:val="7"/>
  </w:num>
  <w:num w:numId="11" w16cid:durableId="1587958639">
    <w:abstractNumId w:val="2"/>
  </w:num>
  <w:num w:numId="12" w16cid:durableId="1793089251">
    <w:abstractNumId w:val="18"/>
  </w:num>
  <w:num w:numId="13" w16cid:durableId="2119055301">
    <w:abstractNumId w:val="12"/>
  </w:num>
  <w:num w:numId="14" w16cid:durableId="1681588319">
    <w:abstractNumId w:val="4"/>
  </w:num>
  <w:num w:numId="15" w16cid:durableId="1072387397">
    <w:abstractNumId w:val="11"/>
  </w:num>
  <w:num w:numId="16" w16cid:durableId="1383091320">
    <w:abstractNumId w:val="15"/>
  </w:num>
  <w:num w:numId="17" w16cid:durableId="68054426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758205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3478620">
    <w:abstractNumId w:val="5"/>
  </w:num>
  <w:num w:numId="20" w16cid:durableId="935020746">
    <w:abstractNumId w:val="17"/>
  </w:num>
  <w:num w:numId="21" w16cid:durableId="301037964">
    <w:abstractNumId w:val="3"/>
  </w:num>
  <w:num w:numId="22" w16cid:durableId="192475651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800221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34304"/>
    <w:rsid w:val="00035434"/>
    <w:rsid w:val="0004555F"/>
    <w:rsid w:val="00045678"/>
    <w:rsid w:val="000458E4"/>
    <w:rsid w:val="00054562"/>
    <w:rsid w:val="00063D84"/>
    <w:rsid w:val="0006636D"/>
    <w:rsid w:val="00077D53"/>
    <w:rsid w:val="00081394"/>
    <w:rsid w:val="000B34BD"/>
    <w:rsid w:val="000C7E2A"/>
    <w:rsid w:val="000F4CFB"/>
    <w:rsid w:val="00117666"/>
    <w:rsid w:val="001223A7"/>
    <w:rsid w:val="00134256"/>
    <w:rsid w:val="00147395"/>
    <w:rsid w:val="001552C9"/>
    <w:rsid w:val="00177D84"/>
    <w:rsid w:val="001964EF"/>
    <w:rsid w:val="001B1A2C"/>
    <w:rsid w:val="001D5C23"/>
    <w:rsid w:val="001F4C07"/>
    <w:rsid w:val="00220AEA"/>
    <w:rsid w:val="00226954"/>
    <w:rsid w:val="002369CA"/>
    <w:rsid w:val="00246B63"/>
    <w:rsid w:val="002629A3"/>
    <w:rsid w:val="00265660"/>
    <w:rsid w:val="00267D18"/>
    <w:rsid w:val="002868E2"/>
    <w:rsid w:val="002869C3"/>
    <w:rsid w:val="002936E4"/>
    <w:rsid w:val="00296B88"/>
    <w:rsid w:val="002A327A"/>
    <w:rsid w:val="002B0104"/>
    <w:rsid w:val="002C74CA"/>
    <w:rsid w:val="002F744D"/>
    <w:rsid w:val="00303DE6"/>
    <w:rsid w:val="00310124"/>
    <w:rsid w:val="003544FB"/>
    <w:rsid w:val="00365D63"/>
    <w:rsid w:val="0036793B"/>
    <w:rsid w:val="00372682"/>
    <w:rsid w:val="00376CC5"/>
    <w:rsid w:val="0039693B"/>
    <w:rsid w:val="003D2F2D"/>
    <w:rsid w:val="00401590"/>
    <w:rsid w:val="004045FF"/>
    <w:rsid w:val="00422C94"/>
    <w:rsid w:val="00463E3D"/>
    <w:rsid w:val="004645AE"/>
    <w:rsid w:val="004B16B6"/>
    <w:rsid w:val="004D3E33"/>
    <w:rsid w:val="005250F2"/>
    <w:rsid w:val="00555121"/>
    <w:rsid w:val="005A1D84"/>
    <w:rsid w:val="005A70EA"/>
    <w:rsid w:val="005C3963"/>
    <w:rsid w:val="005D1840"/>
    <w:rsid w:val="005D35E4"/>
    <w:rsid w:val="005D7910"/>
    <w:rsid w:val="0062154F"/>
    <w:rsid w:val="00627BBE"/>
    <w:rsid w:val="00631A8C"/>
    <w:rsid w:val="00651CA2"/>
    <w:rsid w:val="00653D60"/>
    <w:rsid w:val="00660D05"/>
    <w:rsid w:val="00671D9A"/>
    <w:rsid w:val="00673952"/>
    <w:rsid w:val="00681821"/>
    <w:rsid w:val="00686C9D"/>
    <w:rsid w:val="006B2D5B"/>
    <w:rsid w:val="006B361D"/>
    <w:rsid w:val="006B7D14"/>
    <w:rsid w:val="006D5B93"/>
    <w:rsid w:val="00725A7D"/>
    <w:rsid w:val="0073085C"/>
    <w:rsid w:val="00733784"/>
    <w:rsid w:val="00746505"/>
    <w:rsid w:val="00765F7A"/>
    <w:rsid w:val="00790BB3"/>
    <w:rsid w:val="00792043"/>
    <w:rsid w:val="00797EDD"/>
    <w:rsid w:val="007B0322"/>
    <w:rsid w:val="007C0E3F"/>
    <w:rsid w:val="007C206C"/>
    <w:rsid w:val="007C5729"/>
    <w:rsid w:val="008111E4"/>
    <w:rsid w:val="0081301C"/>
    <w:rsid w:val="00817DD6"/>
    <w:rsid w:val="008629A9"/>
    <w:rsid w:val="0088513A"/>
    <w:rsid w:val="00893C19"/>
    <w:rsid w:val="008D6C8D"/>
    <w:rsid w:val="008E2B54"/>
    <w:rsid w:val="008E4404"/>
    <w:rsid w:val="008E58C7"/>
    <w:rsid w:val="008F5021"/>
    <w:rsid w:val="009073A0"/>
    <w:rsid w:val="00943573"/>
    <w:rsid w:val="00971B61"/>
    <w:rsid w:val="00980C31"/>
    <w:rsid w:val="009955FF"/>
    <w:rsid w:val="00997293"/>
    <w:rsid w:val="009D259D"/>
    <w:rsid w:val="00A50D9D"/>
    <w:rsid w:val="00A53000"/>
    <w:rsid w:val="00A545C6"/>
    <w:rsid w:val="00A652D0"/>
    <w:rsid w:val="00A75F87"/>
    <w:rsid w:val="00A95D8B"/>
    <w:rsid w:val="00AC0270"/>
    <w:rsid w:val="00AC3EA3"/>
    <w:rsid w:val="00AC792D"/>
    <w:rsid w:val="00AE1E6F"/>
    <w:rsid w:val="00B435A9"/>
    <w:rsid w:val="00B657B8"/>
    <w:rsid w:val="00B84920"/>
    <w:rsid w:val="00B8556A"/>
    <w:rsid w:val="00C012A3"/>
    <w:rsid w:val="00C16F19"/>
    <w:rsid w:val="00C52A7B"/>
    <w:rsid w:val="00C6324C"/>
    <w:rsid w:val="00C679AA"/>
    <w:rsid w:val="00C724CF"/>
    <w:rsid w:val="00C75972"/>
    <w:rsid w:val="00C82792"/>
    <w:rsid w:val="00C948FD"/>
    <w:rsid w:val="00CB43D5"/>
    <w:rsid w:val="00CB57A5"/>
    <w:rsid w:val="00CC76F9"/>
    <w:rsid w:val="00CD066B"/>
    <w:rsid w:val="00CD46E2"/>
    <w:rsid w:val="00CE0754"/>
    <w:rsid w:val="00CE48A2"/>
    <w:rsid w:val="00D00D0B"/>
    <w:rsid w:val="00D04B69"/>
    <w:rsid w:val="00D52474"/>
    <w:rsid w:val="00D537FA"/>
    <w:rsid w:val="00D5547D"/>
    <w:rsid w:val="00D80D99"/>
    <w:rsid w:val="00D9503C"/>
    <w:rsid w:val="00DD117D"/>
    <w:rsid w:val="00DD73EF"/>
    <w:rsid w:val="00DE23E8"/>
    <w:rsid w:val="00E0128B"/>
    <w:rsid w:val="00E64E17"/>
    <w:rsid w:val="00EA3D3C"/>
    <w:rsid w:val="00EC7CC3"/>
    <w:rsid w:val="00F40990"/>
    <w:rsid w:val="00F46494"/>
    <w:rsid w:val="00F558AB"/>
    <w:rsid w:val="00F61D89"/>
    <w:rsid w:val="00F86ABB"/>
    <w:rsid w:val="00FC1032"/>
    <w:rsid w:val="00FD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B361D"/>
    <w:rPr>
      <w:color w:val="605E5C"/>
      <w:shd w:val="clear" w:color="auto" w:fill="E1DFDD"/>
    </w:rPr>
  </w:style>
  <w:style w:type="paragraph" w:styleId="Bibliography">
    <w:name w:val="Bibliography"/>
    <w:basedOn w:val="Normal"/>
    <w:next w:val="Normal"/>
    <w:uiPriority w:val="37"/>
    <w:unhideWhenUsed/>
    <w:rsid w:val="00FC1032"/>
    <w:pPr>
      <w:tabs>
        <w:tab w:val="left" w:pos="504"/>
      </w:tabs>
      <w:spacing w:after="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3615B66-F159-4E43-B95F-538A5D5A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7</Pages>
  <Words>9189</Words>
  <Characters>52378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John Magri</cp:lastModifiedBy>
  <cp:revision>8</cp:revision>
  <cp:lastPrinted>2013-10-03T12:51:00Z</cp:lastPrinted>
  <dcterms:created xsi:type="dcterms:W3CDTF">2022-04-13T10:04:00Z</dcterms:created>
  <dcterms:modified xsi:type="dcterms:W3CDTF">2022-06-30T14:39:00Z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id="xZu2JCgM"/&gt;&lt;style id="http://www.zotero.org/styles/elsevier-vancouver" hasBibliography="1" bibliographyStyleHasBeenSet="1"/&gt;&lt;prefs&gt;&lt;pref name="fieldType" value="Field"/&gt;&lt;/prefs&gt;&lt;/data&gt;</vt:lpwstr>
  </property>
</Properties>
</file>