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tiff" ContentType="image/tif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</w:pPr>
      <w:r>
        <w:rPr>
          <w:rFonts w:hint="eastAsia"/>
        </w:rPr>
        <w:drawing>
          <wp:inline distT="0" distB="0" distL="114300" distR="114300">
            <wp:extent cx="5039995" cy="4888865"/>
            <wp:effectExtent l="0" t="0" r="8255" b="6985"/>
            <wp:docPr id="1" name="图片 1" descr="Supplementary FigureS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Supplementary FigureS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4888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autoSpaceDE w:val="0"/>
        <w:autoSpaceDN w:val="0"/>
        <w:adjustRightInd w:val="0"/>
        <w:ind w:left="218" w:leftChars="104"/>
        <w:jc w:val="center"/>
        <w:rPr>
          <w:rFonts w:hint="default" w:ascii="Palatino Linotype" w:hAnsi="Palatino Linotype" w:eastAsia="宋体" w:cs="Palatino Linotype"/>
          <w:sz w:val="18"/>
          <w:szCs w:val="18"/>
        </w:rPr>
      </w:pPr>
      <w:r>
        <w:rPr>
          <w:rFonts w:hint="default" w:ascii="Palatino Linotype" w:hAnsi="Palatino Linotype" w:cs="Palatino Linotype"/>
          <w:b/>
          <w:sz w:val="18"/>
          <w:szCs w:val="18"/>
        </w:rPr>
        <w:t>Supplementary Figure S1.</w:t>
      </w:r>
      <w:r>
        <w:rPr>
          <w:rFonts w:hint="default" w:ascii="Palatino Linotype" w:hAnsi="Palatino Linotype" w:cs="Palatino Linotype"/>
          <w:sz w:val="18"/>
          <w:szCs w:val="18"/>
        </w:rPr>
        <w:t xml:space="preserve"> Total ion flow (TIC) chromatogram of the standards of the 13 detected substances.</w:t>
      </w:r>
    </w:p>
    <w:p>
      <w:pPr>
        <w:jc w:val="center"/>
      </w:pPr>
    </w:p>
    <w:p>
      <w:pPr>
        <w:jc w:val="center"/>
      </w:pPr>
    </w:p>
    <w:p>
      <w:pPr>
        <w:jc w:val="center"/>
      </w:pPr>
      <w:r>
        <w:rPr>
          <w:rFonts w:hint="eastAsia"/>
        </w:rPr>
        <w:drawing>
          <wp:inline distT="0" distB="0" distL="114300" distR="114300">
            <wp:extent cx="4319905" cy="3632200"/>
            <wp:effectExtent l="0" t="0" r="4445" b="6350"/>
            <wp:docPr id="6" name="图片 6" descr="转录组测序鉴定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转录组测序鉴定图"/>
                    <pic:cNvPicPr>
                      <a:picLocks noChangeAspect="1"/>
                    </pic:cNvPicPr>
                  </pic:nvPicPr>
                  <pic:blipFill>
                    <a:blip r:embed="rId5"/>
                    <a:srcRect t="8995"/>
                    <a:stretch>
                      <a:fillRect/>
                    </a:stretch>
                  </pic:blipFill>
                  <pic:spPr>
                    <a:xfrm>
                      <a:off x="0" y="0"/>
                      <a:ext cx="4319905" cy="363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ascii="Palatino Linotype" w:hAnsi="Palatino Linotype" w:cs="Palatino Linotype"/>
          <w:sz w:val="18"/>
          <w:szCs w:val="18"/>
        </w:rPr>
      </w:pPr>
      <w:r>
        <w:rPr>
          <w:rFonts w:hint="default" w:ascii="Palatino Linotype" w:hAnsi="Palatino Linotype" w:cs="Palatino Linotype"/>
          <w:b/>
          <w:sz w:val="18"/>
          <w:szCs w:val="18"/>
        </w:rPr>
        <w:t xml:space="preserve">Supplementary Figure S2. </w:t>
      </w:r>
      <w:r>
        <w:rPr>
          <w:rFonts w:hint="default" w:ascii="Palatino Linotype" w:hAnsi="Palatino Linotype" w:cs="Palatino Linotype"/>
          <w:sz w:val="18"/>
          <w:szCs w:val="18"/>
        </w:rPr>
        <w:t xml:space="preserve">Validation of RNA-Seq </w:t>
      </w:r>
      <w:bookmarkStart w:id="0" w:name="_GoBack"/>
      <w:bookmarkEnd w:id="0"/>
      <w:r>
        <w:rPr>
          <w:rFonts w:hint="default" w:ascii="Palatino Linotype" w:hAnsi="Palatino Linotype" w:cs="Palatino Linotype"/>
          <w:sz w:val="18"/>
          <w:szCs w:val="18"/>
        </w:rPr>
        <w:t>ata by qRT-PCR.</w:t>
      </w:r>
    </w:p>
    <w:p>
      <w:r>
        <w:br w:type="page"/>
      </w:r>
    </w:p>
    <w:p>
      <w:pPr>
        <w:jc w:val="center"/>
      </w:pPr>
    </w:p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039995" cy="5916930"/>
            <wp:effectExtent l="0" t="0" r="8255" b="7620"/>
            <wp:docPr id="10" name="图片 10" descr="Supplementary FigureS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Supplementary FigureS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5916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ascii="Palatino Linotype" w:hAnsi="Palatino Linotype" w:cs="Palatino Linotype"/>
          <w:sz w:val="18"/>
          <w:szCs w:val="18"/>
        </w:rPr>
      </w:pPr>
      <w:r>
        <w:rPr>
          <w:rFonts w:hint="default" w:ascii="Palatino Linotype" w:hAnsi="Palatino Linotype" w:cs="Palatino Linotype"/>
          <w:b/>
          <w:sz w:val="18"/>
          <w:szCs w:val="18"/>
        </w:rPr>
        <w:t xml:space="preserve">Supplementary Figure S3. </w:t>
      </w:r>
      <w:r>
        <w:rPr>
          <w:rFonts w:hint="default" w:ascii="Palatino Linotype" w:hAnsi="Palatino Linotype" w:cs="Palatino Linotype"/>
          <w:sz w:val="18"/>
          <w:szCs w:val="18"/>
        </w:rPr>
        <w:t xml:space="preserve"> Transcriptome analysis of </w:t>
      </w:r>
      <w:r>
        <w:rPr>
          <w:rFonts w:hint="default" w:ascii="Palatino Linotype" w:hAnsi="Palatino Linotype" w:cs="Palatino Linotype"/>
          <w:i/>
          <w:iCs/>
          <w:sz w:val="18"/>
          <w:szCs w:val="18"/>
        </w:rPr>
        <w:t>G. uralensis</w:t>
      </w:r>
      <w:r>
        <w:rPr>
          <w:rFonts w:hint="default" w:ascii="Palatino Linotype" w:hAnsi="Palatino Linotype" w:cs="Palatino Linotype"/>
          <w:sz w:val="18"/>
          <w:szCs w:val="18"/>
        </w:rPr>
        <w:t xml:space="preserve"> under PEG stress at different ties. Sixty-day-old </w:t>
      </w:r>
      <w:r>
        <w:rPr>
          <w:rFonts w:hint="default" w:ascii="Palatino Linotype" w:hAnsi="Palatino Linotype" w:cs="Palatino Linotype"/>
          <w:i/>
          <w:sz w:val="18"/>
          <w:szCs w:val="18"/>
        </w:rPr>
        <w:t>G. uralensis</w:t>
      </w:r>
      <w:r>
        <w:rPr>
          <w:rFonts w:hint="default" w:ascii="Palatino Linotype" w:hAnsi="Palatino Linotype" w:cs="Palatino Linotype"/>
          <w:sz w:val="18"/>
          <w:szCs w:val="18"/>
        </w:rPr>
        <w:t xml:space="preserve"> plants treated by 10% PEG6000 for 0h, 2h, 6h, 12h and 24h were collected for generation of RNA-sequencing (RNA-seq) data, and the identified DEGs were used for further analysis. </w:t>
      </w:r>
      <w:r>
        <w:rPr>
          <w:rFonts w:hint="eastAsia" w:ascii="Palatino Linotype" w:hAnsi="Palatino Linotype" w:cs="Palatino Linotype"/>
          <w:sz w:val="18"/>
          <w:szCs w:val="18"/>
          <w:lang w:val="en-US" w:eastAsia="zh-CN"/>
        </w:rPr>
        <w:t>(</w:t>
      </w:r>
      <w:r>
        <w:rPr>
          <w:rFonts w:hint="default" w:ascii="Palatino Linotype" w:hAnsi="Palatino Linotype" w:cs="Palatino Linotype"/>
          <w:sz w:val="18"/>
          <w:szCs w:val="18"/>
        </w:rPr>
        <w:t>A</w:t>
      </w:r>
      <w:r>
        <w:rPr>
          <w:rFonts w:hint="eastAsia" w:ascii="Palatino Linotype" w:hAnsi="Palatino Linotype" w:cs="Palatino Linotype"/>
          <w:sz w:val="18"/>
          <w:szCs w:val="18"/>
          <w:lang w:val="en-US" w:eastAsia="zh-CN"/>
        </w:rPr>
        <w:t>)</w:t>
      </w:r>
      <w:r>
        <w:rPr>
          <w:rFonts w:hint="default" w:ascii="Palatino Linotype" w:hAnsi="Palatino Linotype" w:cs="Palatino Linotype"/>
          <w:sz w:val="18"/>
          <w:szCs w:val="18"/>
        </w:rPr>
        <w:t xml:space="preserve"> Statistics analysis of the DEGs identified in different treatment time points under PEG stress in the underground parts. </w:t>
      </w:r>
      <w:r>
        <w:rPr>
          <w:rFonts w:hint="eastAsia" w:ascii="Palatino Linotype" w:hAnsi="Palatino Linotype" w:cs="Palatino Linotype"/>
          <w:sz w:val="18"/>
          <w:szCs w:val="18"/>
          <w:lang w:val="en-US" w:eastAsia="zh-CN"/>
        </w:rPr>
        <w:t>(</w:t>
      </w:r>
      <w:r>
        <w:rPr>
          <w:rFonts w:hint="default" w:ascii="Palatino Linotype" w:hAnsi="Palatino Linotype" w:cs="Palatino Linotype"/>
          <w:sz w:val="18"/>
          <w:szCs w:val="18"/>
        </w:rPr>
        <w:t>B</w:t>
      </w:r>
      <w:r>
        <w:rPr>
          <w:rFonts w:hint="eastAsia" w:ascii="Palatino Linotype" w:hAnsi="Palatino Linotype" w:cs="Palatino Linotype"/>
          <w:sz w:val="18"/>
          <w:szCs w:val="18"/>
          <w:lang w:val="en-US" w:eastAsia="zh-CN"/>
        </w:rPr>
        <w:t>)</w:t>
      </w:r>
      <w:r>
        <w:rPr>
          <w:rFonts w:hint="default" w:ascii="Palatino Linotype" w:hAnsi="Palatino Linotype" w:cs="Palatino Linotype"/>
          <w:sz w:val="18"/>
          <w:szCs w:val="18"/>
        </w:rPr>
        <w:t xml:space="preserve"> Venn diagram analysis of the DEGs in the three comparison groups </w:t>
      </w:r>
      <w:r>
        <w:rPr>
          <w:rFonts w:hint="default" w:ascii="Palatino Linotype" w:hAnsi="Palatino Linotype" w:cs="Palatino Linotype"/>
          <w:sz w:val="18"/>
          <w:szCs w:val="18"/>
          <w:shd w:val="clear" w:color="auto" w:fill="FFFFFF"/>
        </w:rPr>
        <w:t xml:space="preserve">at different time of PEG treatment </w:t>
      </w:r>
      <w:r>
        <w:rPr>
          <w:rFonts w:hint="default" w:ascii="Palatino Linotype" w:hAnsi="Palatino Linotype" w:cs="Palatino Linotype"/>
          <w:sz w:val="18"/>
          <w:szCs w:val="18"/>
        </w:rPr>
        <w:t>in the underground parts</w:t>
      </w:r>
      <w:r>
        <w:rPr>
          <w:rFonts w:hint="default" w:ascii="Palatino Linotype" w:hAnsi="Palatino Linotype" w:cs="Palatino Linotype"/>
          <w:sz w:val="18"/>
          <w:szCs w:val="18"/>
          <w:shd w:val="clear" w:color="auto" w:fill="FFFFFF"/>
        </w:rPr>
        <w:t>.</w:t>
      </w:r>
      <w:r>
        <w:rPr>
          <w:rFonts w:hint="default" w:ascii="Palatino Linotype" w:hAnsi="Palatino Linotype" w:eastAsia="宋体" w:cs="Palatino Linotype"/>
          <w:sz w:val="18"/>
          <w:szCs w:val="18"/>
          <w:shd w:val="clear" w:color="auto" w:fill="FFFFFF"/>
        </w:rPr>
        <w:t xml:space="preserve"> </w:t>
      </w:r>
      <w:r>
        <w:rPr>
          <w:rFonts w:hint="eastAsia" w:ascii="Palatino Linotype" w:hAnsi="Palatino Linotype" w:eastAsia="宋体" w:cs="Palatino Linotype"/>
          <w:sz w:val="18"/>
          <w:szCs w:val="18"/>
          <w:shd w:val="clear" w:color="auto" w:fill="FFFFFF"/>
          <w:lang w:val="en-US" w:eastAsia="zh-CN"/>
        </w:rPr>
        <w:t>(</w:t>
      </w:r>
      <w:r>
        <w:rPr>
          <w:rFonts w:hint="default" w:ascii="Palatino Linotype" w:hAnsi="Palatino Linotype" w:cs="Palatino Linotype"/>
          <w:sz w:val="18"/>
          <w:szCs w:val="18"/>
        </w:rPr>
        <w:t>C</w:t>
      </w:r>
      <w:r>
        <w:rPr>
          <w:rFonts w:hint="eastAsia" w:ascii="Palatino Linotype" w:hAnsi="Palatino Linotype" w:cs="Palatino Linotype"/>
          <w:sz w:val="18"/>
          <w:szCs w:val="18"/>
          <w:lang w:val="en-US" w:eastAsia="zh-CN"/>
        </w:rPr>
        <w:t>)</w:t>
      </w:r>
      <w:r>
        <w:rPr>
          <w:rFonts w:hint="default" w:ascii="Palatino Linotype" w:hAnsi="Palatino Linotype" w:cs="Palatino Linotype"/>
          <w:sz w:val="18"/>
          <w:szCs w:val="18"/>
        </w:rPr>
        <w:t xml:space="preserve"> Statistics analysis of the DEGs identified in different treatment time points under PEG stress in the aerial parts. </w:t>
      </w:r>
      <w:r>
        <w:rPr>
          <w:rFonts w:hint="eastAsia" w:ascii="Palatino Linotype" w:hAnsi="Palatino Linotype" w:cs="Palatino Linotype"/>
          <w:sz w:val="18"/>
          <w:szCs w:val="18"/>
          <w:lang w:val="en-US" w:eastAsia="zh-CN"/>
        </w:rPr>
        <w:t>(</w:t>
      </w:r>
      <w:r>
        <w:rPr>
          <w:rFonts w:hint="default" w:ascii="Palatino Linotype" w:hAnsi="Palatino Linotype" w:cs="Palatino Linotype"/>
          <w:sz w:val="18"/>
          <w:szCs w:val="18"/>
        </w:rPr>
        <w:t>D</w:t>
      </w:r>
      <w:r>
        <w:rPr>
          <w:rFonts w:hint="eastAsia" w:ascii="Palatino Linotype" w:hAnsi="Palatino Linotype" w:cs="Palatino Linotype"/>
          <w:sz w:val="18"/>
          <w:szCs w:val="18"/>
          <w:lang w:val="en-US" w:eastAsia="zh-CN"/>
        </w:rPr>
        <w:t>)</w:t>
      </w:r>
      <w:r>
        <w:rPr>
          <w:rFonts w:hint="default" w:ascii="Palatino Linotype" w:hAnsi="Palatino Linotype" w:cs="Palatino Linotype"/>
          <w:sz w:val="18"/>
          <w:szCs w:val="18"/>
        </w:rPr>
        <w:t xml:space="preserve"> Venn diagram analysis of the DEGs in the three comparison groups </w:t>
      </w:r>
      <w:r>
        <w:rPr>
          <w:rFonts w:hint="default" w:ascii="Palatino Linotype" w:hAnsi="Palatino Linotype" w:cs="Palatino Linotype"/>
          <w:sz w:val="18"/>
          <w:szCs w:val="18"/>
          <w:shd w:val="clear" w:color="auto" w:fill="FFFFFF"/>
        </w:rPr>
        <w:t xml:space="preserve">at different time of PEG treatment </w:t>
      </w:r>
      <w:r>
        <w:rPr>
          <w:rFonts w:hint="default" w:ascii="Palatino Linotype" w:hAnsi="Palatino Linotype" w:cs="Palatino Linotype"/>
          <w:sz w:val="18"/>
          <w:szCs w:val="18"/>
        </w:rPr>
        <w:t>in the aerial parts</w:t>
      </w:r>
      <w:r>
        <w:rPr>
          <w:rFonts w:hint="default" w:ascii="Palatino Linotype" w:hAnsi="Palatino Linotype" w:cs="Palatino Linotype"/>
          <w:sz w:val="18"/>
          <w:szCs w:val="18"/>
          <w:shd w:val="clear" w:color="auto" w:fill="FFFFFF"/>
        </w:rPr>
        <w:t xml:space="preserve">. </w:t>
      </w:r>
      <w:r>
        <w:rPr>
          <w:rFonts w:hint="eastAsia" w:ascii="Palatino Linotype" w:hAnsi="Palatino Linotype" w:cs="Palatino Linotype"/>
          <w:sz w:val="18"/>
          <w:szCs w:val="18"/>
          <w:shd w:val="clear" w:color="auto" w:fill="FFFFFF"/>
          <w:lang w:val="en-US" w:eastAsia="zh-CN"/>
        </w:rPr>
        <w:t>(</w:t>
      </w:r>
      <w:r>
        <w:rPr>
          <w:rFonts w:hint="default" w:ascii="Palatino Linotype" w:hAnsi="Palatino Linotype" w:cs="Palatino Linotype"/>
          <w:sz w:val="18"/>
          <w:szCs w:val="18"/>
        </w:rPr>
        <w:t>E</w:t>
      </w:r>
      <w:r>
        <w:rPr>
          <w:rFonts w:hint="eastAsia" w:ascii="Palatino Linotype" w:hAnsi="Palatino Linotype" w:cs="Palatino Linotype"/>
          <w:sz w:val="18"/>
          <w:szCs w:val="18"/>
          <w:lang w:val="en-US" w:eastAsia="zh-CN"/>
        </w:rPr>
        <w:t>)</w:t>
      </w:r>
      <w:r>
        <w:rPr>
          <w:rFonts w:hint="default" w:ascii="Palatino Linotype" w:hAnsi="Palatino Linotype" w:cs="Palatino Linotype"/>
          <w:sz w:val="18"/>
          <w:szCs w:val="18"/>
        </w:rPr>
        <w:t xml:space="preserve"> Temporal expression pattern analysis of the up-regulated DEGs(UDGEs) and down-regulated DEGs(DDGEs) in the underground parts. </w:t>
      </w:r>
      <w:r>
        <w:rPr>
          <w:rFonts w:hint="eastAsia" w:ascii="Palatino Linotype" w:hAnsi="Palatino Linotype" w:cs="Palatino Linotype"/>
          <w:sz w:val="18"/>
          <w:szCs w:val="18"/>
          <w:lang w:val="en-US" w:eastAsia="zh-CN"/>
        </w:rPr>
        <w:t>(</w:t>
      </w:r>
      <w:r>
        <w:rPr>
          <w:rFonts w:hint="default" w:ascii="Palatino Linotype" w:hAnsi="Palatino Linotype" w:cs="Palatino Linotype"/>
          <w:sz w:val="18"/>
          <w:szCs w:val="18"/>
        </w:rPr>
        <w:t>F</w:t>
      </w:r>
      <w:r>
        <w:rPr>
          <w:rFonts w:hint="eastAsia" w:ascii="Palatino Linotype" w:hAnsi="Palatino Linotype" w:cs="Palatino Linotype"/>
          <w:sz w:val="18"/>
          <w:szCs w:val="18"/>
          <w:lang w:val="en-US" w:eastAsia="zh-CN"/>
        </w:rPr>
        <w:t>)</w:t>
      </w:r>
      <w:r>
        <w:rPr>
          <w:rFonts w:hint="default" w:ascii="Palatino Linotype" w:hAnsi="Palatino Linotype" w:cs="Palatino Linotype"/>
          <w:sz w:val="18"/>
          <w:szCs w:val="18"/>
        </w:rPr>
        <w:t xml:space="preserve"> Temporal expression pattern analysis of the up-regulated DEGs</w:t>
      </w:r>
      <w:r>
        <w:rPr>
          <w:rFonts w:hint="eastAsia" w:ascii="Palatino Linotype" w:hAnsi="Palatino Linotype" w:cs="Palatino Linotype"/>
          <w:sz w:val="18"/>
          <w:szCs w:val="18"/>
          <w:lang w:val="en-US" w:eastAsia="zh-CN"/>
        </w:rPr>
        <w:t xml:space="preserve"> </w:t>
      </w:r>
      <w:r>
        <w:rPr>
          <w:rFonts w:hint="default" w:ascii="Palatino Linotype" w:hAnsi="Palatino Linotype" w:cs="Palatino Linotype"/>
          <w:sz w:val="18"/>
          <w:szCs w:val="18"/>
        </w:rPr>
        <w:t>(UDGEs) and down-regulated DEGs</w:t>
      </w:r>
      <w:r>
        <w:rPr>
          <w:rFonts w:hint="eastAsia" w:ascii="Palatino Linotype" w:hAnsi="Palatino Linotype" w:cs="Palatino Linotype"/>
          <w:sz w:val="18"/>
          <w:szCs w:val="18"/>
          <w:lang w:val="en-US" w:eastAsia="zh-CN"/>
        </w:rPr>
        <w:t xml:space="preserve"> </w:t>
      </w:r>
      <w:r>
        <w:rPr>
          <w:rFonts w:hint="default" w:ascii="Palatino Linotype" w:hAnsi="Palatino Linotype" w:cs="Palatino Linotype"/>
          <w:sz w:val="18"/>
          <w:szCs w:val="18"/>
        </w:rPr>
        <w:t>(DDGEs) in the aerial parts. In the Short Time-Series Expression Miner (STEM), different color clusters represent different profiles.</w:t>
      </w:r>
    </w:p>
    <w:p>
      <w:pPr>
        <w:jc w:val="center"/>
      </w:pPr>
    </w:p>
    <w:p>
      <w:pPr>
        <w:jc w:val="center"/>
      </w:pPr>
    </w:p>
    <w:p>
      <w:pPr>
        <w:widowControl/>
        <w:tabs>
          <w:tab w:val="left" w:pos="6457"/>
        </w:tabs>
        <w:spacing w:line="240" w:lineRule="auto"/>
        <w:jc w:val="center"/>
        <w:rPr>
          <w:rFonts w:hint="eastAsia" w:eastAsiaTheme="minorEastAsia"/>
          <w:kern w:val="2"/>
          <w:sz w:val="21"/>
          <w:lang w:eastAsia="zh-CN"/>
        </w:rPr>
      </w:pPr>
      <w:r>
        <w:rPr>
          <w:rFonts w:hint="eastAsia" w:eastAsiaTheme="minorEastAsia"/>
          <w:kern w:val="2"/>
          <w:sz w:val="21"/>
          <w:lang w:eastAsia="zh-CN"/>
        </w:rPr>
        <w:drawing>
          <wp:inline distT="0" distB="0" distL="114300" distR="114300">
            <wp:extent cx="5039995" cy="3794125"/>
            <wp:effectExtent l="0" t="0" r="8255" b="15875"/>
            <wp:docPr id="11" name="图片 11" descr="Supplementary FigureS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Supplementary FigureS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39995" cy="3794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tabs>
          <w:tab w:val="left" w:pos="6457"/>
        </w:tabs>
        <w:spacing w:line="228" w:lineRule="auto"/>
        <w:jc w:val="center"/>
        <w:rPr>
          <w:rFonts w:hint="eastAsia" w:ascii="Palatino Linotype" w:hAnsi="Palatino Linotype" w:eastAsia="宋体" w:cs="Times New Roman"/>
          <w:color w:val="000000"/>
          <w:kern w:val="2"/>
          <w:sz w:val="18"/>
          <w:szCs w:val="18"/>
          <w:lang w:val="en-US" w:eastAsia="zh-CN"/>
        </w:rPr>
      </w:pPr>
      <w:r>
        <w:rPr>
          <w:rFonts w:hint="default" w:ascii="Palatino Linotype" w:hAnsi="Palatino Linotype" w:cs="Palatino Linotype"/>
          <w:b/>
          <w:sz w:val="18"/>
          <w:szCs w:val="18"/>
        </w:rPr>
        <w:t>Supplementary Figure S</w:t>
      </w:r>
      <w:r>
        <w:rPr>
          <w:rFonts w:hint="default" w:ascii="Palatino Linotype" w:hAnsi="Palatino Linotype" w:cs="Palatino Linotype"/>
          <w:b/>
          <w:sz w:val="18"/>
          <w:szCs w:val="18"/>
          <w:lang w:val="en-US" w:eastAsia="zh-CN"/>
        </w:rPr>
        <w:t>4</w:t>
      </w:r>
      <w:r>
        <w:rPr>
          <w:rFonts w:hint="default" w:ascii="Palatino Linotype" w:hAnsi="Palatino Linotype" w:cs="Palatino Linotype"/>
          <w:b/>
          <w:sz w:val="18"/>
          <w:szCs w:val="18"/>
        </w:rPr>
        <w:t xml:space="preserve">. </w:t>
      </w:r>
      <w:r>
        <w:rPr>
          <w:rFonts w:hint="eastAsia" w:ascii="Palatino Linotype" w:hAnsi="Palatino Linotype" w:eastAsia="宋体" w:cs="Times New Roman"/>
          <w:color w:val="000000"/>
          <w:kern w:val="2"/>
          <w:sz w:val="18"/>
          <w:szCs w:val="18"/>
        </w:rPr>
        <w:t xml:space="preserve">Effects of PEG and JA synthesis inhibitor IBU on the production of pharmaceutical active components in </w:t>
      </w:r>
      <w:r>
        <w:rPr>
          <w:rFonts w:hint="eastAsia" w:ascii="Palatino Linotype" w:hAnsi="Palatino Linotype" w:eastAsia="宋体" w:cs="Times New Roman"/>
          <w:color w:val="000000"/>
          <w:kern w:val="2"/>
          <w:sz w:val="18"/>
          <w:szCs w:val="18"/>
          <w:lang w:val="en-US" w:eastAsia="zh-CN"/>
        </w:rPr>
        <w:t xml:space="preserve">aerial parts of </w:t>
      </w:r>
      <w:r>
        <w:rPr>
          <w:rFonts w:hint="eastAsia" w:ascii="Palatino Linotype" w:hAnsi="Palatino Linotype" w:eastAsia="宋体" w:cs="Times New Roman"/>
          <w:i/>
          <w:iCs/>
          <w:color w:val="000000"/>
          <w:kern w:val="2"/>
          <w:sz w:val="18"/>
          <w:szCs w:val="18"/>
        </w:rPr>
        <w:t>G. uralensis</w:t>
      </w:r>
      <w:r>
        <w:rPr>
          <w:rFonts w:hint="eastAsia" w:ascii="Palatino Linotype" w:hAnsi="Palatino Linotype" w:eastAsia="宋体" w:cs="Times New Roman"/>
          <w:color w:val="000000"/>
          <w:kern w:val="2"/>
          <w:sz w:val="18"/>
          <w:szCs w:val="18"/>
          <w:lang w:val="en-US" w:eastAsia="zh-CN"/>
        </w:rPr>
        <w:t>.</w:t>
      </w:r>
    </w:p>
    <w:p>
      <w:pPr>
        <w:widowControl w:val="0"/>
        <w:numPr>
          <w:ilvl w:val="0"/>
          <w:numId w:val="0"/>
        </w:numPr>
        <w:tabs>
          <w:tab w:val="left" w:pos="6457"/>
        </w:tabs>
        <w:spacing w:line="228" w:lineRule="auto"/>
        <w:jc w:val="center"/>
        <w:rPr>
          <w:rFonts w:ascii="Palatino Linotype" w:hAnsi="Palatino Linotype" w:eastAsia="宋体" w:cs="Times New Roman"/>
          <w:color w:val="000000"/>
          <w:kern w:val="2"/>
          <w:sz w:val="18"/>
          <w:szCs w:val="18"/>
        </w:rPr>
      </w:pPr>
      <w:r>
        <w:rPr>
          <w:rFonts w:hint="eastAsia" w:ascii="Palatino Linotype" w:hAnsi="Palatino Linotype" w:eastAsia="宋体" w:cs="Times New Roman"/>
          <w:color w:val="000000"/>
          <w:kern w:val="2"/>
          <w:sz w:val="18"/>
          <w:szCs w:val="18"/>
          <w:lang w:val="en-US" w:eastAsia="zh-CN"/>
        </w:rPr>
        <w:t xml:space="preserve">(A) </w:t>
      </w:r>
      <w:r>
        <w:rPr>
          <w:rFonts w:ascii="Palatino Linotype" w:hAnsi="Palatino Linotype" w:eastAsia="宋体" w:cs="Times New Roman"/>
          <w:color w:val="000000"/>
          <w:kern w:val="2"/>
          <w:sz w:val="18"/>
          <w:szCs w:val="18"/>
        </w:rPr>
        <w:t>Determination of JA and pharmaceutical active ingredient</w:t>
      </w:r>
      <w:r>
        <w:rPr>
          <w:rFonts w:hint="default" w:ascii="Palatino Linotype" w:hAnsi="Palatino Linotype" w:eastAsia="宋体" w:cs="Times New Roman"/>
          <w:color w:val="000000"/>
          <w:kern w:val="2"/>
          <w:sz w:val="18"/>
          <w:szCs w:val="18"/>
        </w:rPr>
        <w:t>s</w:t>
      </w:r>
      <w:r>
        <w:rPr>
          <w:rFonts w:ascii="Palatino Linotype" w:hAnsi="Palatino Linotype" w:eastAsia="宋体" w:cs="Times New Roman"/>
          <w:color w:val="000000"/>
          <w:kern w:val="2"/>
          <w:sz w:val="18"/>
          <w:szCs w:val="18"/>
        </w:rPr>
        <w:t xml:space="preserve"> under </w:t>
      </w:r>
      <w:r>
        <w:rPr>
          <w:rFonts w:hint="eastAsia" w:ascii="Palatino Linotype" w:hAnsi="Palatino Linotype" w:eastAsia="宋体" w:cs="Times New Roman"/>
          <w:color w:val="000000"/>
          <w:kern w:val="2"/>
          <w:sz w:val="18"/>
          <w:szCs w:val="18"/>
        </w:rPr>
        <w:t>treatment</w:t>
      </w:r>
      <w:r>
        <w:rPr>
          <w:rFonts w:hint="eastAsia" w:ascii="Palatino Linotype" w:hAnsi="Palatino Linotype" w:eastAsia="宋体" w:cs="Times New Roman"/>
          <w:color w:val="000000"/>
          <w:kern w:val="2"/>
          <w:sz w:val="18"/>
          <w:szCs w:val="18"/>
          <w:lang w:val="en-US" w:eastAsia="zh-CN"/>
        </w:rPr>
        <w:t xml:space="preserve"> of </w:t>
      </w:r>
      <w:r>
        <w:rPr>
          <w:rFonts w:hint="eastAsia" w:ascii="Palatino Linotype" w:hAnsi="Palatino Linotype" w:eastAsia="宋体" w:cs="Times New Roman"/>
          <w:color w:val="000000"/>
          <w:kern w:val="2"/>
          <w:sz w:val="18"/>
          <w:szCs w:val="18"/>
        </w:rPr>
        <w:t>PEG and IBU</w:t>
      </w:r>
      <w:r>
        <w:rPr>
          <w:rFonts w:hint="eastAsia" w:ascii="Palatino Linotype" w:hAnsi="Palatino Linotype" w:eastAsia="宋体" w:cs="Times New Roman"/>
          <w:color w:val="000000"/>
          <w:kern w:val="2"/>
          <w:sz w:val="18"/>
          <w:szCs w:val="18"/>
          <w:lang w:val="en-US" w:eastAsia="zh-CN"/>
        </w:rPr>
        <w:t xml:space="preserve">. </w:t>
      </w:r>
      <w:r>
        <w:rPr>
          <w:rFonts w:ascii="Palatino Linotype" w:hAnsi="Palatino Linotype" w:eastAsia="宋体" w:cs="Times New Roman"/>
          <w:color w:val="000000"/>
          <w:kern w:val="2"/>
          <w:sz w:val="18"/>
          <w:szCs w:val="18"/>
        </w:rPr>
        <w:t>Different letters followed by mean ± standard error indicate significant differences at p &lt; 0.05 level.</w:t>
      </w:r>
      <w:r>
        <w:rPr>
          <w:rFonts w:hint="eastAsia" w:ascii="Palatino Linotype" w:hAnsi="Palatino Linotype" w:eastAsia="宋体" w:cs="Times New Roman"/>
          <w:color w:val="000000"/>
          <w:kern w:val="2"/>
          <w:sz w:val="18"/>
          <w:szCs w:val="18"/>
          <w:lang w:val="en-US" w:eastAsia="zh-CN"/>
        </w:rPr>
        <w:t xml:space="preserve"> (B) Expression h</w:t>
      </w:r>
      <w:r>
        <w:rPr>
          <w:rFonts w:hint="eastAsia" w:ascii="Palatino Linotype" w:hAnsi="Palatino Linotype" w:eastAsia="宋体" w:cs="Times New Roman"/>
          <w:color w:val="000000"/>
          <w:kern w:val="2"/>
          <w:sz w:val="18"/>
          <w:szCs w:val="18"/>
        </w:rPr>
        <w:t>eatmap</w:t>
      </w:r>
      <w:r>
        <w:rPr>
          <w:rFonts w:hint="eastAsia" w:ascii="Palatino Linotype" w:hAnsi="Palatino Linotype" w:eastAsia="宋体" w:cs="Times New Roman"/>
          <w:color w:val="000000"/>
          <w:kern w:val="2"/>
          <w:sz w:val="18"/>
          <w:szCs w:val="18"/>
          <w:lang w:val="en-US" w:eastAsia="zh-CN"/>
        </w:rPr>
        <w:t>s</w:t>
      </w:r>
      <w:r>
        <w:rPr>
          <w:rFonts w:hint="eastAsia" w:ascii="Palatino Linotype" w:hAnsi="Palatino Linotype" w:eastAsia="宋体" w:cs="Times New Roman"/>
          <w:color w:val="000000"/>
          <w:kern w:val="2"/>
          <w:sz w:val="18"/>
          <w:szCs w:val="18"/>
        </w:rPr>
        <w:t xml:space="preserve"> of g</w:t>
      </w:r>
      <w:r>
        <w:rPr>
          <w:rFonts w:ascii="Palatino Linotype" w:hAnsi="Palatino Linotype" w:eastAsia="宋体" w:cs="Times New Roman"/>
          <w:color w:val="000000"/>
          <w:kern w:val="2"/>
          <w:sz w:val="18"/>
          <w:szCs w:val="18"/>
        </w:rPr>
        <w:t xml:space="preserve">enes </w:t>
      </w:r>
      <w:r>
        <w:rPr>
          <w:rFonts w:hint="eastAsia" w:ascii="Palatino Linotype" w:hAnsi="Palatino Linotype" w:eastAsia="宋体" w:cs="Times New Roman"/>
          <w:color w:val="000000"/>
          <w:kern w:val="2"/>
          <w:sz w:val="18"/>
          <w:szCs w:val="18"/>
          <w:lang w:val="en-US" w:eastAsia="zh-CN"/>
        </w:rPr>
        <w:t xml:space="preserve">involved in </w:t>
      </w:r>
      <w:r>
        <w:rPr>
          <w:rFonts w:ascii="Palatino Linotype" w:hAnsi="Palatino Linotype" w:eastAsia="宋体" w:cs="Times New Roman"/>
          <w:color w:val="000000"/>
          <w:kern w:val="2"/>
          <w:sz w:val="18"/>
          <w:szCs w:val="18"/>
        </w:rPr>
        <w:t>pharmaceutical active ingredient</w:t>
      </w:r>
      <w:r>
        <w:rPr>
          <w:rFonts w:hint="eastAsia" w:ascii="Palatino Linotype" w:hAnsi="Palatino Linotype" w:eastAsia="宋体" w:cs="Times New Roman"/>
          <w:color w:val="000000"/>
          <w:kern w:val="2"/>
          <w:sz w:val="18"/>
          <w:szCs w:val="18"/>
          <w:lang w:val="en-US" w:eastAsia="zh-CN"/>
        </w:rPr>
        <w:t xml:space="preserve"> biosynthesis and </w:t>
      </w:r>
      <w:r>
        <w:rPr>
          <w:rFonts w:ascii="Palatino Linotype" w:hAnsi="Palatino Linotype" w:eastAsia="宋体" w:cs="Times New Roman"/>
          <w:color w:val="000000"/>
          <w:kern w:val="2"/>
          <w:sz w:val="18"/>
          <w:szCs w:val="18"/>
        </w:rPr>
        <w:t xml:space="preserve">JA biosynthesis and signal transduction. </w:t>
      </w:r>
      <w:r>
        <w:rPr>
          <w:rFonts w:hint="eastAsia" w:ascii="Palatino Linotype" w:hAnsi="Palatino Linotype" w:eastAsia="宋体" w:cs="Times New Roman"/>
          <w:color w:val="000000"/>
          <w:kern w:val="2"/>
          <w:sz w:val="18"/>
          <w:szCs w:val="18"/>
          <w:lang w:val="en-US" w:eastAsia="zh-CN"/>
        </w:rPr>
        <w:t>Different colored blocks denote different expression levels with red and blue to represent high and low levels respectively.</w:t>
      </w:r>
    </w:p>
    <w:p>
      <w:pPr>
        <w:jc w:val="center"/>
        <w:rPr>
          <w:rFonts w:ascii="Times New Roman" w:hAnsi="Times New Roman" w:cs="Times New Roman"/>
          <w:sz w:val="22"/>
          <w:szCs w:val="22"/>
        </w:rPr>
      </w:pPr>
    </w:p>
    <w:p>
      <w:pPr>
        <w:jc w:val="center"/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Palatino Linotype">
    <w:panose1 w:val="02040502050505030304"/>
    <w:charset w:val="00"/>
    <w:family w:val="roman"/>
    <w:pitch w:val="default"/>
    <w:sig w:usb0="E0000287" w:usb1="40000013" w:usb2="00000000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doNotDisplayPageBoundaries w:val="1"/>
  <w:embedSystemFonts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709C"/>
    <w:rsid w:val="00282519"/>
    <w:rsid w:val="003862BF"/>
    <w:rsid w:val="0040709C"/>
    <w:rsid w:val="01AE19C0"/>
    <w:rsid w:val="067B0BF9"/>
    <w:rsid w:val="10BC7566"/>
    <w:rsid w:val="14FA488E"/>
    <w:rsid w:val="284B4AAD"/>
    <w:rsid w:val="28B6254D"/>
    <w:rsid w:val="28EB500E"/>
    <w:rsid w:val="29072E45"/>
    <w:rsid w:val="2CD42621"/>
    <w:rsid w:val="31DA3F6E"/>
    <w:rsid w:val="3BD9607D"/>
    <w:rsid w:val="4A302D90"/>
    <w:rsid w:val="52374B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5"/>
    <w:qFormat/>
    <w:uiPriority w:val="0"/>
    <w:rPr>
      <w:sz w:val="18"/>
      <w:szCs w:val="18"/>
    </w:rPr>
  </w:style>
  <w:style w:type="character" w:customStyle="1" w:styleId="5">
    <w:name w:val="批注框文本 Char"/>
    <w:basedOn w:val="4"/>
    <w:link w:val="2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1.jpeg"/><Relationship Id="rId6" Type="http://schemas.openxmlformats.org/officeDocument/2006/relationships/image" Target="media/image3.tiff"/><Relationship Id="rId5" Type="http://schemas.openxmlformats.org/officeDocument/2006/relationships/image" Target="media/image2.tiff"/><Relationship Id="rId4" Type="http://schemas.openxmlformats.org/officeDocument/2006/relationships/image" Target="media/image1.tiff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4</Pages>
  <Words>202</Words>
  <Characters>1158</Characters>
  <Lines>9</Lines>
  <Paragraphs>2</Paragraphs>
  <TotalTime>1</TotalTime>
  <ScaleCrop>false</ScaleCrop>
  <LinksUpToDate>false</LinksUpToDate>
  <CharactersWithSpaces>1358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2021-01-19T02:41:00Z</dcterms:created>
  <dc:creator>Administrator</dc:creator>
  <cp:lastModifiedBy>Admin</cp:lastModifiedBy>
  <dcterms:modified xsi:type="dcterms:W3CDTF">2022-02-26T10:50:00Z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2052-11.1.0.10314</vt:lpwstr>
  </property>
  <property fmtid="{D5CDD505-2E9C-101B-9397-08002B2CF9AE}" pid="3" name="ICV">
    <vt:lpwstr>6B09CBEF67424E3397F4FA7C5A377EBF</vt:lpwstr>
  </property>
</Properties>
</file>