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D201" w14:textId="25FBB14B" w:rsidR="00120CC1" w:rsidRDefault="00120CC1" w:rsidP="00C30794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Supplemental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>Figures</w:t>
      </w:r>
    </w:p>
    <w:p w14:paraId="5B44F02A" w14:textId="68976BF7" w:rsidR="00C30794" w:rsidRDefault="00C30794" w:rsidP="00C30794">
      <w:pPr>
        <w:rPr>
          <w:rFonts w:ascii="Arial" w:hAnsi="Arial" w:cs="Arial"/>
          <w:b/>
          <w:sz w:val="22"/>
        </w:rPr>
      </w:pPr>
      <w:r>
        <w:rPr>
          <w:noProof/>
          <w:lang w:eastAsia="en-US"/>
        </w:rPr>
        <w:drawing>
          <wp:inline distT="0" distB="0" distL="0" distR="0" wp14:anchorId="451F5868" wp14:editId="5F4308A3">
            <wp:extent cx="2827020" cy="2476500"/>
            <wp:effectExtent l="0" t="0" r="0" b="0"/>
            <wp:docPr id="1" name="图片 1" descr="图表, 散点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, 散点图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56BA5" w14:textId="0471E3FE" w:rsidR="00C30794" w:rsidRPr="0079195A" w:rsidRDefault="00C30794" w:rsidP="00C30794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Figure</w:t>
      </w:r>
      <w:r w:rsidRPr="0079195A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>S</w:t>
      </w:r>
      <w:r>
        <w:rPr>
          <w:rFonts w:ascii="Arial" w:hAnsi="Arial" w:cs="Arial"/>
          <w:b/>
          <w:sz w:val="22"/>
        </w:rPr>
        <w:t>1</w:t>
      </w:r>
      <w:r>
        <w:rPr>
          <w:rFonts w:ascii="Arial" w:hAnsi="Arial" w:cs="Arial" w:hint="eastAsia"/>
          <w:b/>
          <w:sz w:val="22"/>
        </w:rPr>
        <w:t>:</w:t>
      </w:r>
      <w:r w:rsidRPr="0079195A">
        <w:rPr>
          <w:rFonts w:ascii="Arial" w:hAnsi="Arial" w:cs="Arial"/>
          <w:b/>
          <w:sz w:val="22"/>
        </w:rPr>
        <w:t xml:space="preserve"> </w:t>
      </w:r>
      <w:r w:rsidRPr="00C30794">
        <w:rPr>
          <w:rFonts w:ascii="Arial" w:hAnsi="Arial" w:cs="Arial"/>
          <w:bCs/>
          <w:sz w:val="22"/>
        </w:rPr>
        <w:t>Cor</w:t>
      </w:r>
      <w:r w:rsidR="00CE29CD">
        <w:rPr>
          <w:rFonts w:ascii="Arial" w:hAnsi="Arial" w:cs="Arial"/>
          <w:bCs/>
          <w:sz w:val="22"/>
        </w:rPr>
        <w:t>relation of HER2 levels from QDB method using</w:t>
      </w:r>
      <w:r w:rsidRPr="00C30794">
        <w:rPr>
          <w:rFonts w:ascii="Arial" w:hAnsi="Arial" w:cs="Arial"/>
          <w:bCs/>
          <w:sz w:val="22"/>
        </w:rPr>
        <w:t xml:space="preserve"> </w:t>
      </w:r>
      <w:r w:rsidR="00CE29CD">
        <w:rPr>
          <w:rFonts w:ascii="Arial" w:hAnsi="Arial" w:cs="Arial"/>
          <w:bCs/>
          <w:sz w:val="22"/>
        </w:rPr>
        <w:t>EP3 antibody</w:t>
      </w:r>
      <w:r w:rsidRPr="00C30794">
        <w:rPr>
          <w:rFonts w:ascii="Arial" w:hAnsi="Arial" w:cs="Arial"/>
          <w:bCs/>
          <w:sz w:val="22"/>
        </w:rPr>
        <w:t xml:space="preserve"> with those from IHC analysis</w:t>
      </w:r>
      <w:r w:rsidR="00CE29CD">
        <w:rPr>
          <w:rFonts w:ascii="Arial" w:hAnsi="Arial" w:cs="Arial"/>
          <w:bCs/>
          <w:sz w:val="22"/>
        </w:rPr>
        <w:t xml:space="preserve"> using 4B5 antibody</w:t>
      </w:r>
      <w:r w:rsidRPr="00C30794">
        <w:rPr>
          <w:rFonts w:ascii="Arial" w:hAnsi="Arial" w:cs="Arial"/>
          <w:bCs/>
          <w:sz w:val="22"/>
        </w:rPr>
        <w:t>.  The results were analyzed using Spearman’s correlation analysis with r=0.651, p&lt;0.0001.</w:t>
      </w:r>
    </w:p>
    <w:p w14:paraId="60CD365C" w14:textId="77777777" w:rsidR="00C30794" w:rsidRDefault="00C30794">
      <w:pPr>
        <w:rPr>
          <w:rFonts w:ascii="Arial" w:hAnsi="Arial" w:cs="Arial"/>
          <w:b/>
          <w:sz w:val="22"/>
        </w:rPr>
      </w:pPr>
    </w:p>
    <w:p w14:paraId="2D2192DE" w14:textId="02F7EF6C" w:rsidR="00C30794" w:rsidRDefault="00C30794">
      <w:pPr>
        <w:rPr>
          <w:rFonts w:ascii="Arial" w:hAnsi="Arial" w:cs="Arial"/>
          <w:b/>
          <w:sz w:val="22"/>
        </w:rPr>
      </w:pPr>
    </w:p>
    <w:p w14:paraId="7CA8ABBE" w14:textId="6A95D1AA" w:rsidR="00120CC1" w:rsidRDefault="00120CC1">
      <w:pPr>
        <w:rPr>
          <w:rFonts w:ascii="Arial" w:hAnsi="Arial" w:cs="Arial"/>
          <w:b/>
          <w:sz w:val="22"/>
        </w:rPr>
      </w:pPr>
      <w:r>
        <w:rPr>
          <w:rFonts w:ascii="Arial" w:hAnsi="Arial" w:cs="Arial" w:hint="eastAsia"/>
          <w:b/>
          <w:sz w:val="22"/>
        </w:rPr>
        <w:t>Supplemental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 w:hint="eastAsia"/>
          <w:b/>
          <w:sz w:val="22"/>
        </w:rPr>
        <w:t>Tables</w:t>
      </w:r>
    </w:p>
    <w:p w14:paraId="098C9125" w14:textId="2D2F89E4" w:rsidR="00FB1EA0" w:rsidRPr="0086747C" w:rsidRDefault="00E97429" w:rsidP="00FB1EA0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Table</w:t>
      </w:r>
      <w:r w:rsidR="00BB3C9C" w:rsidRPr="0079195A">
        <w:rPr>
          <w:rFonts w:ascii="Arial" w:hAnsi="Arial" w:cs="Arial"/>
          <w:b/>
          <w:sz w:val="22"/>
        </w:rPr>
        <w:t xml:space="preserve"> </w:t>
      </w:r>
      <w:r w:rsidR="0094756A">
        <w:rPr>
          <w:rFonts w:ascii="Arial" w:hAnsi="Arial" w:cs="Arial" w:hint="eastAsia"/>
          <w:b/>
          <w:sz w:val="22"/>
        </w:rPr>
        <w:t>S</w:t>
      </w:r>
      <w:r w:rsidR="00C13351">
        <w:rPr>
          <w:rFonts w:ascii="Arial" w:hAnsi="Arial" w:cs="Arial"/>
          <w:b/>
          <w:sz w:val="22"/>
        </w:rPr>
        <w:t>1</w:t>
      </w:r>
      <w:r w:rsidR="00C41668">
        <w:rPr>
          <w:rFonts w:ascii="Arial" w:hAnsi="Arial" w:cs="Arial" w:hint="eastAsia"/>
          <w:b/>
          <w:sz w:val="22"/>
        </w:rPr>
        <w:t>:</w:t>
      </w:r>
      <w:r w:rsidR="00DD5937" w:rsidRPr="0079195A">
        <w:rPr>
          <w:rFonts w:ascii="Arial" w:hAnsi="Arial" w:cs="Arial"/>
          <w:b/>
          <w:sz w:val="22"/>
        </w:rPr>
        <w:t xml:space="preserve"> </w:t>
      </w:r>
      <w:r w:rsidR="00CE29CD" w:rsidRPr="00CE29CD">
        <w:rPr>
          <w:rFonts w:ascii="Arial" w:hAnsi="Arial" w:cs="Arial"/>
          <w:sz w:val="22"/>
        </w:rPr>
        <w:t xml:space="preserve">Concordance of QDB results measured with 4B5 and EP3 antibodies </w:t>
      </w:r>
      <w:r w:rsidR="00CE29CD" w:rsidRPr="0086747C">
        <w:rPr>
          <w:rFonts w:ascii="Arial" w:hAnsi="Arial" w:cs="Arial"/>
          <w:sz w:val="22"/>
        </w:rPr>
        <w:t xml:space="preserve">respectively </w:t>
      </w:r>
      <w:r w:rsidR="00FB1EA0" w:rsidRPr="0086747C">
        <w:rPr>
          <w:rFonts w:ascii="Arial" w:hAnsi="Arial" w:cs="Arial"/>
          <w:sz w:val="22"/>
        </w:rPr>
        <w:t>in cohort 1</w:t>
      </w:r>
    </w:p>
    <w:tbl>
      <w:tblPr>
        <w:tblW w:w="8414" w:type="dxa"/>
        <w:tblInd w:w="-108" w:type="dxa"/>
        <w:tblLook w:val="04A0" w:firstRow="1" w:lastRow="0" w:firstColumn="1" w:lastColumn="0" w:noHBand="0" w:noVBand="1"/>
      </w:tblPr>
      <w:tblGrid>
        <w:gridCol w:w="1460"/>
        <w:gridCol w:w="1460"/>
        <w:gridCol w:w="1114"/>
        <w:gridCol w:w="1409"/>
        <w:gridCol w:w="1511"/>
        <w:gridCol w:w="1460"/>
      </w:tblGrid>
      <w:tr w:rsidR="00CE29CD" w:rsidRPr="0086747C" w14:paraId="47C8F4E2" w14:textId="77777777" w:rsidTr="00CE29CD">
        <w:trPr>
          <w:trHeight w:val="324"/>
        </w:trPr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EE3D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8409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857AED1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29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1A11" w14:textId="2455FABA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With 4B5 </w:t>
            </w:r>
            <w:r w:rsidRPr="0086747C">
              <w:rPr>
                <w:rFonts w:ascii="Arial" w:eastAsia="等线" w:hAnsi="Arial" w:cs="Arial"/>
                <w:vertAlign w:val="superscript"/>
              </w:rPr>
              <w:t>*</w:t>
            </w:r>
          </w:p>
        </w:tc>
        <w:tc>
          <w:tcPr>
            <w:tcW w:w="1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0558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</w:tr>
      <w:tr w:rsidR="00CE29CD" w:rsidRPr="0086747C" w14:paraId="51F8CC36" w14:textId="77777777" w:rsidTr="00CE29C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75BDF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C1E5A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252D479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4035" w14:textId="46DA5DF2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HER2 -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CFF1B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HER2 +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B37E16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Total</w:t>
            </w:r>
          </w:p>
        </w:tc>
      </w:tr>
      <w:tr w:rsidR="00CE29CD" w:rsidRPr="0086747C" w14:paraId="4A335EDD" w14:textId="77777777" w:rsidTr="00CE29CD">
        <w:trPr>
          <w:trHeight w:val="276"/>
        </w:trPr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F12A0" w14:textId="6C269A85" w:rsidR="00CE29CD" w:rsidRPr="0086747C" w:rsidRDefault="00CE29CD" w:rsidP="00CE29CD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With EP3 </w:t>
            </w:r>
            <w:r w:rsidRPr="0086747C">
              <w:rPr>
                <w:rFonts w:ascii="Arial" w:eastAsia="等线" w:hAnsi="Arial" w:cs="Arial"/>
                <w:vertAlign w:val="superscript"/>
              </w:rPr>
              <w:t>*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A6A40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HER2 -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712A4A16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0931" w14:textId="7EADEB56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219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84E1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6AAE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221</w:t>
            </w:r>
          </w:p>
        </w:tc>
      </w:tr>
      <w:tr w:rsidR="00CE29CD" w:rsidRPr="0086747C" w14:paraId="69524F4D" w14:textId="77777777" w:rsidTr="00CE29CD">
        <w:trPr>
          <w:trHeight w:val="276"/>
        </w:trPr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B3355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CFEB3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HER2 +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</w:tcPr>
          <w:p w14:paraId="202FF32D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E30E" w14:textId="7E6913F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7B9B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109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DC41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111</w:t>
            </w:r>
          </w:p>
        </w:tc>
      </w:tr>
      <w:tr w:rsidR="00CE29CD" w:rsidRPr="0086747C" w14:paraId="1A89B313" w14:textId="77777777" w:rsidTr="00CE29CD">
        <w:trPr>
          <w:trHeight w:val="288"/>
        </w:trPr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924D4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6830C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Total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7BD55E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E5FBE" w14:textId="6A90D658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221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C394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AF083" w14:textId="77777777" w:rsidR="00CE29CD" w:rsidRPr="0086747C" w:rsidRDefault="00CE29CD" w:rsidP="00FB1EA0">
            <w:pPr>
              <w:adjustRightInd w:val="0"/>
              <w:snapToGrid w:val="0"/>
              <w:rPr>
                <w:rFonts w:ascii="Arial" w:eastAsia="等线" w:hAnsi="Arial" w:cs="Arial"/>
              </w:rPr>
            </w:pPr>
            <w:r w:rsidRPr="0086747C">
              <w:rPr>
                <w:rFonts w:ascii="Arial" w:eastAsia="等线" w:hAnsi="Arial" w:cs="Arial"/>
              </w:rPr>
              <w:t>332</w:t>
            </w:r>
          </w:p>
        </w:tc>
      </w:tr>
    </w:tbl>
    <w:p w14:paraId="2FA79F85" w14:textId="77777777" w:rsidR="00FB1EA0" w:rsidRPr="0086747C" w:rsidRDefault="00FB1EA0" w:rsidP="00FB1EA0">
      <w:pPr>
        <w:spacing w:line="276" w:lineRule="auto"/>
        <w:rPr>
          <w:rFonts w:ascii="Arial" w:hAnsi="Arial" w:cs="Arial"/>
          <w:sz w:val="18"/>
          <w:szCs w:val="18"/>
        </w:rPr>
      </w:pPr>
      <w:r w:rsidRPr="0086747C">
        <w:rPr>
          <w:rFonts w:ascii="Arial" w:hAnsi="Arial" w:cs="Arial"/>
          <w:sz w:val="18"/>
          <w:szCs w:val="18"/>
        </w:rPr>
        <w:t>Concordance rate: 98.8%</w:t>
      </w:r>
    </w:p>
    <w:p w14:paraId="4C9F6CF5" w14:textId="77777777" w:rsidR="00FB1EA0" w:rsidRPr="0086747C" w:rsidRDefault="00FB1EA0" w:rsidP="00FB1EA0">
      <w:pPr>
        <w:spacing w:line="276" w:lineRule="auto"/>
        <w:rPr>
          <w:rFonts w:ascii="Arial" w:hAnsi="Arial" w:cs="Arial"/>
          <w:sz w:val="18"/>
          <w:szCs w:val="18"/>
        </w:rPr>
      </w:pPr>
      <w:r w:rsidRPr="0086747C">
        <w:rPr>
          <w:rFonts w:ascii="Arial" w:hAnsi="Arial" w:cs="Arial"/>
          <w:sz w:val="18"/>
          <w:szCs w:val="18"/>
        </w:rPr>
        <w:t xml:space="preserve">*Based on cutoff values at 0.261 </w:t>
      </w:r>
      <w:proofErr w:type="spellStart"/>
      <w:r w:rsidRPr="0086747C">
        <w:rPr>
          <w:rFonts w:ascii="Arial" w:hAnsi="Arial" w:cs="Arial"/>
          <w:sz w:val="18"/>
          <w:szCs w:val="18"/>
        </w:rPr>
        <w:t>nmole</w:t>
      </w:r>
      <w:proofErr w:type="spellEnd"/>
      <w:r w:rsidRPr="0086747C">
        <w:rPr>
          <w:rFonts w:ascii="Arial" w:hAnsi="Arial" w:cs="Arial"/>
          <w:sz w:val="18"/>
          <w:szCs w:val="18"/>
        </w:rPr>
        <w:t xml:space="preserve">/g for EP3, and 0.399 </w:t>
      </w:r>
      <w:proofErr w:type="spellStart"/>
      <w:r w:rsidRPr="0086747C">
        <w:rPr>
          <w:rFonts w:ascii="Arial" w:hAnsi="Arial" w:cs="Arial"/>
          <w:sz w:val="18"/>
          <w:szCs w:val="18"/>
        </w:rPr>
        <w:t>nmole</w:t>
      </w:r>
      <w:proofErr w:type="spellEnd"/>
      <w:r w:rsidRPr="0086747C">
        <w:rPr>
          <w:rFonts w:ascii="Arial" w:hAnsi="Arial" w:cs="Arial"/>
          <w:sz w:val="18"/>
          <w:szCs w:val="18"/>
        </w:rPr>
        <w:t>/g for 4B5 respectively.</w:t>
      </w:r>
    </w:p>
    <w:p w14:paraId="1B23E353" w14:textId="10E1ADFD" w:rsidR="00FB1EA0" w:rsidRPr="0086747C" w:rsidRDefault="00C5048E" w:rsidP="00FB1EA0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</w:t>
      </w:r>
      <w:r w:rsidR="00FB1EA0" w:rsidRPr="0086747C">
        <w:rPr>
          <w:rFonts w:ascii="Arial" w:hAnsi="Arial" w:cs="Arial"/>
          <w:sz w:val="18"/>
          <w:szCs w:val="18"/>
        </w:rPr>
        <w:t xml:space="preserve">332 samples were rated as Her2- or Her2+ based on the proposed cutoff value at 0.261 </w:t>
      </w:r>
      <w:proofErr w:type="spellStart"/>
      <w:r w:rsidR="00FB1EA0" w:rsidRPr="0086747C">
        <w:rPr>
          <w:rFonts w:ascii="Arial" w:hAnsi="Arial" w:cs="Arial"/>
          <w:sz w:val="18"/>
          <w:szCs w:val="18"/>
        </w:rPr>
        <w:t>nmole</w:t>
      </w:r>
      <w:proofErr w:type="spellEnd"/>
      <w:r w:rsidR="00FB1EA0" w:rsidRPr="0086747C">
        <w:rPr>
          <w:rFonts w:ascii="Arial" w:hAnsi="Arial" w:cs="Arial"/>
          <w:sz w:val="18"/>
          <w:szCs w:val="18"/>
        </w:rPr>
        <w:t xml:space="preserve">/g for EP3 and 0.399 </w:t>
      </w:r>
      <w:proofErr w:type="spellStart"/>
      <w:r w:rsidR="00FB1EA0" w:rsidRPr="0086747C">
        <w:rPr>
          <w:rFonts w:ascii="Arial" w:hAnsi="Arial" w:cs="Arial"/>
          <w:sz w:val="18"/>
          <w:szCs w:val="18"/>
        </w:rPr>
        <w:t>nmole</w:t>
      </w:r>
      <w:proofErr w:type="spellEnd"/>
      <w:r w:rsidR="00FB1EA0" w:rsidRPr="0086747C">
        <w:rPr>
          <w:rFonts w:ascii="Arial" w:hAnsi="Arial" w:cs="Arial"/>
          <w:sz w:val="18"/>
          <w:szCs w:val="18"/>
        </w:rPr>
        <w:t>/g for 4B5, and for description purpose, labeled collectively as QDB4B5 and QDBEP3 based on the antibody used in the analysis. The concordance rate of QDB was calculated as (219+109)/332×100%=98.8%.</w:t>
      </w:r>
    </w:p>
    <w:p w14:paraId="367B3FC6" w14:textId="314A5297" w:rsidR="00FB1EA0" w:rsidRPr="0086747C" w:rsidRDefault="00FB1EA0">
      <w:pPr>
        <w:rPr>
          <w:rFonts w:ascii="Arial" w:hAnsi="Arial" w:cs="Arial"/>
          <w:b/>
          <w:sz w:val="22"/>
        </w:rPr>
      </w:pPr>
    </w:p>
    <w:p w14:paraId="4219A106" w14:textId="77777777" w:rsidR="00655799" w:rsidRPr="0086747C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6C4342F0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6B6BD045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2221D43D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06D7F4AA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25D1E2B2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7FF27E55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14E58183" w14:textId="77777777" w:rsidR="00655799" w:rsidRDefault="00655799" w:rsidP="00FB1EA0">
      <w:pPr>
        <w:spacing w:line="276" w:lineRule="auto"/>
        <w:rPr>
          <w:rFonts w:ascii="Arial" w:hAnsi="Arial" w:cs="Arial"/>
          <w:b/>
          <w:sz w:val="22"/>
        </w:rPr>
      </w:pPr>
    </w:p>
    <w:p w14:paraId="6665BF57" w14:textId="75C0FA2A" w:rsidR="00FB1EA0" w:rsidRPr="00DD28D9" w:rsidRDefault="00FB1EA0" w:rsidP="00FB1EA0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Table</w:t>
      </w:r>
      <w:r w:rsidRPr="003447CC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S2</w:t>
      </w:r>
      <w:r w:rsidRPr="003447CC">
        <w:rPr>
          <w:rFonts w:ascii="Arial" w:hAnsi="Arial" w:cs="Arial"/>
          <w:b/>
          <w:sz w:val="22"/>
        </w:rPr>
        <w:t xml:space="preserve">: </w:t>
      </w:r>
      <w:r w:rsidRPr="00DD28D9">
        <w:rPr>
          <w:rFonts w:ascii="Arial" w:hAnsi="Arial" w:cs="Arial"/>
          <w:sz w:val="22"/>
        </w:rPr>
        <w:t>Concordance</w:t>
      </w:r>
      <w:r w:rsidR="00655799">
        <w:rPr>
          <w:rFonts w:ascii="Arial" w:hAnsi="Arial" w:cs="Arial"/>
          <w:sz w:val="22"/>
        </w:rPr>
        <w:t xml:space="preserve"> of Her2 levels from QDB method</w:t>
      </w:r>
      <w:r w:rsidRPr="003447CC">
        <w:rPr>
          <w:rFonts w:ascii="Arial" w:hAnsi="Arial" w:cs="Arial"/>
          <w:sz w:val="22"/>
        </w:rPr>
        <w:t xml:space="preserve"> with</w:t>
      </w:r>
      <w:r w:rsidR="00655799">
        <w:rPr>
          <w:rFonts w:ascii="Arial" w:hAnsi="Arial" w:cs="Arial"/>
          <w:sz w:val="22"/>
        </w:rPr>
        <w:t xml:space="preserve"> those of</w:t>
      </w:r>
      <w:r w:rsidRPr="003447CC">
        <w:rPr>
          <w:rFonts w:ascii="Arial" w:hAnsi="Arial" w:cs="Arial"/>
          <w:sz w:val="22"/>
        </w:rPr>
        <w:t xml:space="preserve"> IHC</w:t>
      </w:r>
    </w:p>
    <w:p w14:paraId="686A4EAF" w14:textId="77777777" w:rsidR="00FB1EA0" w:rsidRPr="00773513" w:rsidRDefault="00FB1EA0" w:rsidP="00FB1EA0"/>
    <w:tbl>
      <w:tblPr>
        <w:tblW w:w="6196" w:type="dxa"/>
        <w:tblLook w:val="04A0" w:firstRow="1" w:lastRow="0" w:firstColumn="1" w:lastColumn="0" w:noHBand="0" w:noVBand="1"/>
      </w:tblPr>
      <w:tblGrid>
        <w:gridCol w:w="960"/>
        <w:gridCol w:w="1050"/>
        <w:gridCol w:w="1061"/>
        <w:gridCol w:w="1115"/>
        <w:gridCol w:w="1050"/>
        <w:gridCol w:w="960"/>
      </w:tblGrid>
      <w:tr w:rsidR="00FB1EA0" w:rsidRPr="008F3BBF" w14:paraId="02ED63FF" w14:textId="77777777" w:rsidTr="00FB1EA0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986DC" w14:textId="77777777" w:rsidR="00FB1EA0" w:rsidRPr="008F3BBF" w:rsidRDefault="00FB1EA0" w:rsidP="00F248FD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865A" w14:textId="77777777" w:rsidR="00FB1EA0" w:rsidRPr="008F3BBF" w:rsidRDefault="00FB1EA0" w:rsidP="00F248FD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0"/>
                <w:szCs w:val="20"/>
              </w:rPr>
            </w:pP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222" w14:textId="074A227C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QDB</w:t>
            </w: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3A82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FB1EA0" w:rsidRPr="008F3BBF" w14:paraId="0FB5D576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1EE26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BA10B4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FC5A0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HER2-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ED44E4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HER2+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E0C0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24C2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Total</w:t>
            </w:r>
          </w:p>
        </w:tc>
      </w:tr>
      <w:tr w:rsidR="00FB1EA0" w:rsidRPr="008F3BBF" w14:paraId="3870D309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BF12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IHC</w:t>
            </w: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0002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5134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9F0C3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63D83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87CE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185</w:t>
            </w:r>
          </w:p>
        </w:tc>
      </w:tr>
      <w:tr w:rsidR="00FB1EA0" w:rsidRPr="008F3BBF" w14:paraId="6EA016D5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CDB02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B44B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6F8D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2094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BBFC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193CD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FB1EA0" w:rsidRPr="008F3BBF" w14:paraId="491F74BF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8D0C9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559C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0A0D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065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7D34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31DEA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FB1EA0" w:rsidRPr="008F3BBF" w14:paraId="4080C049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E9BF3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1ADF1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C946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4A4A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6B3C6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BAA4A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FB1EA0" w:rsidRPr="008F3BBF" w14:paraId="5CCDEAC1" w14:textId="77777777" w:rsidTr="00FB1EA0">
        <w:trPr>
          <w:trHeight w:val="276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7D79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5356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Unknown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0F5E9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6EC98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7449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F208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FB1EA0" w:rsidRPr="008F3BBF" w14:paraId="12AE4875" w14:textId="77777777" w:rsidTr="00FB1EA0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3E3C0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51D56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Total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B324E3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FE98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5D6CB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E3830" w14:textId="77777777" w:rsidR="00FB1EA0" w:rsidRPr="008F3BBF" w:rsidRDefault="00FB1EA0" w:rsidP="00F248FD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</w:pPr>
            <w:r w:rsidRPr="008F3BBF">
              <w:rPr>
                <w:rFonts w:ascii="Arial" w:eastAsia="等线" w:hAnsi="Arial" w:cs="Arial"/>
                <w:color w:val="000000"/>
                <w:kern w:val="0"/>
                <w:sz w:val="20"/>
                <w:szCs w:val="20"/>
              </w:rPr>
              <w:t>246</w:t>
            </w:r>
          </w:p>
        </w:tc>
      </w:tr>
    </w:tbl>
    <w:p w14:paraId="7F210E6C" w14:textId="43A6312B" w:rsidR="00FB1EA0" w:rsidRPr="008F3BBF" w:rsidRDefault="00FB1EA0" w:rsidP="00FB1EA0">
      <w:pPr>
        <w:rPr>
          <w:rFonts w:ascii="Arial" w:hAnsi="Arial" w:cs="Arial"/>
          <w:sz w:val="18"/>
          <w:szCs w:val="18"/>
        </w:rPr>
      </w:pPr>
      <w:r w:rsidRPr="008F3BBF">
        <w:rPr>
          <w:rFonts w:ascii="Arial" w:hAnsi="Arial" w:cs="Arial"/>
          <w:sz w:val="18"/>
          <w:szCs w:val="18"/>
        </w:rPr>
        <w:t>The concordance rate was 93.2% between QDB and IHC.</w:t>
      </w:r>
    </w:p>
    <w:p w14:paraId="32334FB4" w14:textId="2F39106E" w:rsidR="00FB1EA0" w:rsidRPr="008F3BBF" w:rsidRDefault="00FB1EA0" w:rsidP="00FB1EA0">
      <w:pPr>
        <w:rPr>
          <w:rFonts w:ascii="Arial" w:hAnsi="Arial" w:cs="Arial"/>
          <w:sz w:val="18"/>
          <w:szCs w:val="18"/>
        </w:rPr>
      </w:pPr>
      <w:r w:rsidRPr="008F3BBF">
        <w:rPr>
          <w:rFonts w:ascii="Arial" w:hAnsi="Arial" w:cs="Arial"/>
          <w:sz w:val="18"/>
          <w:szCs w:val="18"/>
        </w:rPr>
        <w:t xml:space="preserve">*Based on cutoff value at 0.399 </w:t>
      </w:r>
      <w:proofErr w:type="spellStart"/>
      <w:r w:rsidRPr="008F3BBF">
        <w:rPr>
          <w:rFonts w:ascii="Arial" w:hAnsi="Arial" w:cs="Arial"/>
          <w:sz w:val="18"/>
          <w:szCs w:val="18"/>
        </w:rPr>
        <w:t>nmole</w:t>
      </w:r>
      <w:proofErr w:type="spellEnd"/>
      <w:r w:rsidRPr="008F3BBF">
        <w:rPr>
          <w:rFonts w:ascii="Arial" w:hAnsi="Arial" w:cs="Arial"/>
          <w:sz w:val="18"/>
          <w:szCs w:val="18"/>
        </w:rPr>
        <w:t>/g for 4B5.</w:t>
      </w:r>
    </w:p>
    <w:p w14:paraId="758579A4" w14:textId="77777777" w:rsidR="00FB1EA0" w:rsidRPr="008F3BBF" w:rsidRDefault="00FB1EA0" w:rsidP="00FB1EA0">
      <w:pPr>
        <w:rPr>
          <w:rFonts w:ascii="Arial" w:hAnsi="Arial" w:cs="Arial"/>
          <w:sz w:val="18"/>
          <w:szCs w:val="18"/>
        </w:rPr>
      </w:pPr>
      <w:r w:rsidRPr="008F3BBF">
        <w:rPr>
          <w:rFonts w:ascii="Arial" w:hAnsi="Arial" w:cs="Arial"/>
          <w:sz w:val="18"/>
          <w:szCs w:val="18"/>
        </w:rPr>
        <w:t>#: Specimens of 2+ from IHC analysis were excluded from analysis.</w:t>
      </w:r>
    </w:p>
    <w:p w14:paraId="1C986CD6" w14:textId="73A93CC2" w:rsidR="00FB1EA0" w:rsidRDefault="00FB1EA0" w:rsidP="00FB1EA0">
      <w:pPr>
        <w:spacing w:line="276" w:lineRule="auto"/>
        <w:rPr>
          <w:rFonts w:ascii="Arial" w:hAnsi="Arial" w:cs="Arial"/>
          <w:sz w:val="18"/>
          <w:szCs w:val="18"/>
        </w:rPr>
      </w:pPr>
      <w:r w:rsidRPr="008F3BBF">
        <w:rPr>
          <w:rFonts w:ascii="Arial" w:hAnsi="Arial" w:cs="Arial"/>
          <w:sz w:val="18"/>
          <w:szCs w:val="18"/>
        </w:rPr>
        <w:t>The concordance rate of QDB and IHC was calculated</w:t>
      </w:r>
      <w:r w:rsidR="00581618">
        <w:rPr>
          <w:rFonts w:ascii="Arial" w:hAnsi="Arial" w:cs="Arial"/>
          <w:sz w:val="18"/>
          <w:szCs w:val="18"/>
        </w:rPr>
        <w:t xml:space="preserve"> as (174+5+27)</w:t>
      </w:r>
      <w:proofErr w:type="gramStart"/>
      <w:r w:rsidR="00581618">
        <w:rPr>
          <w:rFonts w:ascii="Arial" w:hAnsi="Arial" w:cs="Arial"/>
          <w:sz w:val="18"/>
          <w:szCs w:val="18"/>
        </w:rPr>
        <w:t>/(</w:t>
      </w:r>
      <w:proofErr w:type="gramEnd"/>
      <w:r w:rsidR="00581618">
        <w:rPr>
          <w:rFonts w:ascii="Arial" w:hAnsi="Arial" w:cs="Arial"/>
          <w:sz w:val="18"/>
          <w:szCs w:val="18"/>
        </w:rPr>
        <w:t>185+8+28)×100%</w:t>
      </w:r>
      <w:r w:rsidRPr="008F3BBF">
        <w:rPr>
          <w:rFonts w:ascii="Arial" w:hAnsi="Arial" w:cs="Arial"/>
          <w:sz w:val="18"/>
          <w:szCs w:val="18"/>
        </w:rPr>
        <w:t>=93</w:t>
      </w:r>
      <w:r>
        <w:rPr>
          <w:rFonts w:ascii="Arial" w:hAnsi="Arial" w:cs="Arial"/>
          <w:sz w:val="18"/>
          <w:szCs w:val="18"/>
        </w:rPr>
        <w:t>.2%.</w:t>
      </w:r>
    </w:p>
    <w:p w14:paraId="00E74101" w14:textId="77777777" w:rsidR="0068422C" w:rsidRDefault="0068422C" w:rsidP="00FB1EA0">
      <w:pPr>
        <w:spacing w:line="276" w:lineRule="auto"/>
        <w:rPr>
          <w:rFonts w:ascii="Arial" w:hAnsi="Arial" w:cs="Arial"/>
          <w:sz w:val="18"/>
          <w:szCs w:val="18"/>
        </w:rPr>
      </w:pPr>
    </w:p>
    <w:p w14:paraId="5101543D" w14:textId="77777777" w:rsidR="0068422C" w:rsidRPr="0068422C" w:rsidRDefault="0068422C" w:rsidP="0068422C">
      <w:pPr>
        <w:widowControl/>
        <w:spacing w:line="480" w:lineRule="auto"/>
        <w:jc w:val="left"/>
        <w:rPr>
          <w:rFonts w:ascii="Arial" w:eastAsia="宋体" w:hAnsi="Arial" w:cs="Arial"/>
          <w:kern w:val="0"/>
          <w:sz w:val="22"/>
          <w:lang w:eastAsia="en-US"/>
        </w:rPr>
      </w:pPr>
    </w:p>
    <w:p w14:paraId="0B4F4586" w14:textId="7BFC310B" w:rsidR="00FB1EA0" w:rsidRPr="00FB1EA0" w:rsidRDefault="00FB1EA0">
      <w:pPr>
        <w:rPr>
          <w:rFonts w:ascii="Arial" w:hAnsi="Arial" w:cs="Arial"/>
          <w:b/>
          <w:sz w:val="22"/>
        </w:rPr>
      </w:pPr>
    </w:p>
    <w:p w14:paraId="14F2669D" w14:textId="60C7BAE6" w:rsidR="00FB1EA0" w:rsidRPr="00E07024" w:rsidRDefault="00823797" w:rsidP="00823797">
      <w:pPr>
        <w:rPr>
          <w:rFonts w:ascii="Arial" w:hAnsi="Arial" w:cs="Arial"/>
          <w:sz w:val="22"/>
        </w:rPr>
      </w:pPr>
      <w:r w:rsidRPr="0086747C">
        <w:rPr>
          <w:rFonts w:ascii="Arial" w:hAnsi="Arial" w:cs="Arial"/>
          <w:b/>
          <w:sz w:val="22"/>
        </w:rPr>
        <w:t>Table S</w:t>
      </w:r>
      <w:r w:rsidR="00F60498">
        <w:rPr>
          <w:rFonts w:ascii="Arial" w:hAnsi="Arial" w:cs="Arial"/>
          <w:b/>
          <w:sz w:val="22"/>
        </w:rPr>
        <w:t>3</w:t>
      </w:r>
      <w:r w:rsidRPr="0086747C">
        <w:rPr>
          <w:rFonts w:ascii="Arial" w:hAnsi="Arial" w:cs="Arial"/>
          <w:b/>
          <w:sz w:val="22"/>
        </w:rPr>
        <w:t>:</w:t>
      </w:r>
      <w:r w:rsidR="00E07024">
        <w:rPr>
          <w:rFonts w:ascii="Arial" w:hAnsi="Arial" w:cs="Arial"/>
          <w:b/>
          <w:sz w:val="22"/>
        </w:rPr>
        <w:t xml:space="preserve">  </w:t>
      </w:r>
      <w:r w:rsidR="00E07024" w:rsidRPr="00E07024">
        <w:rPr>
          <w:rFonts w:ascii="Arial" w:hAnsi="Arial" w:cs="Arial"/>
          <w:sz w:val="22"/>
        </w:rPr>
        <w:t>Con</w:t>
      </w:r>
      <w:r w:rsidR="00E07024">
        <w:rPr>
          <w:rFonts w:ascii="Arial" w:hAnsi="Arial" w:cs="Arial"/>
          <w:sz w:val="22"/>
        </w:rPr>
        <w:t xml:space="preserve">cordance of specimens with (Her2-E) </w:t>
      </w:r>
      <w:r w:rsidR="00C5048E">
        <w:rPr>
          <w:rFonts w:ascii="Arial" w:hAnsi="Arial" w:cs="Arial"/>
          <w:sz w:val="22"/>
        </w:rPr>
        <w:t>and without</w:t>
      </w:r>
      <w:r w:rsidR="00E07024">
        <w:rPr>
          <w:rFonts w:ascii="Arial" w:hAnsi="Arial" w:cs="Arial"/>
          <w:sz w:val="22"/>
        </w:rPr>
        <w:t xml:space="preserve"> Her2 expression (Her2-0) based on the Limit of Detection (LOD) of the QDB method using 4B5 and EP3 antibodies respectively.  </w:t>
      </w:r>
    </w:p>
    <w:tbl>
      <w:tblPr>
        <w:tblW w:w="6360" w:type="dxa"/>
        <w:tblLook w:val="04A0" w:firstRow="1" w:lastRow="0" w:firstColumn="1" w:lastColumn="0" w:noHBand="0" w:noVBand="1"/>
      </w:tblPr>
      <w:tblGrid>
        <w:gridCol w:w="610"/>
        <w:gridCol w:w="1209"/>
        <w:gridCol w:w="1421"/>
        <w:gridCol w:w="1040"/>
        <w:gridCol w:w="1040"/>
        <w:gridCol w:w="1040"/>
      </w:tblGrid>
      <w:tr w:rsidR="0020637E" w:rsidRPr="0086747C" w14:paraId="0ACF1FC1" w14:textId="77777777" w:rsidTr="0020637E">
        <w:trPr>
          <w:trHeight w:val="290"/>
        </w:trPr>
        <w:tc>
          <w:tcPr>
            <w:tcW w:w="32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E223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A3845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EP3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8570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637E" w:rsidRPr="0086747C" w14:paraId="149829A4" w14:textId="77777777" w:rsidTr="0020637E">
        <w:trPr>
          <w:trHeight w:val="290"/>
        </w:trPr>
        <w:tc>
          <w:tcPr>
            <w:tcW w:w="32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01E6C9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F8549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91A50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+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32BE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</w:tr>
      <w:tr w:rsidR="0020637E" w:rsidRPr="0086747C" w14:paraId="4FDE21F1" w14:textId="77777777" w:rsidTr="0020637E">
        <w:trPr>
          <w:trHeight w:val="290"/>
        </w:trPr>
        <w:tc>
          <w:tcPr>
            <w:tcW w:w="6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2418F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4B5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19E1A5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cohort1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2307D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AF212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655B0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2081D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107</w:t>
            </w:r>
          </w:p>
        </w:tc>
      </w:tr>
      <w:tr w:rsidR="0020637E" w:rsidRPr="0086747C" w14:paraId="1E7B3084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C8F97D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7E935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63F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+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B96F5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1456E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16B39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225</w:t>
            </w:r>
          </w:p>
        </w:tc>
      </w:tr>
      <w:tr w:rsidR="0020637E" w:rsidRPr="0086747C" w14:paraId="264480FF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10460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1E190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59E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unknown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0F83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F352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673C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20637E" w:rsidRPr="0086747C" w14:paraId="5E6913F8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57919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39258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00C6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49EB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9DD2C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6C32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332</w:t>
            </w:r>
          </w:p>
        </w:tc>
      </w:tr>
      <w:tr w:rsidR="0020637E" w:rsidRPr="0086747C" w14:paraId="7877159C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FED69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3803A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cohort2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B1BEC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AEF59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CEF2B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B00330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163</w:t>
            </w:r>
          </w:p>
        </w:tc>
      </w:tr>
      <w:tr w:rsidR="0020637E" w:rsidRPr="0086747C" w14:paraId="3CD70135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50553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9FA2D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F4C9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+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A1832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EF9BF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200E71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82</w:t>
            </w:r>
          </w:p>
        </w:tc>
      </w:tr>
      <w:tr w:rsidR="0020637E" w:rsidRPr="0086747C" w14:paraId="666430E3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62745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D53D0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532EC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unknown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F51D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3713B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BD340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20637E" w:rsidRPr="0086747C" w14:paraId="6B59D5D6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B47139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85BBE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45F2A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3B19D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1A853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3859D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246</w:t>
            </w:r>
          </w:p>
        </w:tc>
      </w:tr>
      <w:tr w:rsidR="0020637E" w:rsidRPr="0086747C" w14:paraId="2DAFFA4D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6D720B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D013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merge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46024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911A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725F0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71BBE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270</w:t>
            </w:r>
          </w:p>
        </w:tc>
      </w:tr>
      <w:tr w:rsidR="0020637E" w:rsidRPr="0086747C" w14:paraId="77018B99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22313D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7E61F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421DB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+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3AC4C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59C00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8E9547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307</w:t>
            </w:r>
          </w:p>
        </w:tc>
      </w:tr>
      <w:tr w:rsidR="0020637E" w:rsidRPr="0086747C" w14:paraId="54BF061E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55F60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38A3D8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25142" w14:textId="70BF7AFB" w:rsidR="0020637E" w:rsidRPr="0086747C" w:rsidRDefault="00B36181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unknown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44F3B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066D2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55EB3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</w:t>
            </w:r>
          </w:p>
        </w:tc>
      </w:tr>
      <w:tr w:rsidR="0020637E" w:rsidRPr="0086747C" w14:paraId="36A0C32D" w14:textId="77777777" w:rsidTr="0020637E">
        <w:trPr>
          <w:trHeight w:val="290"/>
        </w:trPr>
        <w:tc>
          <w:tcPr>
            <w:tcW w:w="6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5A87F0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DD044" w14:textId="77777777" w:rsidR="0020637E" w:rsidRPr="0086747C" w:rsidRDefault="0020637E" w:rsidP="0020637E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B7E86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18889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FCFE8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7AC7C" w14:textId="77777777" w:rsidR="0020637E" w:rsidRPr="0086747C" w:rsidRDefault="0020637E" w:rsidP="0020637E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578</w:t>
            </w:r>
          </w:p>
        </w:tc>
      </w:tr>
    </w:tbl>
    <w:p w14:paraId="5B180928" w14:textId="2AAA87A9" w:rsidR="00FB1EA0" w:rsidRPr="0086747C" w:rsidRDefault="00FB1EA0">
      <w:pPr>
        <w:rPr>
          <w:rFonts w:ascii="Arial" w:hAnsi="Arial" w:cs="Arial"/>
          <w:b/>
          <w:sz w:val="22"/>
        </w:rPr>
      </w:pPr>
    </w:p>
    <w:p w14:paraId="6B232F04" w14:textId="66CCA2F3" w:rsidR="00823797" w:rsidRPr="0086747C" w:rsidRDefault="00E07024">
      <w:pPr>
        <w:rPr>
          <w:rFonts w:ascii="Arial" w:hAnsi="Arial" w:cs="Arial"/>
          <w:b/>
          <w:sz w:val="22"/>
        </w:rPr>
      </w:pPr>
      <w:r w:rsidRPr="00E07024">
        <w:rPr>
          <w:rFonts w:ascii="Arial" w:hAnsi="Arial" w:cs="Arial"/>
          <w:sz w:val="20"/>
          <w:szCs w:val="20"/>
        </w:rPr>
        <w:t>The concordance rate was calculated as (262+230)/577=</w:t>
      </w:r>
      <w:r>
        <w:rPr>
          <w:rFonts w:ascii="Arial" w:hAnsi="Arial" w:cs="Arial"/>
          <w:sz w:val="20"/>
          <w:szCs w:val="20"/>
        </w:rPr>
        <w:t xml:space="preserve"> 85.3%</w:t>
      </w:r>
    </w:p>
    <w:p w14:paraId="1C1706AE" w14:textId="1B061278" w:rsidR="00823797" w:rsidRDefault="00823797">
      <w:pPr>
        <w:rPr>
          <w:rFonts w:ascii="Arial" w:hAnsi="Arial" w:cs="Arial"/>
          <w:b/>
          <w:sz w:val="22"/>
        </w:rPr>
      </w:pPr>
    </w:p>
    <w:p w14:paraId="52FF4B5A" w14:textId="26FA99A8" w:rsidR="007B23C6" w:rsidRDefault="007B23C6">
      <w:pPr>
        <w:rPr>
          <w:rFonts w:ascii="Arial" w:hAnsi="Arial" w:cs="Arial"/>
          <w:b/>
          <w:sz w:val="22"/>
        </w:rPr>
      </w:pPr>
    </w:p>
    <w:p w14:paraId="76E59353" w14:textId="6051DA6D" w:rsidR="007B23C6" w:rsidRDefault="007B23C6">
      <w:pPr>
        <w:rPr>
          <w:rFonts w:ascii="Arial" w:hAnsi="Arial" w:cs="Arial"/>
          <w:b/>
          <w:sz w:val="22"/>
        </w:rPr>
      </w:pPr>
    </w:p>
    <w:p w14:paraId="3F356A6E" w14:textId="7F40C7D6" w:rsidR="007B23C6" w:rsidRDefault="007B23C6">
      <w:pPr>
        <w:rPr>
          <w:rFonts w:ascii="Arial" w:hAnsi="Arial" w:cs="Arial"/>
          <w:b/>
          <w:sz w:val="22"/>
        </w:rPr>
      </w:pPr>
    </w:p>
    <w:p w14:paraId="733F60B0" w14:textId="616D3B31" w:rsidR="007B23C6" w:rsidRDefault="007B23C6">
      <w:pPr>
        <w:rPr>
          <w:rFonts w:ascii="Arial" w:hAnsi="Arial" w:cs="Arial"/>
          <w:b/>
          <w:sz w:val="22"/>
        </w:rPr>
      </w:pPr>
    </w:p>
    <w:p w14:paraId="3684BF5C" w14:textId="77777777" w:rsidR="007B23C6" w:rsidRPr="0086747C" w:rsidRDefault="007B23C6">
      <w:pPr>
        <w:rPr>
          <w:rFonts w:ascii="Arial" w:hAnsi="Arial" w:cs="Arial" w:hint="eastAsia"/>
          <w:b/>
          <w:sz w:val="22"/>
        </w:rPr>
      </w:pPr>
    </w:p>
    <w:p w14:paraId="40014E8A" w14:textId="63EB9EA7" w:rsidR="00823797" w:rsidRPr="0086747C" w:rsidRDefault="00823797" w:rsidP="00823797">
      <w:pPr>
        <w:rPr>
          <w:rFonts w:ascii="Arial" w:hAnsi="Arial" w:cs="Arial"/>
          <w:b/>
          <w:sz w:val="22"/>
        </w:rPr>
      </w:pPr>
      <w:r w:rsidRPr="0086747C">
        <w:rPr>
          <w:rFonts w:ascii="Arial" w:hAnsi="Arial" w:cs="Arial"/>
          <w:b/>
          <w:sz w:val="22"/>
        </w:rPr>
        <w:lastRenderedPageBreak/>
        <w:t>Table S</w:t>
      </w:r>
      <w:r w:rsidR="00F60498">
        <w:rPr>
          <w:rFonts w:ascii="Arial" w:hAnsi="Arial" w:cs="Arial"/>
          <w:b/>
          <w:sz w:val="22"/>
        </w:rPr>
        <w:t>4</w:t>
      </w:r>
      <w:r w:rsidRPr="0086747C">
        <w:rPr>
          <w:rFonts w:ascii="Arial" w:hAnsi="Arial" w:cs="Arial"/>
          <w:b/>
          <w:sz w:val="22"/>
        </w:rPr>
        <w:t xml:space="preserve">: </w:t>
      </w:r>
      <w:r w:rsidR="00C5048E">
        <w:rPr>
          <w:rFonts w:ascii="Arial" w:hAnsi="Arial" w:cs="Arial"/>
          <w:sz w:val="22"/>
        </w:rPr>
        <w:t>The consistency of the QDB analysis obtained</w:t>
      </w:r>
      <w:r w:rsidRPr="0086747C">
        <w:rPr>
          <w:rFonts w:ascii="Arial" w:hAnsi="Arial" w:cs="Arial"/>
          <w:sz w:val="22"/>
        </w:rPr>
        <w:t xml:space="preserve"> from three scientists</w:t>
      </w:r>
      <w:r w:rsidR="00E07024">
        <w:rPr>
          <w:rFonts w:ascii="Arial" w:hAnsi="Arial" w:cs="Arial"/>
          <w:sz w:val="22"/>
        </w:rPr>
        <w:t>.   The same group of specimens were measured side by side by two different scientists</w:t>
      </w:r>
      <w:r w:rsidR="00C5048E">
        <w:rPr>
          <w:rFonts w:ascii="Arial" w:hAnsi="Arial" w:cs="Arial"/>
          <w:sz w:val="22"/>
        </w:rPr>
        <w:t xml:space="preserve"> respectively</w:t>
      </w:r>
      <w:r w:rsidR="00E07024">
        <w:rPr>
          <w:rFonts w:ascii="Arial" w:hAnsi="Arial" w:cs="Arial"/>
          <w:sz w:val="22"/>
        </w:rPr>
        <w:t xml:space="preserve">, and their concordance rate was calculated using 0.09 </w:t>
      </w:r>
      <w:proofErr w:type="spellStart"/>
      <w:r w:rsidR="00E07024">
        <w:rPr>
          <w:rFonts w:ascii="Arial" w:hAnsi="Arial" w:cs="Arial"/>
          <w:sz w:val="22"/>
        </w:rPr>
        <w:t>nmole</w:t>
      </w:r>
      <w:proofErr w:type="spellEnd"/>
      <w:r w:rsidR="00E07024">
        <w:rPr>
          <w:rFonts w:ascii="Arial" w:hAnsi="Arial" w:cs="Arial"/>
          <w:sz w:val="22"/>
        </w:rPr>
        <w:t xml:space="preserve">/g as cutoff. </w:t>
      </w:r>
    </w:p>
    <w:p w14:paraId="4170721E" w14:textId="11D6C61D" w:rsidR="00823797" w:rsidRPr="0086747C" w:rsidRDefault="00823797">
      <w:pPr>
        <w:rPr>
          <w:rFonts w:ascii="Arial" w:hAnsi="Arial" w:cs="Arial"/>
          <w:b/>
          <w:sz w:val="22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1767"/>
        <w:gridCol w:w="1726"/>
        <w:gridCol w:w="1822"/>
        <w:gridCol w:w="1489"/>
      </w:tblGrid>
      <w:tr w:rsidR="00823797" w:rsidRPr="0086747C" w14:paraId="316EF159" w14:textId="77777777" w:rsidTr="00327E78">
        <w:trPr>
          <w:trHeight w:val="285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9959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CA90" w14:textId="563ADAF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Scientist-2</w:t>
            </w:r>
          </w:p>
        </w:tc>
      </w:tr>
      <w:tr w:rsidR="00823797" w:rsidRPr="0086747C" w14:paraId="2C4714D1" w14:textId="77777777" w:rsidTr="00327E78">
        <w:trPr>
          <w:trHeight w:val="285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DA08D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040F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&lt;0.09 nmol/g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8E2F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≥0.09 nmol/g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A001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</w:tr>
      <w:tr w:rsidR="00823797" w:rsidRPr="0086747C" w14:paraId="5FA155FF" w14:textId="77777777" w:rsidTr="00327E78">
        <w:trPr>
          <w:trHeight w:val="28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038" w14:textId="519B849A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Scientist-1</w:t>
            </w:r>
            <w:r w:rsidR="008F3BBF"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5A53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&lt;0.09 nmol/g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DDCC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A510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3B5E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196</w:t>
            </w:r>
          </w:p>
        </w:tc>
      </w:tr>
      <w:tr w:rsidR="00823797" w:rsidRPr="0086747C" w14:paraId="6379CC6A" w14:textId="77777777" w:rsidTr="00327E78">
        <w:trPr>
          <w:trHeight w:val="2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F11A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47A4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≥0.09 nmol/g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2635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B1F9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5474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50</w:t>
            </w:r>
          </w:p>
        </w:tc>
      </w:tr>
      <w:tr w:rsidR="00823797" w:rsidRPr="0086747C" w14:paraId="3C1B252E" w14:textId="77777777" w:rsidTr="00327E78">
        <w:trPr>
          <w:trHeight w:val="2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FC63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41CC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152A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3AF05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64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E2697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246</w:t>
            </w:r>
          </w:p>
        </w:tc>
      </w:tr>
    </w:tbl>
    <w:p w14:paraId="786E23A2" w14:textId="503DE0F1" w:rsidR="00823797" w:rsidRPr="0086747C" w:rsidRDefault="00823797" w:rsidP="00823797">
      <w:pPr>
        <w:rPr>
          <w:rFonts w:ascii="Arial" w:hAnsi="Arial" w:cs="Arial"/>
        </w:rPr>
      </w:pPr>
      <w:r w:rsidRPr="0086747C">
        <w:rPr>
          <w:rFonts w:ascii="Arial" w:hAnsi="Arial" w:cs="Arial"/>
        </w:rPr>
        <w:t>Concordance rate: 94.3%.</w:t>
      </w:r>
      <w:r w:rsidR="00F96BFA" w:rsidRPr="0086747C">
        <w:rPr>
          <w:rFonts w:ascii="Arial" w:hAnsi="Arial" w:cs="Arial"/>
        </w:rPr>
        <w:br/>
      </w:r>
    </w:p>
    <w:p w14:paraId="3459FA75" w14:textId="77777777" w:rsidR="00823797" w:rsidRPr="0086747C" w:rsidRDefault="00823797" w:rsidP="00823797">
      <w:pPr>
        <w:rPr>
          <w:rFonts w:ascii="Arial" w:hAnsi="Arial" w:cs="Arial"/>
        </w:rPr>
      </w:pPr>
    </w:p>
    <w:tbl>
      <w:tblPr>
        <w:tblW w:w="8217" w:type="dxa"/>
        <w:tblLook w:val="04A0" w:firstRow="1" w:lastRow="0" w:firstColumn="1" w:lastColumn="0" w:noHBand="0" w:noVBand="1"/>
      </w:tblPr>
      <w:tblGrid>
        <w:gridCol w:w="1413"/>
        <w:gridCol w:w="1767"/>
        <w:gridCol w:w="1726"/>
        <w:gridCol w:w="1822"/>
        <w:gridCol w:w="1489"/>
      </w:tblGrid>
      <w:tr w:rsidR="00823797" w:rsidRPr="0086747C" w14:paraId="07EB822F" w14:textId="77777777" w:rsidTr="00327E78">
        <w:trPr>
          <w:trHeight w:val="285"/>
        </w:trPr>
        <w:tc>
          <w:tcPr>
            <w:tcW w:w="3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3709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5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60FD" w14:textId="31B094A4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Scientist-3</w:t>
            </w:r>
            <w:r w:rsidR="008F3BBF"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 </w:t>
            </w:r>
          </w:p>
        </w:tc>
      </w:tr>
      <w:tr w:rsidR="00823797" w:rsidRPr="0086747C" w14:paraId="0697C16F" w14:textId="77777777" w:rsidTr="00327E78">
        <w:trPr>
          <w:trHeight w:val="285"/>
        </w:trPr>
        <w:tc>
          <w:tcPr>
            <w:tcW w:w="3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E085B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8F9B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&lt;0.09 nmol/g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1396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≥0.09 nmol/g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3916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</w:tr>
      <w:tr w:rsidR="00823797" w:rsidRPr="0086747C" w14:paraId="22A302B0" w14:textId="77777777" w:rsidTr="00327E78">
        <w:trPr>
          <w:trHeight w:val="28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7AE5" w14:textId="51B1F43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Scientist-1</w:t>
            </w:r>
            <w:r w:rsidR="008F3BBF"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662E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&lt;0.09 nmol/g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BB507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7782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5EE9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284</w:t>
            </w:r>
          </w:p>
        </w:tc>
      </w:tr>
      <w:tr w:rsidR="00823797" w:rsidRPr="0086747C" w14:paraId="6AA7A60E" w14:textId="77777777" w:rsidTr="00327E78">
        <w:trPr>
          <w:trHeight w:val="2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DF18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8EA8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≥0.09 nmol/g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6B54C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5FE87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70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23352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77</w:t>
            </w:r>
          </w:p>
        </w:tc>
      </w:tr>
      <w:tr w:rsidR="00823797" w:rsidRPr="0086747C" w14:paraId="6E88B88B" w14:textId="77777777" w:rsidTr="00327E78">
        <w:trPr>
          <w:trHeight w:val="28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A5C0D" w14:textId="77777777" w:rsidR="00823797" w:rsidRPr="0086747C" w:rsidRDefault="00823797" w:rsidP="00327E78">
            <w:pPr>
              <w:widowControl/>
              <w:jc w:val="left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26F5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Total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3C60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A11A1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89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336C3" w14:textId="77777777" w:rsidR="00823797" w:rsidRPr="0086747C" w:rsidRDefault="00823797" w:rsidP="00327E78">
            <w:pPr>
              <w:widowControl/>
              <w:jc w:val="center"/>
              <w:rPr>
                <w:rFonts w:ascii="Arial" w:eastAsia="等线" w:hAnsi="Arial" w:cs="Arial"/>
                <w:color w:val="000000"/>
                <w:kern w:val="0"/>
                <w:sz w:val="22"/>
              </w:rPr>
            </w:pPr>
            <w:r w:rsidRPr="0086747C">
              <w:rPr>
                <w:rFonts w:ascii="Arial" w:eastAsia="等线" w:hAnsi="Arial" w:cs="Arial"/>
                <w:color w:val="000000"/>
                <w:kern w:val="0"/>
                <w:sz w:val="22"/>
              </w:rPr>
              <w:t>361</w:t>
            </w:r>
          </w:p>
        </w:tc>
      </w:tr>
    </w:tbl>
    <w:p w14:paraId="0E1CA74F" w14:textId="77777777" w:rsidR="00823797" w:rsidRPr="0086747C" w:rsidRDefault="00823797" w:rsidP="00823797">
      <w:pPr>
        <w:rPr>
          <w:rFonts w:ascii="Arial" w:hAnsi="Arial" w:cs="Arial"/>
        </w:rPr>
      </w:pPr>
      <w:r w:rsidRPr="0086747C">
        <w:rPr>
          <w:rFonts w:ascii="Arial" w:hAnsi="Arial" w:cs="Arial"/>
        </w:rPr>
        <w:t>Concordance rate: 92.8%.</w:t>
      </w:r>
    </w:p>
    <w:p w14:paraId="7C4B2A15" w14:textId="510ED3A7" w:rsidR="00823797" w:rsidRDefault="00823797" w:rsidP="00823797">
      <w:pPr>
        <w:rPr>
          <w:rFonts w:ascii="Arial" w:hAnsi="Arial" w:cs="Arial"/>
        </w:rPr>
      </w:pPr>
    </w:p>
    <w:p w14:paraId="40DA8AA7" w14:textId="77777777" w:rsidR="007B23C6" w:rsidRPr="0086747C" w:rsidRDefault="007B23C6" w:rsidP="00823797">
      <w:pPr>
        <w:rPr>
          <w:rFonts w:ascii="Arial" w:hAnsi="Arial" w:cs="Arial" w:hint="eastAsia"/>
        </w:rPr>
      </w:pPr>
    </w:p>
    <w:p w14:paraId="079B61C5" w14:textId="30C781A6" w:rsidR="007B23C6" w:rsidRPr="0068422C" w:rsidRDefault="007B23C6" w:rsidP="007B23C6">
      <w:pPr>
        <w:spacing w:line="276" w:lineRule="auto"/>
        <w:rPr>
          <w:rFonts w:ascii="Arial" w:hAnsi="Arial" w:cs="Arial"/>
          <w:sz w:val="22"/>
        </w:rPr>
      </w:pPr>
      <w:r w:rsidRPr="0068422C">
        <w:rPr>
          <w:rFonts w:ascii="Arial" w:hAnsi="Arial" w:cs="Arial"/>
          <w:b/>
          <w:sz w:val="22"/>
        </w:rPr>
        <w:t>Table S</w:t>
      </w:r>
      <w:r w:rsidR="00F60498">
        <w:rPr>
          <w:rFonts w:ascii="Arial" w:hAnsi="Arial" w:cs="Arial"/>
          <w:b/>
          <w:sz w:val="22"/>
        </w:rPr>
        <w:t>5</w:t>
      </w:r>
      <w:r w:rsidRPr="0068422C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 xml:space="preserve"> </w:t>
      </w:r>
      <w:r w:rsidRPr="0068422C">
        <w:rPr>
          <w:rFonts w:ascii="Arial" w:eastAsia="宋体" w:hAnsi="Arial" w:cs="Arial"/>
          <w:kern w:val="0"/>
          <w:sz w:val="22"/>
          <w:lang w:eastAsia="en-US"/>
        </w:rPr>
        <w:t>Concordance of QDB</w:t>
      </w:r>
      <w:r w:rsidRPr="0068422C">
        <w:rPr>
          <w:rFonts w:ascii="Arial" w:eastAsia="宋体" w:hAnsi="Arial" w:cs="Arial"/>
          <w:kern w:val="0"/>
          <w:sz w:val="22"/>
          <w:vertAlign w:val="subscript"/>
          <w:lang w:eastAsia="en-US"/>
        </w:rPr>
        <w:t>4B5</w:t>
      </w:r>
      <w:r w:rsidRPr="0068422C">
        <w:rPr>
          <w:rFonts w:ascii="Arial" w:eastAsia="宋体" w:hAnsi="Arial" w:cs="Arial"/>
          <w:kern w:val="0"/>
          <w:sz w:val="22"/>
          <w:lang w:eastAsia="en-US"/>
        </w:rPr>
        <w:t xml:space="preserve"> with FISH results in merged cohorts of 1 and 2</w:t>
      </w:r>
    </w:p>
    <w:p w14:paraId="6F026D20" w14:textId="77777777" w:rsidR="007B23C6" w:rsidRPr="0068422C" w:rsidRDefault="007B23C6" w:rsidP="007B23C6">
      <w:pPr>
        <w:widowControl/>
        <w:spacing w:line="480" w:lineRule="auto"/>
        <w:jc w:val="left"/>
        <w:rPr>
          <w:rFonts w:ascii="Arial" w:eastAsia="宋体" w:hAnsi="Arial" w:cs="Arial"/>
          <w:kern w:val="0"/>
          <w:sz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5"/>
        <w:gridCol w:w="1256"/>
        <w:gridCol w:w="779"/>
        <w:gridCol w:w="834"/>
        <w:gridCol w:w="742"/>
      </w:tblGrid>
      <w:tr w:rsidR="007B23C6" w:rsidRPr="0068422C" w14:paraId="340CB98F" w14:textId="77777777" w:rsidTr="006B7861">
        <w:trPr>
          <w:trHeight w:val="3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450F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2198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/>
                <w:b/>
                <w:kern w:val="0"/>
                <w:sz w:val="22"/>
                <w:lang w:eastAsia="en-US"/>
              </w:rPr>
              <w:t>QDB</w:t>
            </w:r>
            <w:r w:rsidRPr="0068422C">
              <w:rPr>
                <w:rFonts w:ascii="Arial" w:eastAsia="宋体" w:hAnsi="Arial" w:cs="Arial"/>
                <w:b/>
                <w:kern w:val="0"/>
                <w:sz w:val="22"/>
                <w:vertAlign w:val="subscript"/>
                <w:lang w:eastAsia="en-US"/>
              </w:rPr>
              <w:t>4B5</w:t>
            </w:r>
            <w:r w:rsidRPr="0068422C">
              <w:rPr>
                <w:rFonts w:ascii="Arial" w:eastAsia="宋体" w:hAnsi="Arial" w:cs="Arial"/>
                <w:b/>
                <w:kern w:val="0"/>
                <w:sz w:val="22"/>
                <w:lang w:eastAsia="en-US"/>
              </w:rPr>
              <w:t>*</w:t>
            </w:r>
          </w:p>
        </w:tc>
      </w:tr>
      <w:tr w:rsidR="007B23C6" w:rsidRPr="0068422C" w14:paraId="06052066" w14:textId="77777777" w:rsidTr="006B7861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767A8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08786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C044E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Her2-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E225D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Her2+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9378E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Total</w:t>
            </w:r>
          </w:p>
        </w:tc>
      </w:tr>
      <w:tr w:rsidR="007B23C6" w:rsidRPr="0068422C" w14:paraId="07116357" w14:textId="77777777" w:rsidTr="006B786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B8AC6B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/>
                <w:b/>
                <w:kern w:val="0"/>
                <w:sz w:val="22"/>
                <w:lang w:eastAsia="en-US"/>
              </w:rPr>
              <w:t>FISH</w:t>
            </w:r>
            <w:r w:rsidRPr="0068422C">
              <w:rPr>
                <w:rFonts w:ascii="Arial" w:eastAsia="宋体" w:hAnsi="Arial" w:cs="Arial"/>
                <w:b/>
                <w:kern w:val="0"/>
                <w:sz w:val="22"/>
                <w:vertAlign w:val="superscript"/>
                <w:lang w:eastAsia="en-US"/>
              </w:rPr>
              <w:t>#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B43AA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Her2-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F8C7A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F53E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3776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95</w:t>
            </w:r>
          </w:p>
        </w:tc>
      </w:tr>
      <w:tr w:rsidR="007B23C6" w:rsidRPr="0068422C" w14:paraId="0D90B233" w14:textId="77777777" w:rsidTr="006B7861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11CC04B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E639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Her2+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DE8B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3911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E7FE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62</w:t>
            </w:r>
          </w:p>
        </w:tc>
      </w:tr>
      <w:tr w:rsidR="007B23C6" w:rsidRPr="0068422C" w14:paraId="32DB9C89" w14:textId="77777777" w:rsidTr="006B7861">
        <w:trPr>
          <w:trHeight w:val="28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311077A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8898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Equivocal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0EAE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36C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3AC0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6</w:t>
            </w:r>
          </w:p>
        </w:tc>
      </w:tr>
      <w:tr w:rsidR="007B23C6" w:rsidRPr="0068422C" w14:paraId="213E2497" w14:textId="77777777" w:rsidTr="006B7861">
        <w:trPr>
          <w:trHeight w:val="290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1103DF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CE3C28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b/>
                <w:bCs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b/>
                <w:bCs/>
                <w:kern w:val="0"/>
                <w:sz w:val="22"/>
                <w:lang w:eastAsia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A292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F7A549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D116" w14:textId="77777777" w:rsidR="007B23C6" w:rsidRPr="0068422C" w:rsidRDefault="007B23C6" w:rsidP="006B7861">
            <w:pPr>
              <w:widowControl/>
              <w:spacing w:line="480" w:lineRule="auto"/>
              <w:jc w:val="left"/>
              <w:rPr>
                <w:rFonts w:ascii="Arial" w:eastAsia="宋体" w:hAnsi="Arial" w:cs="Arial"/>
                <w:kern w:val="0"/>
                <w:sz w:val="22"/>
                <w:lang w:eastAsia="en-US"/>
              </w:rPr>
            </w:pPr>
            <w:r w:rsidRPr="0068422C">
              <w:rPr>
                <w:rFonts w:ascii="Arial" w:eastAsia="宋体" w:hAnsi="Arial" w:cs="Arial" w:hint="eastAsia"/>
                <w:kern w:val="0"/>
                <w:sz w:val="22"/>
                <w:lang w:eastAsia="en-US"/>
              </w:rPr>
              <w:t>163</w:t>
            </w:r>
          </w:p>
        </w:tc>
      </w:tr>
    </w:tbl>
    <w:p w14:paraId="0A4F41D2" w14:textId="77777777" w:rsidR="007B23C6" w:rsidRPr="0068422C" w:rsidRDefault="007B23C6" w:rsidP="007B23C6">
      <w:pPr>
        <w:widowControl/>
        <w:spacing w:line="480" w:lineRule="auto"/>
        <w:jc w:val="left"/>
        <w:rPr>
          <w:rFonts w:ascii="Arial" w:eastAsia="宋体" w:hAnsi="Arial" w:cs="Arial"/>
          <w:kern w:val="0"/>
          <w:sz w:val="22"/>
          <w:lang w:eastAsia="en-US"/>
        </w:rPr>
      </w:pPr>
      <w:r w:rsidRPr="0068422C">
        <w:rPr>
          <w:rFonts w:ascii="Arial" w:eastAsia="宋体" w:hAnsi="Arial" w:cs="Arial"/>
          <w:kern w:val="0"/>
          <w:sz w:val="22"/>
          <w:lang w:eastAsia="en-US"/>
        </w:rPr>
        <w:t>Concordance rate was 93.0%% between QDB</w:t>
      </w:r>
      <w:r w:rsidRPr="0068422C">
        <w:rPr>
          <w:rFonts w:ascii="Arial" w:eastAsia="宋体" w:hAnsi="Arial" w:cs="Arial"/>
          <w:kern w:val="0"/>
          <w:sz w:val="22"/>
          <w:vertAlign w:val="subscript"/>
          <w:lang w:eastAsia="en-US"/>
        </w:rPr>
        <w:t>4B5</w:t>
      </w:r>
      <w:r w:rsidRPr="0068422C">
        <w:rPr>
          <w:rFonts w:ascii="Arial" w:eastAsia="宋体" w:hAnsi="Arial" w:cs="Arial"/>
          <w:kern w:val="0"/>
          <w:sz w:val="22"/>
          <w:lang w:eastAsia="en-US"/>
        </w:rPr>
        <w:t xml:space="preserve"> and FISH results.</w:t>
      </w:r>
    </w:p>
    <w:p w14:paraId="1D9CC40C" w14:textId="77777777" w:rsidR="007B23C6" w:rsidRPr="0068422C" w:rsidRDefault="007B23C6" w:rsidP="007B23C6">
      <w:pPr>
        <w:widowControl/>
        <w:spacing w:line="480" w:lineRule="auto"/>
        <w:jc w:val="left"/>
        <w:rPr>
          <w:rFonts w:ascii="Arial" w:eastAsia="宋体" w:hAnsi="Arial" w:cs="Arial"/>
          <w:kern w:val="0"/>
          <w:sz w:val="22"/>
          <w:lang w:eastAsia="en-US"/>
        </w:rPr>
      </w:pPr>
      <w:r w:rsidRPr="0068422C">
        <w:rPr>
          <w:rFonts w:ascii="Arial" w:eastAsia="宋体" w:hAnsi="Arial" w:cs="Arial"/>
          <w:kern w:val="0"/>
          <w:sz w:val="22"/>
          <w:lang w:eastAsia="en-US"/>
        </w:rPr>
        <w:t xml:space="preserve">* Based on cutoff value at 0.399 </w:t>
      </w:r>
      <w:proofErr w:type="spellStart"/>
      <w:r w:rsidRPr="0068422C">
        <w:rPr>
          <w:rFonts w:ascii="Arial" w:eastAsia="宋体" w:hAnsi="Arial" w:cs="Arial"/>
          <w:kern w:val="0"/>
          <w:sz w:val="22"/>
          <w:lang w:eastAsia="en-US"/>
        </w:rPr>
        <w:t>nmole</w:t>
      </w:r>
      <w:proofErr w:type="spellEnd"/>
      <w:r w:rsidRPr="0068422C">
        <w:rPr>
          <w:rFonts w:ascii="Arial" w:eastAsia="宋体" w:hAnsi="Arial" w:cs="Arial"/>
          <w:kern w:val="0"/>
          <w:sz w:val="22"/>
          <w:lang w:eastAsia="en-US"/>
        </w:rPr>
        <w:t>/g for 4B5.</w:t>
      </w:r>
    </w:p>
    <w:p w14:paraId="777AF882" w14:textId="0D7EE956" w:rsidR="00823797" w:rsidRPr="007B23C6" w:rsidRDefault="007B23C6" w:rsidP="007B23C6">
      <w:pPr>
        <w:widowControl/>
        <w:spacing w:line="480" w:lineRule="auto"/>
        <w:jc w:val="left"/>
        <w:rPr>
          <w:rFonts w:ascii="Arial" w:eastAsia="宋体" w:hAnsi="Arial" w:cs="Arial" w:hint="eastAsia"/>
          <w:kern w:val="0"/>
          <w:sz w:val="22"/>
        </w:rPr>
      </w:pPr>
      <w:r w:rsidRPr="0068422C">
        <w:rPr>
          <w:rFonts w:ascii="Arial" w:eastAsia="宋体" w:hAnsi="Arial" w:cs="Arial"/>
          <w:kern w:val="0"/>
          <w:sz w:val="22"/>
          <w:vertAlign w:val="superscript"/>
          <w:lang w:eastAsia="en-US"/>
        </w:rPr>
        <w:t>#</w:t>
      </w:r>
      <w:r w:rsidRPr="0068422C">
        <w:rPr>
          <w:rFonts w:ascii="Arial" w:eastAsia="宋体" w:hAnsi="Arial" w:cs="Arial"/>
          <w:kern w:val="0"/>
          <w:sz w:val="22"/>
          <w:lang w:eastAsia="en-US"/>
        </w:rPr>
        <w:t xml:space="preserve"> Equivocal cases, including 2+ from IHC analysis, were not included in the comparison</w:t>
      </w:r>
      <w:r>
        <w:rPr>
          <w:rFonts w:ascii="Arial" w:eastAsia="宋体" w:hAnsi="Arial" w:cs="Arial" w:hint="eastAsia"/>
          <w:kern w:val="0"/>
          <w:sz w:val="22"/>
        </w:rPr>
        <w:t>.</w:t>
      </w:r>
    </w:p>
    <w:sectPr w:rsidR="00823797" w:rsidRPr="007B2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7D889" w14:textId="77777777" w:rsidR="008F69D7" w:rsidRDefault="008F69D7" w:rsidP="00BB3C9C">
      <w:r>
        <w:separator/>
      </w:r>
    </w:p>
  </w:endnote>
  <w:endnote w:type="continuationSeparator" w:id="0">
    <w:p w14:paraId="7362F4A9" w14:textId="77777777" w:rsidR="008F69D7" w:rsidRDefault="008F69D7" w:rsidP="00BB3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59FF7" w14:textId="77777777" w:rsidR="008F69D7" w:rsidRDefault="008F69D7" w:rsidP="00BB3C9C">
      <w:r>
        <w:separator/>
      </w:r>
    </w:p>
  </w:footnote>
  <w:footnote w:type="continuationSeparator" w:id="0">
    <w:p w14:paraId="4BA14AE5" w14:textId="77777777" w:rsidR="008F69D7" w:rsidRDefault="008F69D7" w:rsidP="00BB3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26F"/>
    <w:rsid w:val="000461A5"/>
    <w:rsid w:val="00080DD9"/>
    <w:rsid w:val="000B6A05"/>
    <w:rsid w:val="00120CC1"/>
    <w:rsid w:val="0015109B"/>
    <w:rsid w:val="00194509"/>
    <w:rsid w:val="001F3438"/>
    <w:rsid w:val="0020637E"/>
    <w:rsid w:val="00227E73"/>
    <w:rsid w:val="002929BC"/>
    <w:rsid w:val="002E6E32"/>
    <w:rsid w:val="00303CD0"/>
    <w:rsid w:val="003447CC"/>
    <w:rsid w:val="00355C75"/>
    <w:rsid w:val="003951B1"/>
    <w:rsid w:val="003D1E80"/>
    <w:rsid w:val="003E7F4A"/>
    <w:rsid w:val="004310E1"/>
    <w:rsid w:val="00433A1D"/>
    <w:rsid w:val="00444436"/>
    <w:rsid w:val="00467DCF"/>
    <w:rsid w:val="0054226E"/>
    <w:rsid w:val="00577C69"/>
    <w:rsid w:val="00581618"/>
    <w:rsid w:val="00617E94"/>
    <w:rsid w:val="00655799"/>
    <w:rsid w:val="0068422C"/>
    <w:rsid w:val="006F0924"/>
    <w:rsid w:val="00737CDD"/>
    <w:rsid w:val="0075645F"/>
    <w:rsid w:val="00773513"/>
    <w:rsid w:val="0079195A"/>
    <w:rsid w:val="007B0DD6"/>
    <w:rsid w:val="007B23C6"/>
    <w:rsid w:val="00823797"/>
    <w:rsid w:val="00857CB8"/>
    <w:rsid w:val="0086747C"/>
    <w:rsid w:val="00893387"/>
    <w:rsid w:val="008B60F1"/>
    <w:rsid w:val="008F3BBF"/>
    <w:rsid w:val="008F69D7"/>
    <w:rsid w:val="009214F6"/>
    <w:rsid w:val="0094756A"/>
    <w:rsid w:val="00976CC8"/>
    <w:rsid w:val="009C4ED9"/>
    <w:rsid w:val="00A47FC1"/>
    <w:rsid w:val="00AB6EB0"/>
    <w:rsid w:val="00AF5B06"/>
    <w:rsid w:val="00B36181"/>
    <w:rsid w:val="00B37852"/>
    <w:rsid w:val="00BB3C9C"/>
    <w:rsid w:val="00BE026F"/>
    <w:rsid w:val="00C13351"/>
    <w:rsid w:val="00C30794"/>
    <w:rsid w:val="00C41668"/>
    <w:rsid w:val="00C5048E"/>
    <w:rsid w:val="00CE29CD"/>
    <w:rsid w:val="00D3130A"/>
    <w:rsid w:val="00D31BBC"/>
    <w:rsid w:val="00D32740"/>
    <w:rsid w:val="00D960DD"/>
    <w:rsid w:val="00DC607E"/>
    <w:rsid w:val="00DD28D9"/>
    <w:rsid w:val="00DD5937"/>
    <w:rsid w:val="00DE6CA2"/>
    <w:rsid w:val="00E07024"/>
    <w:rsid w:val="00E26085"/>
    <w:rsid w:val="00E9392E"/>
    <w:rsid w:val="00E97429"/>
    <w:rsid w:val="00EE0BC0"/>
    <w:rsid w:val="00EF6598"/>
    <w:rsid w:val="00F60498"/>
    <w:rsid w:val="00F93CAA"/>
    <w:rsid w:val="00F96BFA"/>
    <w:rsid w:val="00FA557B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1DC2C"/>
  <w15:chartTrackingRefBased/>
  <w15:docId w15:val="{8A510B17-85D6-4E40-91B5-908787B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C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C9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F3BB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F3BBF"/>
    <w:rPr>
      <w:sz w:val="20"/>
      <w:szCs w:val="20"/>
    </w:rPr>
  </w:style>
  <w:style w:type="character" w:customStyle="1" w:styleId="a9">
    <w:name w:val="批注文字 字符"/>
    <w:basedOn w:val="a0"/>
    <w:link w:val="a8"/>
    <w:uiPriority w:val="99"/>
    <w:semiHidden/>
    <w:rsid w:val="008F3BB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3BBF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8F3BB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F3BBF"/>
    <w:rPr>
      <w:rFonts w:ascii="Segoe UI" w:hAnsi="Segoe UI" w:cs="Segoe UI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F3B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58566</dc:creator>
  <cp:keywords/>
  <dc:description/>
  <cp:lastModifiedBy>唐 芳荣</cp:lastModifiedBy>
  <cp:revision>4</cp:revision>
  <cp:lastPrinted>2021-05-13T01:07:00Z</cp:lastPrinted>
  <dcterms:created xsi:type="dcterms:W3CDTF">2023-01-23T08:42:00Z</dcterms:created>
  <dcterms:modified xsi:type="dcterms:W3CDTF">2023-03-02T07:59:00Z</dcterms:modified>
</cp:coreProperties>
</file>