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04A9" w14:textId="35C8B349" w:rsidR="00D14ABB" w:rsidRPr="00F14B4D" w:rsidRDefault="00C37837" w:rsidP="00D14ABB">
      <w:pPr>
        <w:pStyle w:val="EndNoteBibliography"/>
        <w:adjustRightInd w:val="0"/>
        <w:snapToGrid w:val="0"/>
        <w:spacing w:line="480" w:lineRule="auto"/>
        <w:rPr>
          <w:rFonts w:ascii="Times New Roman" w:eastAsia="Times New Roman" w:hAnsi="Times New Roman" w:cs="Times New Roman"/>
          <w:b/>
          <w:bCs/>
          <w:noProof w:val="0"/>
          <w:snapToGrid w:val="0"/>
          <w:color w:val="000000"/>
          <w:kern w:val="0"/>
          <w:lang w:eastAsia="de-DE" w:bidi="en-US"/>
        </w:rPr>
      </w:pPr>
      <w:r w:rsidRPr="00F14B4D">
        <w:rPr>
          <w:rFonts w:ascii="Times New Roman" w:eastAsia="Times New Roman" w:hAnsi="Times New Roman" w:cs="Times New Roman"/>
          <w:b/>
          <w:bCs/>
          <w:noProof w:val="0"/>
          <w:snapToGrid w:val="0"/>
          <w:color w:val="000000"/>
          <w:kern w:val="0"/>
          <w:lang w:eastAsia="de-DE" w:bidi="en-US"/>
        </w:rPr>
        <w:t>Appendices</w:t>
      </w:r>
    </w:p>
    <w:p w14:paraId="2B2801B3" w14:textId="3C978093" w:rsidR="00952A87" w:rsidRPr="00F14B4D" w:rsidRDefault="00952A87" w:rsidP="00F14B4D">
      <w:pPr>
        <w:pStyle w:val="MDPI41tablecaption"/>
        <w:spacing w:before="0" w:after="0"/>
        <w:ind w:left="0"/>
        <w:jc w:val="center"/>
        <w:rPr>
          <w:rFonts w:ascii="Times New Roman" w:hAnsi="Times New Roman" w:cs="Times New Roman"/>
          <w:b/>
        </w:rPr>
      </w:pPr>
      <w:r w:rsidRPr="00F14B4D">
        <w:rPr>
          <w:rFonts w:ascii="Times New Roman" w:hAnsi="Times New Roman" w:cs="Times New Roman"/>
          <w:b/>
        </w:rPr>
        <w:t>Table S1</w:t>
      </w:r>
      <w:r w:rsidR="0034534B" w:rsidRPr="00F14B4D">
        <w:rPr>
          <w:rFonts w:ascii="Times New Roman" w:hAnsi="Times New Roman" w:cs="Times New Roman"/>
          <w:b/>
        </w:rPr>
        <w:t xml:space="preserve"> </w:t>
      </w:r>
      <w:r w:rsidRPr="00F14B4D">
        <w:rPr>
          <w:rFonts w:ascii="Times New Roman" w:hAnsi="Times New Roman" w:cs="Times New Roman"/>
          <w:b/>
        </w:rPr>
        <w:t>The information of PCR primer used for RT-qPCR.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3392"/>
        <w:gridCol w:w="3876"/>
      </w:tblGrid>
      <w:tr w:rsidR="00952A87" w:rsidRPr="00F14B4D" w14:paraId="7CC4FA0F" w14:textId="77777777" w:rsidTr="00EF6F03">
        <w:trPr>
          <w:jc w:val="center"/>
        </w:trPr>
        <w:tc>
          <w:tcPr>
            <w:tcW w:w="10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8D5FCFB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Gene</w:t>
            </w:r>
          </w:p>
        </w:tc>
        <w:tc>
          <w:tcPr>
            <w:tcW w:w="33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56F191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Forward (5’</w:t>
            </w:r>
            <w:r w:rsidRPr="00F14B4D">
              <w:rPr>
                <w:rFonts w:ascii="Times New Roman" w:eastAsia="SimSu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→</w:t>
            </w: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3’)</w:t>
            </w:r>
          </w:p>
        </w:tc>
        <w:tc>
          <w:tcPr>
            <w:tcW w:w="38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67E0CFD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Reverse (5’</w:t>
            </w:r>
            <w:r w:rsidRPr="00F14B4D">
              <w:rPr>
                <w:rFonts w:ascii="Times New Roman" w:eastAsia="SimSu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→</w:t>
            </w: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3’)</w:t>
            </w:r>
          </w:p>
        </w:tc>
      </w:tr>
      <w:tr w:rsidR="00952A87" w:rsidRPr="00F14B4D" w14:paraId="0D48B9BD" w14:textId="77777777" w:rsidTr="00EF6F03">
        <w:trPr>
          <w:jc w:val="center"/>
        </w:trPr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14:paraId="2BB9FB79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P4HA1</w:t>
            </w: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14:paraId="18F12BB3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CGAGCCACCATTTCAAACCCA</w:t>
            </w:r>
          </w:p>
        </w:tc>
        <w:tc>
          <w:tcPr>
            <w:tcW w:w="3876" w:type="dxa"/>
            <w:tcBorders>
              <w:top w:val="single" w:sz="4" w:space="0" w:color="auto"/>
            </w:tcBorders>
            <w:vAlign w:val="center"/>
          </w:tcPr>
          <w:p w14:paraId="7726243A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AATTCGTGACACCACAGGGT</w:t>
            </w:r>
          </w:p>
        </w:tc>
      </w:tr>
      <w:tr w:rsidR="00952A87" w:rsidRPr="00F14B4D" w14:paraId="2267483A" w14:textId="77777777" w:rsidTr="00EF6F03">
        <w:trPr>
          <w:jc w:val="center"/>
        </w:trPr>
        <w:tc>
          <w:tcPr>
            <w:tcW w:w="1028" w:type="dxa"/>
            <w:vAlign w:val="center"/>
          </w:tcPr>
          <w:p w14:paraId="3A0A3418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RPL10A</w:t>
            </w:r>
          </w:p>
        </w:tc>
        <w:tc>
          <w:tcPr>
            <w:tcW w:w="3392" w:type="dxa"/>
            <w:vAlign w:val="center"/>
          </w:tcPr>
          <w:p w14:paraId="347D4B8B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CCCTGCTCACACACAACGAA</w:t>
            </w:r>
          </w:p>
        </w:tc>
        <w:tc>
          <w:tcPr>
            <w:tcW w:w="3876" w:type="dxa"/>
            <w:vAlign w:val="center"/>
          </w:tcPr>
          <w:p w14:paraId="45C7F0A2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AGAAGTTGACAGCCAGGTGA</w:t>
            </w:r>
          </w:p>
        </w:tc>
      </w:tr>
      <w:tr w:rsidR="00952A87" w:rsidRPr="00F14B4D" w14:paraId="61C55581" w14:textId="77777777" w:rsidTr="00EF6F03">
        <w:trPr>
          <w:jc w:val="center"/>
        </w:trPr>
        <w:tc>
          <w:tcPr>
            <w:tcW w:w="1028" w:type="dxa"/>
            <w:vAlign w:val="center"/>
          </w:tcPr>
          <w:p w14:paraId="6F4A9695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ANKRD2</w:t>
            </w:r>
          </w:p>
        </w:tc>
        <w:tc>
          <w:tcPr>
            <w:tcW w:w="3392" w:type="dxa"/>
            <w:vAlign w:val="center"/>
          </w:tcPr>
          <w:p w14:paraId="1B7FD73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CACCCATCAGAAGTTGCCCA</w:t>
            </w:r>
          </w:p>
        </w:tc>
        <w:tc>
          <w:tcPr>
            <w:tcW w:w="3876" w:type="dxa"/>
            <w:vAlign w:val="center"/>
          </w:tcPr>
          <w:p w14:paraId="126FB026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GATCTCCCTCCGCAGGTCTA</w:t>
            </w:r>
          </w:p>
        </w:tc>
      </w:tr>
      <w:tr w:rsidR="00952A87" w:rsidRPr="00F14B4D" w14:paraId="78A16C95" w14:textId="77777777" w:rsidTr="00EF6F03">
        <w:trPr>
          <w:jc w:val="center"/>
        </w:trPr>
        <w:tc>
          <w:tcPr>
            <w:tcW w:w="1028" w:type="dxa"/>
            <w:vAlign w:val="center"/>
          </w:tcPr>
          <w:p w14:paraId="6A6E1C70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DCXR</w:t>
            </w:r>
          </w:p>
        </w:tc>
        <w:tc>
          <w:tcPr>
            <w:tcW w:w="3392" w:type="dxa"/>
            <w:vAlign w:val="center"/>
          </w:tcPr>
          <w:p w14:paraId="1D45E81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GGTCGCAGTACTGTCAAGGC</w:t>
            </w:r>
          </w:p>
        </w:tc>
        <w:tc>
          <w:tcPr>
            <w:tcW w:w="3876" w:type="dxa"/>
            <w:vAlign w:val="center"/>
          </w:tcPr>
          <w:p w14:paraId="1DE5169E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TCCCAGTCAGCTAGGTCCAC</w:t>
            </w:r>
          </w:p>
        </w:tc>
      </w:tr>
      <w:tr w:rsidR="00952A87" w:rsidRPr="00F14B4D" w14:paraId="007F41FE" w14:textId="77777777" w:rsidTr="00EF6F03">
        <w:trPr>
          <w:jc w:val="center"/>
        </w:trPr>
        <w:tc>
          <w:tcPr>
            <w:tcW w:w="1028" w:type="dxa"/>
            <w:vAlign w:val="center"/>
          </w:tcPr>
          <w:p w14:paraId="63CF9161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Myl6b</w:t>
            </w:r>
          </w:p>
        </w:tc>
        <w:tc>
          <w:tcPr>
            <w:tcW w:w="3392" w:type="dxa"/>
            <w:vAlign w:val="center"/>
          </w:tcPr>
          <w:p w14:paraId="2D091CD1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AGTGATGAGCTGAAGTCCCG</w:t>
            </w:r>
          </w:p>
        </w:tc>
        <w:tc>
          <w:tcPr>
            <w:tcW w:w="3876" w:type="dxa"/>
            <w:vAlign w:val="center"/>
          </w:tcPr>
          <w:p w14:paraId="51A34AF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TTTGTCAAACACCCGAAGCC</w:t>
            </w:r>
          </w:p>
        </w:tc>
      </w:tr>
      <w:tr w:rsidR="00952A87" w:rsidRPr="00F14B4D" w14:paraId="76AAB090" w14:textId="77777777" w:rsidTr="00EF6F03">
        <w:trPr>
          <w:jc w:val="center"/>
        </w:trPr>
        <w:tc>
          <w:tcPr>
            <w:tcW w:w="1028" w:type="dxa"/>
            <w:vAlign w:val="center"/>
          </w:tcPr>
          <w:p w14:paraId="2D136E76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HSPA8</w:t>
            </w:r>
          </w:p>
        </w:tc>
        <w:tc>
          <w:tcPr>
            <w:tcW w:w="3392" w:type="dxa"/>
            <w:vAlign w:val="center"/>
          </w:tcPr>
          <w:p w14:paraId="5D817FC1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CGGTGATGCTGCAAAGAACC</w:t>
            </w:r>
          </w:p>
        </w:tc>
        <w:tc>
          <w:tcPr>
            <w:tcW w:w="3876" w:type="dxa"/>
            <w:vAlign w:val="center"/>
          </w:tcPr>
          <w:p w14:paraId="4C0F011E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CTTGAACCTTAGGCCTGCCA</w:t>
            </w:r>
          </w:p>
        </w:tc>
      </w:tr>
      <w:tr w:rsidR="00952A87" w:rsidRPr="00F14B4D" w14:paraId="23DE166E" w14:textId="77777777" w:rsidTr="00EF6F03">
        <w:trPr>
          <w:jc w:val="center"/>
        </w:trPr>
        <w:tc>
          <w:tcPr>
            <w:tcW w:w="1028" w:type="dxa"/>
            <w:vAlign w:val="center"/>
          </w:tcPr>
          <w:p w14:paraId="0D448E42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MYBPH</w:t>
            </w:r>
          </w:p>
        </w:tc>
        <w:tc>
          <w:tcPr>
            <w:tcW w:w="3392" w:type="dxa"/>
            <w:vAlign w:val="center"/>
          </w:tcPr>
          <w:p w14:paraId="1A123CE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ACCTGCAAATCCCCTTCCAG</w:t>
            </w:r>
          </w:p>
        </w:tc>
        <w:tc>
          <w:tcPr>
            <w:tcW w:w="3876" w:type="dxa"/>
            <w:vAlign w:val="center"/>
          </w:tcPr>
          <w:p w14:paraId="48B6B22C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AGAGGATGGAGTCCTGGTCC</w:t>
            </w:r>
          </w:p>
        </w:tc>
      </w:tr>
      <w:tr w:rsidR="00952A87" w:rsidRPr="00F14B4D" w14:paraId="147E5865" w14:textId="77777777" w:rsidTr="00EF6F03">
        <w:trPr>
          <w:jc w:val="center"/>
        </w:trPr>
        <w:tc>
          <w:tcPr>
            <w:tcW w:w="1028" w:type="dxa"/>
            <w:vAlign w:val="center"/>
          </w:tcPr>
          <w:p w14:paraId="1A0F48A3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CSRNP1</w:t>
            </w:r>
          </w:p>
        </w:tc>
        <w:tc>
          <w:tcPr>
            <w:tcW w:w="3392" w:type="dxa"/>
            <w:vAlign w:val="center"/>
          </w:tcPr>
          <w:p w14:paraId="5762646A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GGAGGATTGATCGCGAGGAG</w:t>
            </w:r>
          </w:p>
        </w:tc>
        <w:tc>
          <w:tcPr>
            <w:tcW w:w="3876" w:type="dxa"/>
            <w:vAlign w:val="center"/>
          </w:tcPr>
          <w:p w14:paraId="74B3101F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CTGCAGCTACAGGTCTCAGG</w:t>
            </w:r>
          </w:p>
        </w:tc>
      </w:tr>
      <w:tr w:rsidR="00952A87" w:rsidRPr="00F14B4D" w14:paraId="46BAFAE2" w14:textId="77777777" w:rsidTr="00EF6F03">
        <w:trPr>
          <w:jc w:val="center"/>
        </w:trPr>
        <w:tc>
          <w:tcPr>
            <w:tcW w:w="1028" w:type="dxa"/>
            <w:vAlign w:val="center"/>
          </w:tcPr>
          <w:p w14:paraId="4E11DA28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EGR1</w:t>
            </w:r>
          </w:p>
        </w:tc>
        <w:tc>
          <w:tcPr>
            <w:tcW w:w="3392" w:type="dxa"/>
            <w:vAlign w:val="center"/>
          </w:tcPr>
          <w:p w14:paraId="1DEB049A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GCCACCACATATTCCTCCGT</w:t>
            </w:r>
          </w:p>
        </w:tc>
        <w:tc>
          <w:tcPr>
            <w:tcW w:w="3876" w:type="dxa"/>
            <w:vAlign w:val="center"/>
          </w:tcPr>
          <w:p w14:paraId="5C1C5A2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TCATGTCCGAAAGCCCAGTG</w:t>
            </w:r>
          </w:p>
        </w:tc>
      </w:tr>
      <w:tr w:rsidR="00952A87" w:rsidRPr="00F14B4D" w14:paraId="22516FA2" w14:textId="77777777" w:rsidTr="00EF6F03">
        <w:trPr>
          <w:jc w:val="center"/>
        </w:trPr>
        <w:tc>
          <w:tcPr>
            <w:tcW w:w="1028" w:type="dxa"/>
            <w:vAlign w:val="center"/>
          </w:tcPr>
          <w:p w14:paraId="0E3787D9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NMRK2</w:t>
            </w:r>
          </w:p>
        </w:tc>
        <w:tc>
          <w:tcPr>
            <w:tcW w:w="3392" w:type="dxa"/>
            <w:vAlign w:val="center"/>
          </w:tcPr>
          <w:p w14:paraId="036337D9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GACACCCACATCCTCATTCTGG</w:t>
            </w:r>
          </w:p>
        </w:tc>
        <w:tc>
          <w:tcPr>
            <w:tcW w:w="3876" w:type="dxa"/>
            <w:vAlign w:val="center"/>
          </w:tcPr>
          <w:p w14:paraId="10623329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AGCTTCGCCTACTTCTCCTCCA</w:t>
            </w:r>
          </w:p>
        </w:tc>
      </w:tr>
      <w:tr w:rsidR="00952A87" w:rsidRPr="00F14B4D" w14:paraId="03D8F355" w14:textId="77777777" w:rsidTr="00EF6F03">
        <w:trPr>
          <w:jc w:val="center"/>
        </w:trPr>
        <w:tc>
          <w:tcPr>
            <w:tcW w:w="1028" w:type="dxa"/>
            <w:vAlign w:val="center"/>
          </w:tcPr>
          <w:p w14:paraId="2934551F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ASB2</w:t>
            </w:r>
          </w:p>
        </w:tc>
        <w:tc>
          <w:tcPr>
            <w:tcW w:w="3392" w:type="dxa"/>
            <w:vAlign w:val="center"/>
          </w:tcPr>
          <w:p w14:paraId="57B253BD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CCTGCTTCTCGTGCCTGTAT</w:t>
            </w:r>
          </w:p>
        </w:tc>
        <w:tc>
          <w:tcPr>
            <w:tcW w:w="3876" w:type="dxa"/>
            <w:vAlign w:val="center"/>
          </w:tcPr>
          <w:p w14:paraId="6F434C7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GTTGCCCACGTAGTCCAAGA</w:t>
            </w:r>
          </w:p>
        </w:tc>
      </w:tr>
      <w:tr w:rsidR="00952A87" w:rsidRPr="00F14B4D" w14:paraId="7B75B14C" w14:textId="77777777" w:rsidTr="00EF6F03">
        <w:trPr>
          <w:jc w:val="center"/>
        </w:trPr>
        <w:tc>
          <w:tcPr>
            <w:tcW w:w="1028" w:type="dxa"/>
            <w:vAlign w:val="center"/>
          </w:tcPr>
          <w:p w14:paraId="34FBBAA7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SESN1</w:t>
            </w:r>
          </w:p>
        </w:tc>
        <w:tc>
          <w:tcPr>
            <w:tcW w:w="3392" w:type="dxa"/>
            <w:vAlign w:val="center"/>
          </w:tcPr>
          <w:p w14:paraId="38346A0A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TGAGATGGGATGGACTGTGC</w:t>
            </w:r>
          </w:p>
        </w:tc>
        <w:tc>
          <w:tcPr>
            <w:tcW w:w="3876" w:type="dxa"/>
            <w:vAlign w:val="center"/>
          </w:tcPr>
          <w:p w14:paraId="4DD4E583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CGCATTTGAAAGGCCGTCTG</w:t>
            </w:r>
          </w:p>
        </w:tc>
      </w:tr>
      <w:tr w:rsidR="00952A87" w:rsidRPr="00F14B4D" w14:paraId="75A64F52" w14:textId="77777777" w:rsidTr="00EF6F03">
        <w:trPr>
          <w:jc w:val="center"/>
        </w:trPr>
        <w:tc>
          <w:tcPr>
            <w:tcW w:w="1028" w:type="dxa"/>
            <w:vAlign w:val="center"/>
          </w:tcPr>
          <w:p w14:paraId="6D1FA139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HYAL2</w:t>
            </w:r>
          </w:p>
        </w:tc>
        <w:tc>
          <w:tcPr>
            <w:tcW w:w="3392" w:type="dxa"/>
            <w:vAlign w:val="center"/>
          </w:tcPr>
          <w:p w14:paraId="71790835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ATTTGTCAAGGCGTTTCGGC</w:t>
            </w:r>
          </w:p>
        </w:tc>
        <w:tc>
          <w:tcPr>
            <w:tcW w:w="3876" w:type="dxa"/>
            <w:vAlign w:val="center"/>
          </w:tcPr>
          <w:p w14:paraId="4B3CC6E0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ACAGCTGGTCATTTCGGGAG</w:t>
            </w:r>
          </w:p>
        </w:tc>
      </w:tr>
      <w:tr w:rsidR="00952A87" w:rsidRPr="00F14B4D" w14:paraId="77060CAC" w14:textId="77777777" w:rsidTr="00EF6F03">
        <w:trPr>
          <w:jc w:val="center"/>
        </w:trPr>
        <w:tc>
          <w:tcPr>
            <w:tcW w:w="1028" w:type="dxa"/>
            <w:vAlign w:val="center"/>
          </w:tcPr>
          <w:p w14:paraId="083DF5BA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CRYAB</w:t>
            </w:r>
          </w:p>
        </w:tc>
        <w:tc>
          <w:tcPr>
            <w:tcW w:w="3392" w:type="dxa"/>
            <w:vAlign w:val="center"/>
          </w:tcPr>
          <w:p w14:paraId="4C089AA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GATATCGCCATCCACCACCC</w:t>
            </w:r>
          </w:p>
        </w:tc>
        <w:tc>
          <w:tcPr>
            <w:tcW w:w="3876" w:type="dxa"/>
            <w:vAlign w:val="center"/>
          </w:tcPr>
          <w:p w14:paraId="012156A8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GGGCTCAGGGAAGTAGAAGC</w:t>
            </w:r>
          </w:p>
        </w:tc>
      </w:tr>
      <w:tr w:rsidR="00952A87" w:rsidRPr="00F14B4D" w14:paraId="30ACFE2C" w14:textId="77777777" w:rsidTr="00EF6F03">
        <w:trPr>
          <w:jc w:val="center"/>
        </w:trPr>
        <w:tc>
          <w:tcPr>
            <w:tcW w:w="1028" w:type="dxa"/>
            <w:vAlign w:val="center"/>
          </w:tcPr>
          <w:p w14:paraId="3E2111AE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TFRC</w:t>
            </w:r>
          </w:p>
        </w:tc>
        <w:tc>
          <w:tcPr>
            <w:tcW w:w="3392" w:type="dxa"/>
            <w:vAlign w:val="center"/>
          </w:tcPr>
          <w:p w14:paraId="15B01482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CAAAGTTTCTGCCAGTCCGC</w:t>
            </w:r>
          </w:p>
        </w:tc>
        <w:tc>
          <w:tcPr>
            <w:tcW w:w="3876" w:type="dxa"/>
            <w:vAlign w:val="center"/>
          </w:tcPr>
          <w:p w14:paraId="1F0F7FF8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GATCCAGTTGCTGTCCCGAT</w:t>
            </w:r>
          </w:p>
        </w:tc>
      </w:tr>
      <w:tr w:rsidR="00952A87" w:rsidRPr="00F14B4D" w14:paraId="2FF477F5" w14:textId="77777777" w:rsidTr="00EF6F03">
        <w:trPr>
          <w:jc w:val="center"/>
        </w:trPr>
        <w:tc>
          <w:tcPr>
            <w:tcW w:w="1028" w:type="dxa"/>
            <w:vAlign w:val="center"/>
          </w:tcPr>
          <w:p w14:paraId="779FB6D9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FBXO32</w:t>
            </w:r>
          </w:p>
        </w:tc>
        <w:tc>
          <w:tcPr>
            <w:tcW w:w="3392" w:type="dxa"/>
            <w:vAlign w:val="center"/>
          </w:tcPr>
          <w:p w14:paraId="45368D01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AGGCTGGACTTCTCAACTGC</w:t>
            </w:r>
          </w:p>
        </w:tc>
        <w:tc>
          <w:tcPr>
            <w:tcW w:w="3876" w:type="dxa"/>
            <w:vAlign w:val="center"/>
          </w:tcPr>
          <w:p w14:paraId="58CC4809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CCACTCAGGGATGTGAGCTG</w:t>
            </w:r>
          </w:p>
        </w:tc>
      </w:tr>
      <w:tr w:rsidR="00952A87" w:rsidRPr="00F14B4D" w14:paraId="20DED99F" w14:textId="77777777" w:rsidTr="00EF6F03">
        <w:trPr>
          <w:jc w:val="center"/>
        </w:trPr>
        <w:tc>
          <w:tcPr>
            <w:tcW w:w="1028" w:type="dxa"/>
            <w:vAlign w:val="center"/>
          </w:tcPr>
          <w:p w14:paraId="50AAC10D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TXNIP</w:t>
            </w:r>
          </w:p>
        </w:tc>
        <w:tc>
          <w:tcPr>
            <w:tcW w:w="3392" w:type="dxa"/>
            <w:vAlign w:val="center"/>
          </w:tcPr>
          <w:p w14:paraId="41BD01C4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ATCCCCAAAGCTGCCATTGT</w:t>
            </w:r>
          </w:p>
        </w:tc>
        <w:tc>
          <w:tcPr>
            <w:tcW w:w="3876" w:type="dxa"/>
            <w:vAlign w:val="center"/>
          </w:tcPr>
          <w:p w14:paraId="0AF98137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TCTTCTGCACTCGAAGGCTC</w:t>
            </w:r>
          </w:p>
        </w:tc>
      </w:tr>
      <w:tr w:rsidR="00952A87" w:rsidRPr="00F14B4D" w14:paraId="78094932" w14:textId="77777777" w:rsidTr="00EF6F03">
        <w:trPr>
          <w:jc w:val="center"/>
        </w:trPr>
        <w:tc>
          <w:tcPr>
            <w:tcW w:w="1028" w:type="dxa"/>
            <w:vAlign w:val="center"/>
          </w:tcPr>
          <w:p w14:paraId="204F7CE9" w14:textId="77777777" w:rsidR="00952A87" w:rsidRPr="00F14B4D" w:rsidRDefault="00952A87" w:rsidP="0034534B">
            <w:pPr>
              <w:adjustRightInd w:val="0"/>
              <w:snapToGrid w:val="0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GAPDH</w:t>
            </w:r>
          </w:p>
        </w:tc>
        <w:tc>
          <w:tcPr>
            <w:tcW w:w="3392" w:type="dxa"/>
            <w:vAlign w:val="center"/>
          </w:tcPr>
          <w:p w14:paraId="2477A973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CTTCTGCTGACGCTCCCA</w:t>
            </w:r>
          </w:p>
        </w:tc>
        <w:tc>
          <w:tcPr>
            <w:tcW w:w="3876" w:type="dxa"/>
            <w:vAlign w:val="center"/>
          </w:tcPr>
          <w:p w14:paraId="1DAC5A1A" w14:textId="77777777" w:rsidR="00952A87" w:rsidRPr="00F14B4D" w:rsidRDefault="00952A87" w:rsidP="0034534B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  <w:t>AAGTCCCTCCACGATGCC</w:t>
            </w:r>
          </w:p>
        </w:tc>
      </w:tr>
    </w:tbl>
    <w:p w14:paraId="1749F462" w14:textId="345BFB49" w:rsidR="00952A87" w:rsidRPr="00F14B4D" w:rsidRDefault="00952A87" w:rsidP="00952A87">
      <w:pPr>
        <w:rPr>
          <w:rFonts w:ascii="Times New Roman" w:hAnsi="Times New Roman" w:cs="Times New Roman"/>
        </w:rPr>
      </w:pPr>
    </w:p>
    <w:p w14:paraId="3C90ED89" w14:textId="6CA77AEF" w:rsidR="00F14B4D" w:rsidRPr="00F14B4D" w:rsidRDefault="00F14B4D" w:rsidP="00F14B4D">
      <w:pPr>
        <w:pStyle w:val="MDPI41tablecaption"/>
        <w:spacing w:before="0" w:after="0"/>
        <w:ind w:left="0"/>
        <w:jc w:val="center"/>
        <w:rPr>
          <w:rFonts w:ascii="Times New Roman" w:hAnsi="Times New Roman" w:cs="Times New Roman"/>
          <w:b/>
        </w:rPr>
      </w:pPr>
      <w:r w:rsidRPr="00F14B4D">
        <w:rPr>
          <w:rFonts w:ascii="Times New Roman" w:hAnsi="Times New Roman" w:cs="Times New Roman"/>
          <w:b/>
        </w:rPr>
        <w:t>Table S2. The summary of the RNA-Seq data</w:t>
      </w:r>
    </w:p>
    <w:tbl>
      <w:tblPr>
        <w:tblStyle w:val="TableGrid"/>
        <w:tblW w:w="8789" w:type="dxa"/>
        <w:jc w:val="righ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76"/>
        <w:gridCol w:w="1134"/>
        <w:gridCol w:w="1559"/>
        <w:gridCol w:w="1276"/>
        <w:gridCol w:w="1134"/>
        <w:gridCol w:w="1275"/>
      </w:tblGrid>
      <w:tr w:rsidR="00F14B4D" w:rsidRPr="00F14B4D" w14:paraId="061A6514" w14:textId="77777777" w:rsidTr="00F14B4D">
        <w:trPr>
          <w:jc w:val="right"/>
        </w:trPr>
        <w:tc>
          <w:tcPr>
            <w:tcW w:w="11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F57BF6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bookmarkStart w:id="0" w:name="OLE_LINK5"/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Sample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A14204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Average raw</w:t>
            </w:r>
          </w:p>
          <w:p w14:paraId="276E6F64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reads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B4244C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Average clean</w:t>
            </w:r>
          </w:p>
          <w:p w14:paraId="63E150B2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reads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E1BBBE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Average remaining</w:t>
            </w:r>
          </w:p>
          <w:p w14:paraId="4FEC4442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clean reads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0388D2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Average</w:t>
            </w:r>
          </w:p>
          <w:p w14:paraId="40A4A8E5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mapped reads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F03369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Average</w:t>
            </w:r>
          </w:p>
          <w:p w14:paraId="24F0EAEF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unique reads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71979C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Average</w:t>
            </w:r>
          </w:p>
          <w:p w14:paraId="25D20BC6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multiple reads</w:t>
            </w:r>
          </w:p>
        </w:tc>
      </w:tr>
      <w:tr w:rsidR="00F14B4D" w:rsidRPr="00F14B4D" w14:paraId="0DBD359F" w14:textId="77777777" w:rsidTr="00F14B4D">
        <w:trPr>
          <w:jc w:val="right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3DA461F2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4 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64E44CC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91,167,071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B235AD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90,738,055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6C21972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90,373,003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F56FDF6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88,176,017</w:t>
            </w:r>
          </w:p>
          <w:p w14:paraId="67598E25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(97.57%)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AF2217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81,146,261</w:t>
            </w:r>
          </w:p>
          <w:p w14:paraId="66BBC7D6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(92.03%)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CEE43C5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7,029,756</w:t>
            </w:r>
          </w:p>
          <w:p w14:paraId="6BAAAD09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(7.97%)</w:t>
            </w:r>
          </w:p>
        </w:tc>
      </w:tr>
      <w:tr w:rsidR="00F14B4D" w:rsidRPr="00F14B4D" w14:paraId="3420D472" w14:textId="77777777" w:rsidTr="00F14B4D">
        <w:trPr>
          <w:jc w:val="right"/>
        </w:trPr>
        <w:tc>
          <w:tcPr>
            <w:tcW w:w="1135" w:type="dxa"/>
            <w:vAlign w:val="center"/>
          </w:tcPr>
          <w:p w14:paraId="2EBED846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1.5 y</w:t>
            </w:r>
          </w:p>
        </w:tc>
        <w:tc>
          <w:tcPr>
            <w:tcW w:w="1276" w:type="dxa"/>
            <w:vAlign w:val="center"/>
          </w:tcPr>
          <w:p w14:paraId="6A7BC227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95,150,638</w:t>
            </w:r>
          </w:p>
        </w:tc>
        <w:tc>
          <w:tcPr>
            <w:tcW w:w="1134" w:type="dxa"/>
            <w:vAlign w:val="center"/>
          </w:tcPr>
          <w:p w14:paraId="28D4525F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94,864,498</w:t>
            </w:r>
          </w:p>
        </w:tc>
        <w:tc>
          <w:tcPr>
            <w:tcW w:w="1559" w:type="dxa"/>
            <w:vAlign w:val="center"/>
          </w:tcPr>
          <w:p w14:paraId="7468D82E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94,163,662</w:t>
            </w:r>
          </w:p>
        </w:tc>
        <w:tc>
          <w:tcPr>
            <w:tcW w:w="1276" w:type="dxa"/>
            <w:vAlign w:val="center"/>
          </w:tcPr>
          <w:p w14:paraId="753A5C76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88,912,904</w:t>
            </w:r>
          </w:p>
          <w:p w14:paraId="5AFA0F87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(94.42%)</w:t>
            </w:r>
          </w:p>
        </w:tc>
        <w:tc>
          <w:tcPr>
            <w:tcW w:w="1134" w:type="dxa"/>
            <w:vAlign w:val="center"/>
          </w:tcPr>
          <w:p w14:paraId="4632A734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81,647,895</w:t>
            </w:r>
          </w:p>
          <w:p w14:paraId="204544B8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(91.83%)</w:t>
            </w:r>
          </w:p>
        </w:tc>
        <w:tc>
          <w:tcPr>
            <w:tcW w:w="1275" w:type="dxa"/>
            <w:vAlign w:val="center"/>
          </w:tcPr>
          <w:p w14:paraId="1C69FD9E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7,265,008</w:t>
            </w:r>
          </w:p>
          <w:p w14:paraId="293367C6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(8.17%)</w:t>
            </w:r>
          </w:p>
        </w:tc>
      </w:tr>
      <w:tr w:rsidR="00F14B4D" w:rsidRPr="00F14B4D" w14:paraId="32E15CE6" w14:textId="77777777" w:rsidTr="00F14B4D">
        <w:trPr>
          <w:jc w:val="right"/>
        </w:trPr>
        <w:tc>
          <w:tcPr>
            <w:tcW w:w="1135" w:type="dxa"/>
            <w:vAlign w:val="center"/>
          </w:tcPr>
          <w:p w14:paraId="6A82F81F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3.5 y</w:t>
            </w:r>
          </w:p>
        </w:tc>
        <w:tc>
          <w:tcPr>
            <w:tcW w:w="1276" w:type="dxa"/>
            <w:vAlign w:val="center"/>
          </w:tcPr>
          <w:p w14:paraId="3D75ADE1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90,313,673</w:t>
            </w:r>
          </w:p>
        </w:tc>
        <w:tc>
          <w:tcPr>
            <w:tcW w:w="1134" w:type="dxa"/>
            <w:vAlign w:val="center"/>
          </w:tcPr>
          <w:p w14:paraId="669C6ACD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89,970,024</w:t>
            </w:r>
          </w:p>
        </w:tc>
        <w:tc>
          <w:tcPr>
            <w:tcW w:w="1559" w:type="dxa"/>
            <w:vAlign w:val="center"/>
          </w:tcPr>
          <w:p w14:paraId="19BA210D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89,518,448</w:t>
            </w:r>
          </w:p>
        </w:tc>
        <w:tc>
          <w:tcPr>
            <w:tcW w:w="1276" w:type="dxa"/>
            <w:vAlign w:val="center"/>
          </w:tcPr>
          <w:p w14:paraId="1492BCC0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82,392,489</w:t>
            </w:r>
          </w:p>
          <w:p w14:paraId="5C5FE119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(92.04%)</w:t>
            </w:r>
          </w:p>
        </w:tc>
        <w:tc>
          <w:tcPr>
            <w:tcW w:w="1134" w:type="dxa"/>
            <w:vAlign w:val="center"/>
          </w:tcPr>
          <w:p w14:paraId="654B63A2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75,993,221</w:t>
            </w:r>
          </w:p>
          <w:p w14:paraId="183A18BE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(92.23%)</w:t>
            </w:r>
          </w:p>
        </w:tc>
        <w:tc>
          <w:tcPr>
            <w:tcW w:w="1275" w:type="dxa"/>
            <w:vAlign w:val="center"/>
          </w:tcPr>
          <w:p w14:paraId="07D3F12A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6399268</w:t>
            </w:r>
          </w:p>
          <w:p w14:paraId="68D79E50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(7.77%)</w:t>
            </w:r>
          </w:p>
        </w:tc>
      </w:tr>
      <w:tr w:rsidR="00F14B4D" w:rsidRPr="00F14B4D" w14:paraId="10FE6523" w14:textId="77777777" w:rsidTr="00F14B4D">
        <w:trPr>
          <w:jc w:val="right"/>
        </w:trPr>
        <w:tc>
          <w:tcPr>
            <w:tcW w:w="1135" w:type="dxa"/>
            <w:tcBorders>
              <w:bottom w:val="single" w:sz="8" w:space="0" w:color="auto"/>
            </w:tcBorders>
            <w:vAlign w:val="center"/>
          </w:tcPr>
          <w:p w14:paraId="0AB5A45F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6.0 y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756F888E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87,472,429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2D6AAB1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87,228,506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105F32ED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86,739,090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F3173C8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80,924,685</w:t>
            </w:r>
          </w:p>
          <w:p w14:paraId="173396A7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(93.30%)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12733B9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74,245,776</w:t>
            </w:r>
          </w:p>
          <w:p w14:paraId="47F81CBE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(91.75%)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14:paraId="14738B61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6678909</w:t>
            </w:r>
          </w:p>
          <w:p w14:paraId="2FB6C05C" w14:textId="77777777" w:rsidR="00F14B4D" w:rsidRPr="00F14B4D" w:rsidRDefault="00F14B4D" w:rsidP="00F14B4D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</w:pPr>
            <w:r w:rsidRPr="00F14B4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de-DE" w:bidi="en-US"/>
              </w:rPr>
              <w:t>(8.25%)</w:t>
            </w:r>
          </w:p>
        </w:tc>
      </w:tr>
      <w:bookmarkEnd w:id="0"/>
    </w:tbl>
    <w:p w14:paraId="0A7AAFC8" w14:textId="77777777" w:rsidR="00F14B4D" w:rsidRDefault="00F14B4D" w:rsidP="00F14B4D"/>
    <w:p w14:paraId="47C3F3AA" w14:textId="436799EC" w:rsidR="00F14B4D" w:rsidRDefault="00F14B4D" w:rsidP="00952A87"/>
    <w:p w14:paraId="7888D26A" w14:textId="77777777" w:rsidR="00F14B4D" w:rsidRDefault="00F14B4D" w:rsidP="00952A87"/>
    <w:p w14:paraId="3E594367" w14:textId="5821C33D" w:rsidR="0034534B" w:rsidRDefault="0034534B" w:rsidP="0034534B">
      <w:pPr>
        <w:pStyle w:val="EndNoteBibliography"/>
        <w:adjustRightInd w:val="0"/>
        <w:snapToGrid w:val="0"/>
        <w:spacing w:line="480" w:lineRule="auto"/>
        <w:jc w:val="center"/>
        <w:rPr>
          <w:rFonts w:ascii="Times New Roman" w:hAnsi="Times New Roman" w:cs="Times New Roman"/>
          <w:szCs w:val="20"/>
        </w:rPr>
      </w:pPr>
      <w:r w:rsidRPr="00872E3B">
        <w:rPr>
          <w:rFonts w:hint="eastAsia"/>
        </w:rPr>
        <w:lastRenderedPageBreak/>
        <w:drawing>
          <wp:inline distT="0" distB="0" distL="0" distR="0" wp14:anchorId="7BD0D9CC" wp14:editId="122CB4D3">
            <wp:extent cx="4512623" cy="41910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204" cy="41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16B3" w14:textId="5ED2111E" w:rsidR="00551793" w:rsidRPr="0034534B" w:rsidRDefault="00BC6E07" w:rsidP="0034534B">
      <w:pPr>
        <w:adjustRightInd w:val="0"/>
        <w:snapToGrid w:val="0"/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</w:pPr>
      <w:r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Fig</w:t>
      </w:r>
      <w:r w:rsidR="0034534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ure</w:t>
      </w:r>
      <w:r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S1</w:t>
      </w:r>
      <w:r w:rsidR="00D14AB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.</w:t>
      </w:r>
      <w:r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AMPK signaling pathway. The white square represents a gene or protein, the red square is the up-regulated genes in the pathway, the green square is the down-regulated genes in the pathway. (</w:t>
      </w:r>
      <w:r w:rsidR="0034534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A</w:t>
      </w:r>
      <w:r w:rsidR="00D14AB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-</w:t>
      </w:r>
      <w:r w:rsidR="0034534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C</w:t>
      </w:r>
      <w:r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) AMPK signaling pathway in the 1.5 y-vs-3.5 y</w:t>
      </w:r>
      <w:r w:rsidR="00D14AB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group, </w:t>
      </w:r>
      <w:r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3.5 y-vs-6 y</w:t>
      </w:r>
      <w:r w:rsidR="00D14AB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group</w:t>
      </w:r>
      <w:r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>, 4 m-vs-6 y</w:t>
      </w:r>
      <w:r w:rsidR="00D14ABB" w:rsidRPr="0034534B">
        <w:rPr>
          <w:rFonts w:ascii="Palatino Linotype" w:eastAsia="Times New Roman" w:hAnsi="Palatino Linotype" w:cs="Times New Roman"/>
          <w:snapToGrid w:val="0"/>
          <w:color w:val="000000"/>
          <w:kern w:val="0"/>
          <w:sz w:val="18"/>
          <w:szCs w:val="18"/>
          <w:lang w:eastAsia="de-DE" w:bidi="en-US"/>
        </w:rPr>
        <w:t xml:space="preserve"> group, respectively.</w:t>
      </w:r>
    </w:p>
    <w:sectPr w:rsidR="00551793" w:rsidRPr="0034534B" w:rsidSect="00C37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62"/>
    <w:rsid w:val="001E6062"/>
    <w:rsid w:val="0034534B"/>
    <w:rsid w:val="00551793"/>
    <w:rsid w:val="00952A87"/>
    <w:rsid w:val="009948E0"/>
    <w:rsid w:val="00A10B90"/>
    <w:rsid w:val="00BC6E07"/>
    <w:rsid w:val="00C37837"/>
    <w:rsid w:val="00D14ABB"/>
    <w:rsid w:val="00F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6E23"/>
  <w15:chartTrackingRefBased/>
  <w15:docId w15:val="{3B9F31FD-917E-4703-ABCF-D82642D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BC6E07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BC6E07"/>
    <w:rPr>
      <w:rFonts w:ascii="Calibri" w:hAnsi="Calibri" w:cs="Calibri"/>
      <w:noProof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BC6E07"/>
  </w:style>
  <w:style w:type="table" w:styleId="TableGrid">
    <w:name w:val="Table Grid"/>
    <w:basedOn w:val="TableNormal"/>
    <w:uiPriority w:val="39"/>
    <w:rsid w:val="0095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qFormat/>
    <w:rsid w:val="00F14B4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9DF4-6D5C-4426-A983-7E3C3B6D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Laura Goodfellow</cp:lastModifiedBy>
  <cp:revision>2</cp:revision>
  <dcterms:created xsi:type="dcterms:W3CDTF">2022-06-07T08:23:00Z</dcterms:created>
  <dcterms:modified xsi:type="dcterms:W3CDTF">2022-06-07T08:23:00Z</dcterms:modified>
</cp:coreProperties>
</file>