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2"/>
        <w:jc w:val="left"/>
      </w:pPr>
      <w:r>
        <w:drawing>
          <wp:inline distT="0" distB="0" distL="114300" distR="114300">
            <wp:extent cx="5283200" cy="1422400"/>
            <wp:effectExtent l="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6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kern w:val="0"/>
          <w:sz w:val="24"/>
          <w:szCs w:val="24"/>
          <w:lang w:val="en-US"/>
        </w:rPr>
      </w:pP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  <w:t>F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eastAsia="zh-CN" w:bidi="ar"/>
        </w:rPr>
        <w:t>IGURE</w:t>
      </w:r>
      <w:r>
        <w:rPr>
          <w:rFonts w:hint="default" w:ascii="Times New Roman Bold" w:hAnsi="Times New Roman Bold" w:eastAsia="宋体" w:cs="Times New Roman Bold"/>
          <w:b/>
          <w:bCs/>
          <w:kern w:val="2"/>
          <w:sz w:val="24"/>
          <w:szCs w:val="24"/>
          <w:lang w:val="en-US" w:eastAsia="zh-CN" w:bidi="ar"/>
        </w:rPr>
        <w:t xml:space="preserve"> S1.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Visualization of rabbit fetal by B-ultrasound at 15 days of pregnancy. </w:t>
      </w:r>
      <w:r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en-US" w:eastAsia="zh-CN" w:bidi="ar"/>
        </w:rPr>
        <w:t>A: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 Control group; </w:t>
      </w:r>
      <w:r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en-US" w:eastAsia="zh-CN" w:bidi="ar"/>
        </w:rPr>
        <w:t xml:space="preserve">B: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"/>
        </w:rPr>
        <w:t xml:space="preserve">Experimental group. </w:t>
      </w:r>
      <w:r>
        <w:rPr>
          <w:rFonts w:hint="default" w:ascii="Times New Roman Bold" w:hAnsi="Times New Roman Bold" w:eastAsia="宋体" w:cs="Times New Roman Bold"/>
          <w:b/>
          <w:bCs/>
          <w:kern w:val="0"/>
          <w:sz w:val="24"/>
          <w:szCs w:val="24"/>
          <w:lang w:val="en-US" w:eastAsia="zh-CN" w:bidi="ar"/>
        </w:rPr>
        <w:t xml:space="preserve">C: 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"/>
        </w:rPr>
        <w:t>Blank group (non-pregnant rabbit).</w:t>
      </w:r>
    </w:p>
    <w:p>
      <w:pPr>
        <w:pStyle w:val="52"/>
        <w:jc w:val="both"/>
      </w:pPr>
    </w:p>
    <w:p>
      <w:pPr>
        <w:pStyle w:val="19"/>
      </w:pPr>
    </w:p>
    <w:p/>
    <w:p/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3035935" cy="3035935"/>
            <wp:effectExtent l="0" t="0" r="12065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303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/>
          <w:i w:val="0"/>
          <w:iCs/>
          <w:sz w:val="24"/>
          <w:szCs w:val="24"/>
          <w:lang w:val="en-US"/>
        </w:rPr>
      </w:pPr>
      <w:r>
        <w:rPr>
          <w:rFonts w:hint="default" w:ascii="Times New Roman Bold" w:hAnsi="Times New Roman Bold" w:eastAsia="宋体" w:cs="Times New Roman Bold"/>
          <w:b/>
          <w:bCs w:val="0"/>
          <w:i w:val="0"/>
          <w:iCs/>
          <w:kern w:val="2"/>
          <w:sz w:val="24"/>
          <w:szCs w:val="24"/>
          <w:lang w:val="en-US" w:eastAsia="zh-CN" w:bidi="ar"/>
        </w:rPr>
        <w:t>F</w:t>
      </w:r>
      <w:r>
        <w:rPr>
          <w:rFonts w:hint="default" w:ascii="Times New Roman Bold" w:hAnsi="Times New Roman Bold" w:eastAsia="宋体" w:cs="Times New Roman Bold"/>
          <w:b/>
          <w:bCs w:val="0"/>
          <w:i w:val="0"/>
          <w:iCs/>
          <w:kern w:val="2"/>
          <w:sz w:val="24"/>
          <w:szCs w:val="24"/>
          <w:lang w:eastAsia="zh-CN" w:bidi="ar"/>
        </w:rPr>
        <w:t>IGURE</w:t>
      </w:r>
      <w:r>
        <w:rPr>
          <w:rFonts w:hint="default" w:ascii="Times New Roman Bold" w:hAnsi="Times New Roman Bold" w:eastAsia="宋体" w:cs="Times New Roman Bold"/>
          <w:b/>
          <w:bCs w:val="0"/>
          <w:i w:val="0"/>
          <w:iCs/>
          <w:kern w:val="2"/>
          <w:sz w:val="24"/>
          <w:szCs w:val="24"/>
          <w:lang w:val="en-US" w:eastAsia="zh-CN" w:bidi="ar"/>
        </w:rPr>
        <w:t xml:space="preserve"> S2. </w:t>
      </w:r>
      <w:r>
        <w:rPr>
          <w:rFonts w:hint="default" w:ascii="Times New Roman" w:hAnsi="Times New Roman" w:eastAsia="宋体" w:cs="Times New Roman"/>
          <w:b w:val="0"/>
          <w:bCs/>
          <w:i w:val="0"/>
          <w:iCs/>
          <w:kern w:val="2"/>
          <w:sz w:val="24"/>
          <w:szCs w:val="24"/>
          <w:lang w:val="en-US" w:eastAsia="zh-CN" w:bidi="ar"/>
        </w:rPr>
        <w:t>Transcriptional level of CTSB gene in different organs and tissues in rabbits.</w:t>
      </w:r>
    </w:p>
    <w:p/>
    <w:p/>
    <w:p/>
    <w:p/>
    <w:p/>
    <w:p/>
    <w:p/>
    <w:p/>
    <w:p/>
    <w:p/>
    <w:p/>
    <w:p/>
    <w:p/>
    <w:p/>
    <w:p>
      <w:r>
        <w:drawing>
          <wp:inline distT="0" distB="0" distL="114300" distR="114300">
            <wp:extent cx="5118100" cy="3784600"/>
            <wp:effectExtent l="0" t="0" r="1270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18100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"/>
        </w:rPr>
        <w:t>F</w:t>
      </w:r>
      <w:r>
        <w:rPr>
          <w:rFonts w:hint="default" w:eastAsia="宋体" w:cs="Times New Roman"/>
          <w:b/>
          <w:kern w:val="2"/>
          <w:sz w:val="24"/>
          <w:szCs w:val="24"/>
          <w:lang w:eastAsia="zh-CN" w:bidi="ar"/>
        </w:rPr>
        <w:t>IGURE</w:t>
      </w: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"/>
        </w:rPr>
        <w:t xml:space="preserve"> S3.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geNorm results from the assessment of reference genes. </w:t>
      </w:r>
    </w:p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"/>
        </w:rPr>
        <w:t>T</w:t>
      </w:r>
      <w:r>
        <w:rPr>
          <w:rFonts w:hint="default" w:eastAsia="宋体" w:cs="Times New Roman"/>
          <w:b/>
          <w:kern w:val="2"/>
          <w:sz w:val="24"/>
          <w:szCs w:val="24"/>
          <w:lang w:eastAsia="zh-CN" w:bidi="ar"/>
        </w:rPr>
        <w:t>ABLE</w:t>
      </w:r>
      <w:bookmarkStart w:id="1" w:name="_GoBack"/>
      <w:bookmarkEnd w:id="1"/>
      <w:r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"/>
        </w:rPr>
        <w:t xml:space="preserve"> S1.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 xml:space="preserve"> Name, accession number, sequences, amplicon length of primer pairs used in the present experiment.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</w:p>
    <w:tbl>
      <w:tblPr>
        <w:tblStyle w:val="29"/>
        <w:tblW w:w="8795" w:type="dxa"/>
        <w:jc w:val="center"/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8"/>
        <w:gridCol w:w="1722"/>
        <w:gridCol w:w="933"/>
        <w:gridCol w:w="3179"/>
        <w:gridCol w:w="543"/>
        <w:tblGridChange w:id="0">
          <w:tblGrid>
            <w:gridCol w:w="2418"/>
            <w:gridCol w:w="1594"/>
            <w:gridCol w:w="1594"/>
            <w:gridCol w:w="1594"/>
            <w:gridCol w:w="1594"/>
          </w:tblGrid>
        </w:tblGridChange>
      </w:tblGrid>
      <w:tr>
        <w:trPr>
          <w:trHeight w:val="20" w:hRule="atLeast"/>
          <w:jc w:val="center"/>
        </w:trPr>
        <w:tc>
          <w:tcPr>
            <w:tcW w:w="241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Gene name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Symbol/Acc#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Primers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Sequence(5' to 3')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bp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BCL2 Associated Agonist of Cell Death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BAD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F.436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CGAAGGATGAGCGACGAGTT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144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XM_002724450.3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R.579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GCCTCCTTTCCCCAAATTGC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BCL2 Associated X, Apoptosis Regulator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BAX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F.11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CCGGGGAGCAGTCCAGA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167</w:t>
            </w:r>
          </w:p>
        </w:tc>
      </w:tr>
      <w:tr>
        <w:tblPrEx>
          <w:shd w:val="clear"/>
        </w:tblPrEx>
        <w:trPr>
          <w:trHeight w:val="332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XM_002723696.3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R.177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CAGCTTCTTGGTGGACTCGT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B-cell lymphoma 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BCL2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F.492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GACTGAGTACCTGAACCGGC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166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XM_008261439.2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R.65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GAGGGTGATGCAAGCTCCTA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BCL2-like protein 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BCL2L1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F.449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CACCCCAGGGACAGCATATC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160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XM_008256141.2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R.608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CGCGATCCGACTCACCAATA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BCL-2-like protein 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BCL2L2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F.369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CGCTTCCGGCAAAACTTCTC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173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XM_008269377.2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R.541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TTGTTGACGCTCTCAGCACA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BH3 Interacting Domain Death Agonist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BID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F.415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GATGACGAACTGCAGACGGA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226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XM_017338485.1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R.640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TGTGGCCATCCATTCACTCC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Bone Morphogenetic Protein 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BMP2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F.483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TCCCCCGGAGGAGTTTATCA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91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NM_001082650.1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R.573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ATGATGGAAACCGCTGTCGT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Caspase 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CASP3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ATGGAGAACAACGAAACCTCC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191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Segoe UI" w:cs="Times New Roman"/>
                <w:bCs/>
                <w:kern w:val="0"/>
                <w:sz w:val="18"/>
                <w:szCs w:val="18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NM_001082117.1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R.191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CGGGACGACATTCCAGTGTT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Caspase 6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CASP6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F.175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GGCACTAATGCAGACCGAGA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271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XM_017347353.1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R.445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TGGGTTTTCCAACCAGGCTT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iCs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Cyclin D1 gene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CCND1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F.44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GCAGCCCTTTCAATGCTGAC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244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XM_017348091.1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R.697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CTTTGGACGCTCTGACCAGT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CD36 Molecule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CD36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F.306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AACTGTGGTCTTATCGCGGG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162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XM_008258301.2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R.467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TGTGCCTGTTTTCACCCAGT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CD9 Molecule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CD9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F.12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GGTGCTCAGAACTAACGCCT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94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XM_017343606.1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R.105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CTGAGAGTCGAATCGGAGCC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Cathepsin B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CTSB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F.208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CGCAGAGTTGAGTTCGCTGA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107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XM_002709436.3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R.314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CAGGACCCCTGGTCTCTGAT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 Italic" w:hAnsi="Times New Roman Italic" w:eastAsia="Times New Roman Italic" w:cs="Times New Roman Italic"/>
                <w:i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XM_002709436.3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R.1142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ACAGCGGGTTAGATCTGTCG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Cathepsin S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CTSS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F.862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GGCGTACTAGCAGTTGGCTAT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73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XM_002715580.3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R.934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GGATGCCCCAGCTGTTTTTC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iCs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Cytochrome P450 Family 11 Subfamily A Member 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 Italic" w:hAnsi="Times New Roman Italic" w:eastAsia="Times New Roman Italic" w:cs="Times New Roman Italic"/>
                <w:i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CYP11A1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F.1259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GCCGGGAACCTAGCTTCTTT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155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XM_008253734.2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R.1413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GATGCTCATCTCCACCTCGG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Cytochrome P450 Family 19 Subfamily A Member 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iCs w:val="0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CYP19A1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F.463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CCTGGGCTTGTTCAGATGGT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171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NM_001170921.2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R.633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ACTTTCGTCCATGGGGATGC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Glyceraldehyde-3-phosphate dehydrogenase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GAPDH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F.80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GAAGGTCGGAGTGAACGGAT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212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NM_001082253.1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R.291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TGATGGCCTTCCCGTTGATG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Growth differentiation factor-9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GDF9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F.115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GCGTTGGAGTCTGAGGTTGA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190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NM_001171350.1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R.304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TCCCCTCCTTGGTAGCGTAA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Glycoprotein Nmb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GPNMB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F.1299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TCTCTGTCCCTGGTAGAGCC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113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XM_008261526.2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E.1411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TCTGTACACGTAGAGGGCGA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Integrative and Conjugative Elements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ICE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F.5959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CAAAGCCATAGCCGATGCAC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243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XM_008251200.1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R.6201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AGGGCGTGGATGTAACTGTG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Lipoprotein Lipase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LPL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F.1087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TCAACCCGGGTGTAACATCG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186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NM_001177330.1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R.1272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AGCCCCTTCTCAAAGGCTTC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Induced myeloid leukemia cell differentiation protein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MCL1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F.599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GCCAGTAAGGTCCCTAGCAC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98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XM_002715585.3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R.696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ATAATCTCCAGCGACTGCCG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NADP-dependent malic enzyme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i/>
                <w:iCs w:val="0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i/>
                <w:iCs w:val="0"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ME1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F.1617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CTGGCCAAGGCAACAATTCC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164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XM_002714552.3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R.1780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222222"/>
                <w:sz w:val="18"/>
                <w:szCs w:val="18"/>
                <w:bdr w:val="none" w:color="auto" w:sz="0" w:space="0"/>
                <w:shd w:val="clear" w:fill="FFFFFF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222222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CAGGGGAGGATAAAGTCGGC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iCs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Notch Receptor 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NOTCH2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F.3798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CAACCGCCAGTGTGTTCAAG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232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XM_017345939.1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R.4029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CTTCCGCTTTCGTTTTGCCA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cs="Times New Roman"/>
                <w:iCs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Cs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Proliferating Cell Nuclear Antigen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PCNA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F.432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TGCACGTATATGCCGAGACC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240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XM_017341762.1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R.671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bdr w:val="none" w:color="auto" w:sz="0" w:space="0"/>
                <w:lang w:val="en-US" w:eastAsia="zh-CN" w:bidi="ar"/>
              </w:rPr>
              <w:t>GTAGGAGAAAGCGGAGTGGC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418" w:type="dxa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left"/>
              <w:rPr>
                <w:rFonts w:hint="default" w:ascii="Times New Roman" w:hAnsi="Times New Roman" w:eastAsia="Segoe UI" w:cs="Times New Roman"/>
                <w:bCs/>
                <w:kern w:val="0"/>
                <w:sz w:val="18"/>
                <w:szCs w:val="18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Segoe UI" w:cs="Times New Roman"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Steroidogenic Acute Regulatory Protein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i/>
                <w:iCs w:val="0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Segoe UI" w:cs="Times New Roman"/>
                <w:bCs/>
                <w:i/>
                <w:iCs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STAR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F.477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GATTGGGAAGGACACGGTCA</w:t>
            </w:r>
          </w:p>
        </w:tc>
        <w:tc>
          <w:tcPr>
            <w:tcW w:w="0" w:type="auto"/>
            <w:vMerge w:val="restart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179</w:t>
            </w:r>
          </w:p>
        </w:tc>
      </w:tr>
      <w:tr>
        <w:tblPrEx>
          <w:shd w:val="clear"/>
        </w:tblPrEx>
        <w:trPr>
          <w:trHeight w:val="20" w:hRule="atLeast"/>
          <w:jc w:val="center"/>
        </w:trPr>
        <w:tc>
          <w:tcPr>
            <w:tcW w:w="2418" w:type="dxa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2"/>
                <w:sz w:val="18"/>
                <w:szCs w:val="18"/>
                <w:bdr w:val="none" w:color="auto" w:sz="0" w:space="0"/>
                <w:shd w:val="clear" w:fill="FFFFFF"/>
                <w:lang w:val="en-US" w:eastAsia="zh-CN" w:bidi="ar"/>
              </w:rPr>
              <w:t>XM_017350353.1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R.655</w:t>
            </w:r>
          </w:p>
        </w:tc>
        <w:tc>
          <w:tcPr>
            <w:tcW w:w="0" w:type="auto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222222"/>
                <w:kern w:val="0"/>
                <w:sz w:val="18"/>
                <w:szCs w:val="18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CACCCCTGATGACGCCTTT</w:t>
            </w:r>
          </w:p>
        </w:tc>
        <w:tc>
          <w:tcPr>
            <w:tcW w:w="0" w:type="auto"/>
            <w:vMerge w:val="continue"/>
            <w:shd w:val="clear"/>
            <w:tcMar>
              <w:top w:w="15" w:type="dxa"/>
              <w:bottom w:w="15" w:type="dxa"/>
            </w:tcMar>
            <w:vAlign w:val="center"/>
          </w:tcPr>
          <w:p>
            <w:pPr>
              <w:rPr>
                <w:rFonts w:hint="default" w:ascii="Calibri" w:hAnsi="Calibri" w:cs="Times New Roman"/>
                <w:sz w:val="20"/>
                <w:szCs w:val="20"/>
              </w:rPr>
            </w:pPr>
          </w:p>
        </w:tc>
      </w:tr>
    </w:tbl>
    <w:p>
      <w:pPr>
        <w:spacing w:before="240"/>
      </w:pPr>
      <w:bookmarkStart w:id="0" w:name="_Hlk78298073"/>
      <w:bookmarkEnd w:id="0"/>
    </w:p>
    <w:sectPr>
      <w:headerReference r:id="rId4" w:type="first"/>
      <w:footerReference r:id="rId5" w:type="default"/>
      <w:headerReference r:id="rId3" w:type="even"/>
      <w:footerReference r:id="rId6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@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altName w:val="Kingsoft Math"/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Regular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Arial Bold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Times New Roman Italic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Segoe UI">
    <w:altName w:val="苹方-简"/>
    <w:panose1 w:val="020B0502040204020203"/>
    <w:charset w:val="00"/>
    <w:family w:val="auto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default"/>
    <w:sig w:usb0="E0002AEF" w:usb1="C0007841" w:usb2="00000009" w:usb3="00000000" w:csb0="400001FF" w:csb1="FFFF0000"/>
  </w:font>
  <w:font w:name="Times New Roman Bold Italic">
    <w:panose1 w:val="020208030705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46976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Fy56YYVAgAAJw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TFdEItIAAAAEAQAADwAAAAAAAAABACAAAAA4AAAAZHJzL2Rvd25yZXYueG1sUEsBAhQAFAAAAAgA&#10;h07iQJJ3p+cVAgAAJQQAAA4AAAAAAAAAAQAgAAAAN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75"/>
  <w:bordersDoNotSurroundHeader w:val="1"/>
  <w:bordersDoNotSurroundFooter w:val="1"/>
  <w:attachedTemplate r:id="rId1"/>
  <w:documentProtection w:enforcement="0"/>
  <w:defaultTabStop w:val="720"/>
  <w:evenAndOddHeaders w:val="1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CEF5FBAE"/>
    <w:rsid w:val="F73E221A"/>
    <w:rsid w:val="FFCE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0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annotation subject"/>
    <w:basedOn w:val="9"/>
    <w:next w:val="9"/>
    <w:link w:val="38"/>
    <w:unhideWhenUsed/>
    <w:qFormat/>
    <w:uiPriority w:val="99"/>
    <w:rPr>
      <w:b/>
      <w:bCs/>
    </w:rPr>
  </w:style>
  <w:style w:type="paragraph" w:styleId="9">
    <w:name w:val="annotation text"/>
    <w:basedOn w:val="1"/>
    <w:link w:val="37"/>
    <w:unhideWhenUsed/>
    <w:qFormat/>
    <w:uiPriority w:val="99"/>
    <w:rPr>
      <w:sz w:val="20"/>
      <w:szCs w:val="20"/>
    </w:rPr>
  </w:style>
  <w:style w:type="paragraph" w:styleId="10">
    <w:name w:val="caption"/>
    <w:basedOn w:val="1"/>
    <w:next w:val="11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customStyle="1" w:styleId="11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2">
    <w:name w:val="endnote text"/>
    <w:basedOn w:val="1"/>
    <w:link w:val="39"/>
    <w:unhideWhenUsed/>
    <w:qFormat/>
    <w:uiPriority w:val="99"/>
    <w:pPr>
      <w:spacing w:after="0"/>
    </w:pPr>
    <w:rPr>
      <w:sz w:val="20"/>
      <w:szCs w:val="20"/>
    </w:rPr>
  </w:style>
  <w:style w:type="paragraph" w:styleId="13">
    <w:name w:val="Balloon Text"/>
    <w:basedOn w:val="1"/>
    <w:link w:val="35"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4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5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6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7">
    <w:name w:val="footnote text"/>
    <w:basedOn w:val="1"/>
    <w:link w:val="41"/>
    <w:unhideWhenUsed/>
    <w:qFormat/>
    <w:uiPriority w:val="99"/>
    <w:pPr>
      <w:spacing w:after="0"/>
    </w:pPr>
    <w:rPr>
      <w:sz w:val="20"/>
      <w:szCs w:val="20"/>
    </w:rPr>
  </w:style>
  <w:style w:type="paragraph" w:styleId="1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9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styleId="21">
    <w:name w:val="Strong"/>
    <w:basedOn w:val="20"/>
    <w:qFormat/>
    <w:uiPriority w:val="22"/>
    <w:rPr>
      <w:rFonts w:ascii="Times New Roman" w:hAnsi="Times New Roman"/>
      <w:b/>
      <w:bCs/>
    </w:rPr>
  </w:style>
  <w:style w:type="character" w:styleId="22">
    <w:name w:val="endnote reference"/>
    <w:basedOn w:val="20"/>
    <w:unhideWhenUsed/>
    <w:qFormat/>
    <w:uiPriority w:val="99"/>
    <w:rPr>
      <w:vertAlign w:val="superscript"/>
    </w:rPr>
  </w:style>
  <w:style w:type="character" w:styleId="23">
    <w:name w:val="FollowedHyperlink"/>
    <w:basedOn w:val="2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Emphasis"/>
    <w:basedOn w:val="20"/>
    <w:qFormat/>
    <w:uiPriority w:val="20"/>
    <w:rPr>
      <w:rFonts w:ascii="Times New Roman" w:hAnsi="Times New Roman"/>
      <w:i/>
      <w:iCs/>
    </w:rPr>
  </w:style>
  <w:style w:type="character" w:styleId="25">
    <w:name w:val="line number"/>
    <w:basedOn w:val="20"/>
    <w:unhideWhenUsed/>
    <w:qFormat/>
    <w:uiPriority w:val="99"/>
  </w:style>
  <w:style w:type="character" w:styleId="26">
    <w:name w:val="Hyperlink"/>
    <w:basedOn w:val="20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0"/>
    <w:unhideWhenUsed/>
    <w:qFormat/>
    <w:uiPriority w:val="99"/>
    <w:rPr>
      <w:sz w:val="16"/>
      <w:szCs w:val="16"/>
    </w:rPr>
  </w:style>
  <w:style w:type="character" w:styleId="28">
    <w:name w:val="footnote reference"/>
    <w:basedOn w:val="20"/>
    <w:unhideWhenUsed/>
    <w:qFormat/>
    <w:uiPriority w:val="99"/>
    <w:rPr>
      <w:vertAlign w:val="superscript"/>
    </w:rPr>
  </w:style>
  <w:style w:type="table" w:styleId="30">
    <w:name w:val="Table Grid"/>
    <w:basedOn w:val="29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1">
    <w:name w:val="Heading 1 Char"/>
    <w:basedOn w:val="20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0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0"/>
    <w:link w:val="16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6"/>
    <w:next w:val="1"/>
    <w:qFormat/>
    <w:uiPriority w:val="1"/>
  </w:style>
  <w:style w:type="character" w:customStyle="1" w:styleId="35">
    <w:name w:val="Balloon Text Char"/>
    <w:basedOn w:val="20"/>
    <w:link w:val="13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0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0"/>
    <w:link w:val="9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8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0"/>
    <w:link w:val="12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0"/>
    <w:link w:val="14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0"/>
    <w:link w:val="17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0"/>
    <w:link w:val="15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0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0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0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0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0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customStyle="1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0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0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0"/>
    <w:link w:val="19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9"/>
    <w:next w:val="19"/>
    <w:qFormat/>
    <w:uiPriority w:val="0"/>
    <w:pPr>
      <w:spacing w:after="120"/>
    </w:pPr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ushifei/Library/Containers/com.kingsoft.wpsoffice.mac/Data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</Pages>
  <Words>247</Words>
  <Characters>1410</Characters>
  <Lines>11</Lines>
  <Paragraphs>3</Paragraphs>
  <ScaleCrop>false</ScaleCrop>
  <LinksUpToDate>false</LinksUpToDate>
  <CharactersWithSpaces>1654</CharactersWithSpaces>
  <Application>WPS Office_2.4.0.3964_F1E327BC-269C-435d-A152-05C5408002CA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2018-11-23T16:58:00Z</dcterms:created>
  <dc:creator>Frontiers Media SA</dc:creator>
  <cp:lastModifiedBy>gushifei</cp:lastModifiedBy>
  <cp:lastPrinted>2013-10-03T20:51:00Z</cp:lastPrinted>
  <dcterms:modified xsi:type="dcterms:W3CDTF">2021-11-21T12:36:03Z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