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120" w:before="240" w:lineRule="auto"/>
        <w:jc w:val="center"/>
        <w:rPr>
          <w:b w:val="1"/>
          <w:i w:val="1"/>
          <w:color w:val="000000"/>
          <w:sz w:val="32"/>
          <w:szCs w:val="32"/>
        </w:rPr>
      </w:pPr>
      <w:bookmarkStart w:colFirst="0" w:colLast="0" w:name="_heading=h.gjdgxs" w:id="0"/>
      <w:bookmarkEnd w:id="0"/>
      <w:r w:rsidDel="00000000" w:rsidR="00000000" w:rsidRPr="00000000">
        <w:rPr>
          <w:b w:val="1"/>
          <w:i w:val="1"/>
          <w:color w:val="000000"/>
          <w:sz w:val="32"/>
          <w:szCs w:val="32"/>
          <w:rtl w:val="0"/>
        </w:rPr>
        <w:t xml:space="preserve">Supplementary Material</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120" w:before="240" w:lineRule="auto"/>
        <w:jc w:val="center"/>
        <w:rPr>
          <w:b w:val="1"/>
          <w:i w:val="1"/>
          <w:color w:val="000000"/>
          <w:sz w:val="32"/>
          <w:szCs w:val="32"/>
        </w:rPr>
      </w:pPr>
      <w:r w:rsidDel="00000000" w:rsidR="00000000" w:rsidRPr="00000000">
        <w:rPr>
          <w:rtl w:val="0"/>
        </w:rPr>
      </w:r>
    </w:p>
    <w:p w:rsidR="00000000" w:rsidDel="00000000" w:rsidP="00000000" w:rsidRDefault="00000000" w:rsidRPr="00000000" w14:paraId="00000003">
      <w:pPr>
        <w:rPr>
          <w:b w:val="1"/>
          <w:color w:val="000000"/>
        </w:rPr>
      </w:pPr>
      <w:r w:rsidDel="00000000" w:rsidR="00000000" w:rsidRPr="00000000">
        <w:rPr>
          <w:b w:val="1"/>
          <w:color w:val="000000"/>
          <w:rtl w:val="0"/>
        </w:rPr>
        <w:t xml:space="preserve">Contents</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spacing w:before="240" w:lineRule="auto"/>
        <w:rPr/>
      </w:pPr>
      <w:r w:rsidDel="00000000" w:rsidR="00000000" w:rsidRPr="00000000">
        <w:rPr>
          <w:b w:val="1"/>
          <w:rtl w:val="0"/>
        </w:rPr>
        <w:t xml:space="preserve">Table S1. </w:t>
      </w:r>
      <w:r w:rsidDel="00000000" w:rsidR="00000000" w:rsidRPr="00000000">
        <w:rPr>
          <w:rtl w:val="0"/>
        </w:rPr>
        <w:t xml:space="preserve">Search strategy by database.</w:t>
      </w:r>
    </w:p>
    <w:p w:rsidR="00000000" w:rsidDel="00000000" w:rsidP="00000000" w:rsidRDefault="00000000" w:rsidRPr="00000000" w14:paraId="00000006">
      <w:pPr>
        <w:spacing w:before="240" w:lineRule="auto"/>
        <w:rPr/>
      </w:pPr>
      <w:r w:rsidDel="00000000" w:rsidR="00000000" w:rsidRPr="00000000">
        <w:rPr>
          <w:b w:val="1"/>
          <w:rtl w:val="0"/>
        </w:rPr>
        <w:t xml:space="preserve">Table S2.</w:t>
      </w:r>
      <w:r w:rsidDel="00000000" w:rsidR="00000000" w:rsidRPr="00000000">
        <w:rPr>
          <w:rtl w:val="0"/>
        </w:rPr>
        <w:t xml:space="preserve"> List of studies excluded after full reading.</w:t>
      </w:r>
    </w:p>
    <w:p w:rsidR="00000000" w:rsidDel="00000000" w:rsidP="00000000" w:rsidRDefault="00000000" w:rsidRPr="00000000" w14:paraId="00000007">
      <w:pPr>
        <w:spacing w:before="240" w:lineRule="auto"/>
        <w:rPr/>
      </w:pPr>
      <w:r w:rsidDel="00000000" w:rsidR="00000000" w:rsidRPr="00000000">
        <w:rPr>
          <w:b w:val="1"/>
          <w:rtl w:val="0"/>
        </w:rPr>
        <w:t xml:space="preserve">Table S3. </w:t>
      </w:r>
      <w:r w:rsidDel="00000000" w:rsidR="00000000" w:rsidRPr="00000000">
        <w:rPr>
          <w:rtl w:val="0"/>
        </w:rPr>
        <w:t xml:space="preserve">Additional characteristics of the included studies.</w:t>
      </w:r>
    </w:p>
    <w:p w:rsidR="00000000" w:rsidDel="00000000" w:rsidP="00000000" w:rsidRDefault="00000000" w:rsidRPr="00000000" w14:paraId="00000008">
      <w:pPr>
        <w:spacing w:before="240" w:lineRule="auto"/>
        <w:rPr/>
      </w:pPr>
      <w:r w:rsidDel="00000000" w:rsidR="00000000" w:rsidRPr="00000000">
        <w:rPr>
          <w:b w:val="1"/>
          <w:rtl w:val="0"/>
        </w:rPr>
        <w:t xml:space="preserve">Table S4.</w:t>
      </w:r>
      <w:r w:rsidDel="00000000" w:rsidR="00000000" w:rsidRPr="00000000">
        <w:rPr>
          <w:rtl w:val="0"/>
        </w:rPr>
        <w:t xml:space="preserve"> Methodological quality assessment according to the Newcastle-Ottawa Scale.</w:t>
      </w:r>
    </w:p>
    <w:p w:rsidR="00000000" w:rsidDel="00000000" w:rsidP="00000000" w:rsidRDefault="00000000" w:rsidRPr="00000000" w14:paraId="00000009">
      <w:pPr>
        <w:spacing w:before="240" w:lineRule="auto"/>
        <w:rPr/>
      </w:pPr>
      <w:r w:rsidDel="00000000" w:rsidR="00000000" w:rsidRPr="00000000">
        <w:rPr>
          <w:b w:val="1"/>
          <w:rtl w:val="0"/>
        </w:rPr>
        <w:t xml:space="preserve">Figure S1.</w:t>
      </w:r>
      <w:r w:rsidDel="00000000" w:rsidR="00000000" w:rsidRPr="00000000">
        <w:rPr>
          <w:rtl w:val="0"/>
        </w:rPr>
        <w:t xml:space="preserve"> Funnel plot of studies that compared the safety of TNFi versus non-TNFi.</w:t>
      </w:r>
    </w:p>
    <w:p w:rsidR="00000000" w:rsidDel="00000000" w:rsidP="00000000" w:rsidRDefault="00000000" w:rsidRPr="00000000" w14:paraId="0000000A">
      <w:pPr>
        <w:spacing w:before="240" w:lineRule="auto"/>
        <w:rPr/>
      </w:pPr>
      <w:r w:rsidDel="00000000" w:rsidR="00000000" w:rsidRPr="00000000">
        <w:rPr>
          <w:b w:val="1"/>
          <w:rtl w:val="0"/>
        </w:rPr>
        <w:t xml:space="preserve">Figure S2. </w:t>
      </w:r>
      <w:r w:rsidDel="00000000" w:rsidR="00000000" w:rsidRPr="00000000">
        <w:rPr>
          <w:rtl w:val="0"/>
        </w:rPr>
        <w:t xml:space="preserve">Funnel plot of studies that compared the safety of TNFi versus csDMARDs. </w:t>
      </w:r>
    </w:p>
    <w:p w:rsidR="00000000" w:rsidDel="00000000" w:rsidP="00000000" w:rsidRDefault="00000000" w:rsidRPr="00000000" w14:paraId="0000000B">
      <w:pPr>
        <w:spacing w:before="240" w:lineRule="auto"/>
        <w:rPr/>
      </w:pPr>
      <w:r w:rsidDel="00000000" w:rsidR="00000000" w:rsidRPr="00000000">
        <w:rPr>
          <w:b w:val="1"/>
          <w:rtl w:val="0"/>
        </w:rPr>
        <w:t xml:space="preserve">Figure S3.</w:t>
      </w:r>
      <w:r w:rsidDel="00000000" w:rsidR="00000000" w:rsidRPr="00000000">
        <w:rPr>
          <w:rtl w:val="0"/>
        </w:rPr>
        <w:t xml:space="preserve"> Funnel plot of studies that compared the safety of bDMARDs versus csDMARDs. </w:t>
      </w:r>
    </w:p>
    <w:p w:rsidR="00000000" w:rsidDel="00000000" w:rsidP="00000000" w:rsidRDefault="00000000" w:rsidRPr="00000000" w14:paraId="0000000C">
      <w:pPr>
        <w:spacing w:before="240" w:lineRule="auto"/>
        <w:rPr/>
      </w:pPr>
      <w:r w:rsidDel="00000000" w:rsidR="00000000" w:rsidRPr="00000000">
        <w:rPr>
          <w:b w:val="1"/>
          <w:rtl w:val="0"/>
        </w:rPr>
        <w:t xml:space="preserve">Figure S4. </w:t>
      </w:r>
      <w:r w:rsidDel="00000000" w:rsidR="00000000" w:rsidRPr="00000000">
        <w:rPr>
          <w:rtl w:val="0"/>
        </w:rPr>
        <w:t xml:space="preserve">GRADE assessment of the methodological quality of studies that evaluated TNFi versus non-TNFi. </w:t>
      </w:r>
    </w:p>
    <w:p w:rsidR="00000000" w:rsidDel="00000000" w:rsidP="00000000" w:rsidRDefault="00000000" w:rsidRPr="00000000" w14:paraId="0000000D">
      <w:pPr>
        <w:spacing w:before="240" w:lineRule="auto"/>
        <w:rPr/>
      </w:pPr>
      <w:r w:rsidDel="00000000" w:rsidR="00000000" w:rsidRPr="00000000">
        <w:rPr>
          <w:b w:val="1"/>
          <w:rtl w:val="0"/>
        </w:rPr>
        <w:t xml:space="preserve">Figure S5. </w:t>
      </w:r>
      <w:r w:rsidDel="00000000" w:rsidR="00000000" w:rsidRPr="00000000">
        <w:rPr>
          <w:rtl w:val="0"/>
        </w:rPr>
        <w:t xml:space="preserve">GRADE assessment of the methodological quality of studies that evaluated TNFi versus csDMARDs. </w:t>
      </w:r>
    </w:p>
    <w:p w:rsidR="00000000" w:rsidDel="00000000" w:rsidP="00000000" w:rsidRDefault="00000000" w:rsidRPr="00000000" w14:paraId="0000000E">
      <w:pPr>
        <w:spacing w:before="240" w:lineRule="auto"/>
        <w:rPr/>
      </w:pPr>
      <w:r w:rsidDel="00000000" w:rsidR="00000000" w:rsidRPr="00000000">
        <w:rPr>
          <w:b w:val="1"/>
          <w:rtl w:val="0"/>
        </w:rPr>
        <w:t xml:space="preserve">Figure S6. </w:t>
      </w:r>
      <w:r w:rsidDel="00000000" w:rsidR="00000000" w:rsidRPr="00000000">
        <w:rPr>
          <w:rtl w:val="0"/>
        </w:rPr>
        <w:t xml:space="preserve">GRADE assessment of the methodological quality of studies that evaluated bDMARDs versus csDMARDs. </w:t>
      </w:r>
    </w:p>
    <w:p w:rsidR="00000000" w:rsidDel="00000000" w:rsidP="00000000" w:rsidRDefault="00000000" w:rsidRPr="00000000" w14:paraId="0000000F">
      <w:pPr>
        <w:spacing w:before="240" w:lineRule="auto"/>
        <w:rPr/>
      </w:pPr>
      <w:r w:rsidDel="00000000" w:rsidR="00000000" w:rsidRPr="00000000">
        <w:rPr>
          <w:b w:val="1"/>
          <w:rtl w:val="0"/>
        </w:rPr>
        <w:t xml:space="preserve">Figure S7. </w:t>
      </w:r>
      <w:r w:rsidDel="00000000" w:rsidR="00000000" w:rsidRPr="00000000">
        <w:rPr>
          <w:rtl w:val="0"/>
        </w:rPr>
        <w:t xml:space="preserve">GRADE assessment of the methodological quality of studies that evaluated Abatacept versus TNFi. </w:t>
      </w:r>
    </w:p>
    <w:p w:rsidR="00000000" w:rsidDel="00000000" w:rsidP="00000000" w:rsidRDefault="00000000" w:rsidRPr="00000000" w14:paraId="00000010">
      <w:pPr>
        <w:spacing w:before="240" w:lineRule="auto"/>
        <w:rPr/>
      </w:pPr>
      <w:r w:rsidDel="00000000" w:rsidR="00000000" w:rsidRPr="00000000">
        <w:rPr>
          <w:b w:val="1"/>
          <w:rtl w:val="0"/>
        </w:rPr>
        <w:t xml:space="preserve">Figure S8. </w:t>
      </w:r>
      <w:r w:rsidDel="00000000" w:rsidR="00000000" w:rsidRPr="00000000">
        <w:rPr>
          <w:rtl w:val="0"/>
        </w:rPr>
        <w:t xml:space="preserve">GRADE assessment of the methodological quality of studies that evaluated TNFi versus JAKi.</w:t>
      </w:r>
    </w:p>
    <w:p w:rsidR="00000000" w:rsidDel="00000000" w:rsidP="00000000" w:rsidRDefault="00000000" w:rsidRPr="00000000" w14:paraId="00000011">
      <w:pPr>
        <w:spacing w:before="240" w:lineRule="auto"/>
        <w:rPr/>
      </w:pPr>
      <w:r w:rsidDel="00000000" w:rsidR="00000000" w:rsidRPr="00000000">
        <w:rPr>
          <w:rtl w:val="0"/>
        </w:rPr>
      </w:r>
    </w:p>
    <w:p w:rsidR="00000000" w:rsidDel="00000000" w:rsidP="00000000" w:rsidRDefault="00000000" w:rsidRPr="00000000" w14:paraId="00000012">
      <w:pPr>
        <w:spacing w:before="240" w:lineRule="auto"/>
        <w:rPr/>
      </w:pPr>
      <w:r w:rsidDel="00000000" w:rsidR="00000000" w:rsidRPr="00000000">
        <w:rPr>
          <w:rtl w:val="0"/>
        </w:rPr>
      </w:r>
    </w:p>
    <w:p w:rsidR="00000000" w:rsidDel="00000000" w:rsidP="00000000" w:rsidRDefault="00000000" w:rsidRPr="00000000" w14:paraId="00000013">
      <w:pPr>
        <w:spacing w:before="240" w:lineRule="auto"/>
        <w:rPr/>
      </w:pPr>
      <w:r w:rsidDel="00000000" w:rsidR="00000000" w:rsidRPr="00000000">
        <w:rPr>
          <w:rtl w:val="0"/>
        </w:rPr>
      </w:r>
    </w:p>
    <w:p w:rsidR="00000000" w:rsidDel="00000000" w:rsidP="00000000" w:rsidRDefault="00000000" w:rsidRPr="00000000" w14:paraId="00000014">
      <w:pPr>
        <w:spacing w:before="240" w:lineRule="auto"/>
        <w:rPr/>
      </w:pPr>
      <w:r w:rsidDel="00000000" w:rsidR="00000000" w:rsidRPr="00000000">
        <w:rPr>
          <w:rtl w:val="0"/>
        </w:rPr>
      </w:r>
    </w:p>
    <w:p w:rsidR="00000000" w:rsidDel="00000000" w:rsidP="00000000" w:rsidRDefault="00000000" w:rsidRPr="00000000" w14:paraId="00000015">
      <w:pPr>
        <w:rPr>
          <w:b w:val="1"/>
          <w:color w:val="000000"/>
          <w:sz w:val="28"/>
          <w:szCs w:val="28"/>
        </w:rPr>
        <w:sectPr>
          <w:headerReference r:id="rId7" w:type="first"/>
          <w:headerReference r:id="rId8" w:type="even"/>
          <w:footerReference r:id="rId9" w:type="default"/>
          <w:footerReference r:id="rId10" w:type="first"/>
          <w:footerReference r:id="rId11" w:type="even"/>
          <w:pgSz w:h="15840" w:w="12240" w:orient="portrait"/>
          <w:pgMar w:bottom="720" w:top="720" w:left="720" w:right="720"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16">
      <w:pPr>
        <w:rPr>
          <w:b w:val="1"/>
          <w:i w:val="1"/>
          <w:color w:val="000000"/>
          <w:sz w:val="32"/>
          <w:szCs w:val="32"/>
        </w:rPr>
      </w:pPr>
      <w:r w:rsidDel="00000000" w:rsidR="00000000" w:rsidRPr="00000000">
        <w:rPr>
          <w:rtl w:val="0"/>
        </w:rPr>
      </w:r>
    </w:p>
    <w:p w:rsidR="00000000" w:rsidDel="00000000" w:rsidP="00000000" w:rsidRDefault="00000000" w:rsidRPr="00000000" w14:paraId="00000017">
      <w:pPr>
        <w:spacing w:before="240" w:lineRule="auto"/>
        <w:rPr/>
      </w:pPr>
      <w:r w:rsidDel="00000000" w:rsidR="00000000" w:rsidRPr="00000000">
        <w:rPr>
          <w:b w:val="1"/>
          <w:rtl w:val="0"/>
        </w:rPr>
        <w:t xml:space="preserve">Table S1. </w:t>
      </w:r>
      <w:r w:rsidDel="00000000" w:rsidR="00000000" w:rsidRPr="00000000">
        <w:rPr>
          <w:rtl w:val="0"/>
        </w:rPr>
        <w:t xml:space="preserve">Search strategy by database.</w:t>
      </w:r>
    </w:p>
    <w:tbl>
      <w:tblPr>
        <w:tblStyle w:val="Table1"/>
        <w:tblW w:w="1383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02"/>
        <w:gridCol w:w="10431"/>
        <w:tblGridChange w:id="0">
          <w:tblGrid>
            <w:gridCol w:w="3402"/>
            <w:gridCol w:w="10431"/>
          </w:tblGrid>
        </w:tblGridChange>
      </w:tblGrid>
      <w:tr>
        <w:trPr>
          <w:cantSplit w:val="0"/>
          <w:trHeight w:val="276" w:hRule="atLeast"/>
          <w:tblHeader w:val="0"/>
        </w:trPr>
        <w:tc>
          <w:tcPr>
            <w:vMerge w:val="restart"/>
            <w:tcBorders>
              <w:top w:color="000000" w:space="0" w:sz="8" w:val="single"/>
              <w:left w:color="000000" w:space="0" w:sz="0" w:val="nil"/>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018">
            <w:pPr>
              <w:spacing w:after="0" w:before="0" w:lineRule="auto"/>
              <w:jc w:val="center"/>
              <w:rPr>
                <w:b w:val="1"/>
                <w:sz w:val="20"/>
                <w:szCs w:val="20"/>
              </w:rPr>
            </w:pPr>
            <w:r w:rsidDel="00000000" w:rsidR="00000000" w:rsidRPr="00000000">
              <w:rPr>
                <w:b w:val="1"/>
                <w:sz w:val="20"/>
                <w:szCs w:val="20"/>
                <w:rtl w:val="0"/>
              </w:rPr>
              <w:t xml:space="preserve">Database </w:t>
              <w:br w:type="textWrapping"/>
              <w:t xml:space="preserve">(seach date: 21/10/2021)</w:t>
            </w:r>
          </w:p>
        </w:tc>
        <w:tc>
          <w:tcPr>
            <w:vMerge w:val="restart"/>
            <w:tcBorders>
              <w:top w:color="000000" w:space="0" w:sz="8" w:val="single"/>
              <w:left w:color="000000" w:space="0" w:sz="0" w:val="nil"/>
              <w:bottom w:color="000000" w:space="0" w:sz="8" w:val="single"/>
              <w:right w:color="000000" w:space="0" w:sz="0" w:val="nil"/>
            </w:tcBorders>
            <w:tcMar>
              <w:top w:w="99.0" w:type="dxa"/>
              <w:left w:w="99.0" w:type="dxa"/>
              <w:bottom w:w="99.0" w:type="dxa"/>
              <w:right w:w="99.0" w:type="dxa"/>
            </w:tcMar>
            <w:vAlign w:val="center"/>
          </w:tcPr>
          <w:p w:rsidR="00000000" w:rsidDel="00000000" w:rsidP="00000000" w:rsidRDefault="00000000" w:rsidRPr="00000000" w14:paraId="00000019">
            <w:pPr>
              <w:spacing w:after="0" w:before="0" w:lineRule="auto"/>
              <w:jc w:val="center"/>
              <w:rPr>
                <w:b w:val="1"/>
                <w:sz w:val="20"/>
                <w:szCs w:val="20"/>
              </w:rPr>
            </w:pPr>
            <w:r w:rsidDel="00000000" w:rsidR="00000000" w:rsidRPr="00000000">
              <w:rPr>
                <w:b w:val="1"/>
                <w:sz w:val="20"/>
                <w:szCs w:val="20"/>
                <w:rtl w:val="0"/>
              </w:rPr>
              <w:t xml:space="preserve">Search terms</w:t>
            </w:r>
          </w:p>
        </w:tc>
      </w:tr>
      <w:tr>
        <w:trPr>
          <w:cantSplit w:val="0"/>
          <w:trHeight w:val="317" w:hRule="atLeast"/>
          <w:tblHeader w:val="0"/>
        </w:trPr>
        <w:tc>
          <w:tcPr>
            <w:vMerge w:val="continue"/>
            <w:tcBorders>
              <w:top w:color="000000" w:space="0" w:sz="8" w:val="single"/>
              <w:left w:color="000000" w:space="0" w:sz="0" w:val="nil"/>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0" w:val="nil"/>
            </w:tcBorders>
            <w:tcMar>
              <w:top w:w="99.0" w:type="dxa"/>
              <w:left w:w="99.0" w:type="dxa"/>
              <w:bottom w:w="99.0" w:type="dxa"/>
              <w:right w:w="99.0" w:type="dxa"/>
            </w:tcM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r>
      <w:tr>
        <w:trPr>
          <w:cantSplit w:val="0"/>
          <w:trHeight w:val="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01C">
            <w:pPr>
              <w:spacing w:after="0" w:before="0" w:lineRule="auto"/>
              <w:rPr>
                <w:sz w:val="20"/>
                <w:szCs w:val="20"/>
              </w:rPr>
            </w:pPr>
            <w:r w:rsidDel="00000000" w:rsidR="00000000" w:rsidRPr="00000000">
              <w:rPr>
                <w:sz w:val="20"/>
                <w:szCs w:val="20"/>
                <w:rtl w:val="0"/>
              </w:rPr>
              <w:t xml:space="preserve">Embase</w:t>
            </w:r>
          </w:p>
          <w:p w:rsidR="00000000" w:rsidDel="00000000" w:rsidP="00000000" w:rsidRDefault="00000000" w:rsidRPr="00000000" w14:paraId="0000001D">
            <w:pPr>
              <w:spacing w:after="0" w:before="0" w:lineRule="auto"/>
              <w:rPr>
                <w:sz w:val="20"/>
                <w:szCs w:val="20"/>
              </w:rPr>
            </w:pPr>
            <w:r w:rsidDel="00000000" w:rsidR="00000000" w:rsidRPr="00000000">
              <w:rPr>
                <w:sz w:val="20"/>
                <w:szCs w:val="20"/>
                <w:rtl w:val="0"/>
              </w:rPr>
              <w:t xml:space="preserve">(1999 - 2021)</w:t>
            </w:r>
          </w:p>
        </w:tc>
        <w:tc>
          <w:tcPr>
            <w:tcBorders>
              <w:top w:color="000000" w:space="0" w:sz="0" w:val="nil"/>
              <w:left w:color="000000" w:space="0" w:sz="0" w:val="nil"/>
              <w:bottom w:color="000000" w:space="0" w:sz="8" w:val="single"/>
              <w:right w:color="000000" w:space="0" w:sz="0" w:val="nil"/>
            </w:tcBorders>
            <w:shd w:fill="auto" w:val="clear"/>
            <w:tcMar>
              <w:top w:w="99.0" w:type="dxa"/>
              <w:left w:w="99.0" w:type="dxa"/>
              <w:bottom w:w="99.0" w:type="dxa"/>
              <w:right w:w="99.0" w:type="dxa"/>
            </w:tcMar>
            <w:vAlign w:val="center"/>
          </w:tcPr>
          <w:p w:rsidR="00000000" w:rsidDel="00000000" w:rsidP="00000000" w:rsidRDefault="00000000" w:rsidRPr="00000000" w14:paraId="0000001E">
            <w:pPr>
              <w:spacing w:after="0" w:before="0" w:lineRule="auto"/>
              <w:jc w:val="center"/>
              <w:rPr>
                <w:sz w:val="20"/>
                <w:szCs w:val="20"/>
              </w:rPr>
            </w:pPr>
            <w:r w:rsidDel="00000000" w:rsidR="00000000" w:rsidRPr="00000000">
              <w:rPr>
                <w:sz w:val="20"/>
                <w:szCs w:val="20"/>
                <w:rtl w:val="0"/>
              </w:rPr>
              <w:t xml:space="preserve">'rheumatoid arthritis'/exp AND ('adalimumab'/exp OR 'certolizumab pegol'/exp OR 'golimumab'/exp OR 'infliximab'/exp OR 'abatacept'/exp OR 'rituximab'/exp OR 'tocilizumab'/exp) AND ('biosimilar agent'/exp OR 'hydroxychloroquine'/exp OR 'methotrexate'/exp OR 'salazosulfapyridine'/exp) AND ('administrative personnel'/exp OR 'observational study'/exp OR 'cohort analysis'/exp)</w:t>
            </w:r>
          </w:p>
        </w:tc>
      </w:tr>
      <w:tr>
        <w:trPr>
          <w:cantSplit w:val="0"/>
          <w:trHeight w:val="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01F">
            <w:pPr>
              <w:spacing w:after="0" w:before="0" w:lineRule="auto"/>
              <w:rPr>
                <w:sz w:val="20"/>
                <w:szCs w:val="20"/>
              </w:rPr>
            </w:pPr>
            <w:r w:rsidDel="00000000" w:rsidR="00000000" w:rsidRPr="00000000">
              <w:rPr>
                <w:sz w:val="20"/>
                <w:szCs w:val="20"/>
                <w:rtl w:val="0"/>
              </w:rPr>
              <w:t xml:space="preserve">Lilacs (via Virtual Health Library)</w:t>
            </w:r>
          </w:p>
          <w:p w:rsidR="00000000" w:rsidDel="00000000" w:rsidP="00000000" w:rsidRDefault="00000000" w:rsidRPr="00000000" w14:paraId="00000020">
            <w:pPr>
              <w:spacing w:after="0" w:before="0" w:lineRule="auto"/>
              <w:rPr>
                <w:sz w:val="20"/>
                <w:szCs w:val="20"/>
              </w:rPr>
            </w:pPr>
            <w:r w:rsidDel="00000000" w:rsidR="00000000" w:rsidRPr="00000000">
              <w:rPr>
                <w:sz w:val="20"/>
                <w:szCs w:val="20"/>
                <w:rtl w:val="0"/>
              </w:rPr>
              <w:t xml:space="preserve">(2010 - 2021)</w:t>
            </w:r>
          </w:p>
        </w:tc>
        <w:tc>
          <w:tcPr>
            <w:tcBorders>
              <w:top w:color="000000" w:space="0" w:sz="0" w:val="nil"/>
              <w:left w:color="000000" w:space="0" w:sz="0" w:val="nil"/>
              <w:bottom w:color="000000" w:space="0" w:sz="8" w:val="single"/>
              <w:right w:color="000000" w:space="0" w:sz="0" w:val="nil"/>
            </w:tcBorders>
            <w:shd w:fill="auto" w:val="clear"/>
            <w:tcMar>
              <w:top w:w="99.0" w:type="dxa"/>
              <w:left w:w="99.0" w:type="dxa"/>
              <w:bottom w:w="99.0" w:type="dxa"/>
              <w:right w:w="99.0" w:type="dxa"/>
            </w:tcMar>
            <w:vAlign w:val="center"/>
          </w:tcPr>
          <w:p w:rsidR="00000000" w:rsidDel="00000000" w:rsidP="00000000" w:rsidRDefault="00000000" w:rsidRPr="00000000" w14:paraId="00000021">
            <w:pPr>
              <w:spacing w:after="0" w:before="0" w:lineRule="auto"/>
              <w:jc w:val="center"/>
              <w:rPr>
                <w:sz w:val="20"/>
                <w:szCs w:val="20"/>
              </w:rPr>
            </w:pPr>
            <w:r w:rsidDel="00000000" w:rsidR="00000000" w:rsidRPr="00000000">
              <w:rPr>
                <w:sz w:val="20"/>
                <w:szCs w:val="20"/>
                <w:rtl w:val="0"/>
              </w:rPr>
              <w:t xml:space="preserve">tw:((rheumatoid arthritis AND (((((((((((((((adalimumab) OR certolizumab pegol) OR golimumab) OR infliximab) OR abatacept) OR rituximab) OR tocilizumab) OR antirheumatic agents)) AND ((methotrexate) OR hydroxychloroquine) OR sulfasalazine) OR biosimilar pharmaceuticals) OR biosimilar) OR biosimilars) OR biosimilarity) OR follow on biologics)) AND ((administrative personnel) OR (cohort studies) OR (cohort study) OR (studies, cohort) OR (study, cohort) OR (concurrent studies) OR (studies, concurrent) OR (concurrent study) OR (study, concurrent) OR (historical cohort studies) OR (studies, historical cohort) OR (cohort studies, historical) OR (cohort study, historical) OR (historical cohort study) OR (study, historical cohort) OR (analysis, cohort) OR (analysis, cohort) OR (cohort analyses) OR (cohort analysis) OR (closed cohort studies) OR (cohort studies, closed) OR (closed cohort study) OR (cohort study, closed) OR (study, closed cohort) OR (studies, closed cohort) OR (incidence studies) OR (incidence study) OR (studies, incidence) OR (study, incidence) OR (cohort studies) OR (cohort) OR (cohort analysis) OR (cohort study) OR (prospective cohort) OR (retrospective cohort) OR (retrospective cohort study) OR (prospective cohort study) OR (follow-up studies) OR (follow up studies) OR (follow-up study) OR (studies, follow-up) OR (study, follow-up) OR followup studies OR (followup study) OR (studies, followup) OR (study, followup) OR (epidemiologic studies OR retrospective studies OR longitudinal studies OR prospective studies))) AND ( db:("LILACS"))</w:t>
            </w:r>
          </w:p>
        </w:tc>
      </w:tr>
      <w:tr>
        <w:trPr>
          <w:cantSplit w:val="0"/>
          <w:trHeight w:val="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022">
            <w:pPr>
              <w:spacing w:after="0" w:before="0" w:lineRule="auto"/>
              <w:rPr>
                <w:sz w:val="20"/>
                <w:szCs w:val="20"/>
              </w:rPr>
            </w:pPr>
            <w:r w:rsidDel="00000000" w:rsidR="00000000" w:rsidRPr="00000000">
              <w:rPr>
                <w:sz w:val="20"/>
                <w:szCs w:val="20"/>
                <w:rtl w:val="0"/>
              </w:rPr>
              <w:t xml:space="preserve">MEDLINE</w:t>
            </w:r>
            <w:r w:rsidDel="00000000" w:rsidR="00000000" w:rsidRPr="00000000">
              <w:rPr>
                <w:rtl w:val="0"/>
              </w:rPr>
              <w:t xml:space="preserve"> </w:t>
            </w:r>
            <w:r w:rsidDel="00000000" w:rsidR="00000000" w:rsidRPr="00000000">
              <w:rPr>
                <w:sz w:val="20"/>
                <w:szCs w:val="20"/>
                <w:rtl w:val="0"/>
              </w:rPr>
              <w:t xml:space="preserve">and Epub Ahead of Print </w:t>
            </w:r>
          </w:p>
          <w:p w:rsidR="00000000" w:rsidDel="00000000" w:rsidP="00000000" w:rsidRDefault="00000000" w:rsidRPr="00000000" w14:paraId="00000023">
            <w:pPr>
              <w:spacing w:after="0" w:before="0" w:lineRule="auto"/>
              <w:rPr>
                <w:sz w:val="20"/>
                <w:szCs w:val="20"/>
              </w:rPr>
            </w:pPr>
            <w:r w:rsidDel="00000000" w:rsidR="00000000" w:rsidRPr="00000000">
              <w:rPr>
                <w:sz w:val="20"/>
                <w:szCs w:val="20"/>
                <w:rtl w:val="0"/>
              </w:rPr>
              <w:t xml:space="preserve">(via Ovid)</w:t>
            </w:r>
          </w:p>
          <w:p w:rsidR="00000000" w:rsidDel="00000000" w:rsidP="00000000" w:rsidRDefault="00000000" w:rsidRPr="00000000" w14:paraId="00000024">
            <w:pPr>
              <w:spacing w:after="0" w:before="0" w:lineRule="auto"/>
              <w:rPr>
                <w:sz w:val="20"/>
                <w:szCs w:val="20"/>
              </w:rPr>
            </w:pPr>
            <w:r w:rsidDel="00000000" w:rsidR="00000000" w:rsidRPr="00000000">
              <w:rPr>
                <w:sz w:val="20"/>
                <w:szCs w:val="20"/>
                <w:rtl w:val="0"/>
              </w:rPr>
              <w:t xml:space="preserve">(2014 - 2021)</w:t>
            </w:r>
          </w:p>
        </w:tc>
        <w:tc>
          <w:tcPr>
            <w:tcBorders>
              <w:top w:color="000000" w:space="0" w:sz="0" w:val="nil"/>
              <w:left w:color="000000" w:space="0" w:sz="0" w:val="nil"/>
              <w:bottom w:color="000000" w:space="0" w:sz="8" w:val="single"/>
              <w:right w:color="000000" w:space="0" w:sz="0" w:val="nil"/>
            </w:tcBorders>
            <w:shd w:fill="auto" w:val="clear"/>
            <w:tcMar>
              <w:top w:w="99.0" w:type="dxa"/>
              <w:left w:w="99.0" w:type="dxa"/>
              <w:bottom w:w="99.0" w:type="dxa"/>
              <w:right w:w="99.0" w:type="dxa"/>
            </w:tcMar>
            <w:vAlign w:val="center"/>
          </w:tcPr>
          <w:p w:rsidR="00000000" w:rsidDel="00000000" w:rsidP="00000000" w:rsidRDefault="00000000" w:rsidRPr="00000000" w14:paraId="00000025">
            <w:pPr>
              <w:spacing w:after="0" w:before="0" w:lineRule="auto"/>
              <w:jc w:val="center"/>
              <w:rPr>
                <w:sz w:val="20"/>
                <w:szCs w:val="20"/>
              </w:rPr>
            </w:pPr>
            <w:r w:rsidDel="00000000" w:rsidR="00000000" w:rsidRPr="00000000">
              <w:rPr>
                <w:sz w:val="20"/>
                <w:szCs w:val="20"/>
                <w:rtl w:val="0"/>
              </w:rPr>
              <w:t xml:space="preserve">(rheumatoid arthritis) AND (adalimumab OR certolizumab pegol OR golimumab OR infliximab OR abatacept OR rituximab OR tocilizumab OR antirheumatic agents) AND (methotrexate OR hydroxychloroquine OR sulfasalazine OR biosimilar pharmaceuticals OR biosimilar* OR follow on biologics) AND (administrative personnel OR cohort Stud* OR concurrent stud* OR historical cohort stud* OR cohort anal* OR closed cohort stud* OR incidence stud* OR prospective cohort OR retrospective cohort OR retrospective cohort study OR prospective cohort study OR follow up stud* OR followup stud* OR follow-up stud* OR Epidemiologic Stud* OR retrospective stud* OR Longitudinal Stud* OR Prospective Stud*) NOT (review)</w:t>
            </w:r>
          </w:p>
        </w:tc>
      </w:tr>
      <w:tr>
        <w:trPr>
          <w:cantSplit w:val="0"/>
          <w:trHeight w:val="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026">
            <w:pPr>
              <w:spacing w:after="0" w:before="0" w:lineRule="auto"/>
              <w:rPr>
                <w:sz w:val="20"/>
                <w:szCs w:val="20"/>
              </w:rPr>
            </w:pPr>
            <w:r w:rsidDel="00000000" w:rsidR="00000000" w:rsidRPr="00000000">
              <w:rPr>
                <w:sz w:val="20"/>
                <w:szCs w:val="20"/>
                <w:rtl w:val="0"/>
              </w:rPr>
              <w:t xml:space="preserve">MEDLINE (via Pubmed)</w:t>
            </w:r>
          </w:p>
          <w:p w:rsidR="00000000" w:rsidDel="00000000" w:rsidP="00000000" w:rsidRDefault="00000000" w:rsidRPr="00000000" w14:paraId="00000027">
            <w:pPr>
              <w:spacing w:after="0" w:before="0" w:lineRule="auto"/>
              <w:rPr>
                <w:sz w:val="20"/>
                <w:szCs w:val="20"/>
              </w:rPr>
            </w:pPr>
            <w:r w:rsidDel="00000000" w:rsidR="00000000" w:rsidRPr="00000000">
              <w:rPr>
                <w:sz w:val="20"/>
                <w:szCs w:val="20"/>
                <w:rtl w:val="0"/>
              </w:rPr>
              <w:t xml:space="preserve">(1983 - 2021)</w:t>
            </w:r>
          </w:p>
        </w:tc>
        <w:tc>
          <w:tcPr>
            <w:tcBorders>
              <w:top w:color="000000" w:space="0" w:sz="0" w:val="nil"/>
              <w:left w:color="000000" w:space="0" w:sz="0" w:val="nil"/>
              <w:bottom w:color="000000" w:space="0" w:sz="8" w:val="single"/>
              <w:right w:color="000000" w:space="0" w:sz="0" w:val="nil"/>
            </w:tcBorders>
            <w:shd w:fill="auto" w:val="clear"/>
            <w:tcMar>
              <w:top w:w="99.0" w:type="dxa"/>
              <w:left w:w="99.0" w:type="dxa"/>
              <w:bottom w:w="99.0" w:type="dxa"/>
              <w:right w:w="99.0" w:type="dxa"/>
            </w:tcMar>
            <w:vAlign w:val="center"/>
          </w:tcPr>
          <w:p w:rsidR="00000000" w:rsidDel="00000000" w:rsidP="00000000" w:rsidRDefault="00000000" w:rsidRPr="00000000" w14:paraId="00000028">
            <w:pPr>
              <w:spacing w:after="0" w:before="0" w:lineRule="auto"/>
              <w:jc w:val="center"/>
              <w:rPr>
                <w:sz w:val="20"/>
                <w:szCs w:val="20"/>
              </w:rPr>
            </w:pPr>
            <w:r w:rsidDel="00000000" w:rsidR="00000000" w:rsidRPr="00000000">
              <w:rPr>
                <w:sz w:val="20"/>
                <w:szCs w:val="20"/>
                <w:rtl w:val="0"/>
              </w:rPr>
              <w:t xml:space="preserve">("Arthritis, rheumatoid"[MeSH Terms] AND (((((((((((((((((("adalimumab"[MeSH Terms]) OR "certolizumab pegol" [MeSH Terms]) OR "golimumab"[Supplementary Concept] OR "golimumab"[All Fields]) OR "golimumab s"[All Fields]) OR "infliximab" [MeSH Terms]) OR "abatacept" [MeSH Terms]) OR "rituximab" [MeSH Terms]) OR "tocilizumab" [Supplementary Concept]) OR "tocilizumab" [All Fields]) OR "antirheumatic agents"[MeSH Terms])) AND (("methotrexate" [MeSH Terms]) OR "hydroxychloroquine" [MeSH Terms]) OR "sulfasalazine" [MeSH Terms]) OR "biosimilar pharmaceuticals"[MeSH Terms]) OR ("biosimilar"[All Fields] AND "pharmaceuticals"[All Fields]) OR "biosimilar pharmaceuticals"[All Fields]) OR "biosimilar"[All Fields]) OR "biosimilars"[All Fields]) OR "biosimilarity"[All Fields]) OR "follow on biologics"[All Fields])) AND (("administrative personnel"[MeSH Terms]) OR ("Cohort Studies"[Mesh]) OR (cohort study) OR (studies, cohort) OR (study, cohort) OR (concurrent studies) OR (studies, concurrent) OR (concurrent study) OR (study, concurrent) OR (historical cohort studies) OR (studies, historical cohort) OR (cohort studies, historical) OR (cohort study, historical) OR (historical cohort study) OR (study, historical cohort) OR (analysis, cohort) OR (analysis, cohort) OR (cohort analyses) OR (cohort analysis) OR (closed cohort studies) OR (cohort studies, closed) OR (closed cohort study) OR (cohort study, closed) OR (study, closed cohort) OR (studies, closed cohort) OR (incidence studies) OR (incidence study) OR (studies, incidence) OR (study, incidence) OR (cohort studies) OR (cohort) OR (cohort analysis) OR (cohort study) OR (prospective cohort) OR (retrospective cohort) OR (retrospective cohort study) OR (prospective cohort study) OR ("Follow-Up Studies"[Mesh]) OR (follow up studies) OR (follow-up study) OR (studies, follow-up) OR (study, follow-up) OR followup studies OR (followup study) OR (studies, followup) OR (study, followup) OR ("Epidemiologic Studies"[Mesh] OR "Retrospective Studies"[Mesh] OR "Longitudinal Studies"[Mesh] OR "Prospective Studies"[Mesh]))</w:t>
            </w:r>
          </w:p>
        </w:tc>
      </w:tr>
      <w:tr>
        <w:trPr>
          <w:cantSplit w:val="0"/>
          <w:trHeight w:val="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029">
            <w:pPr>
              <w:spacing w:after="0" w:before="0" w:lineRule="auto"/>
              <w:rPr>
                <w:sz w:val="20"/>
                <w:szCs w:val="20"/>
              </w:rPr>
            </w:pPr>
            <w:r w:rsidDel="00000000" w:rsidR="00000000" w:rsidRPr="00000000">
              <w:rPr>
                <w:sz w:val="20"/>
                <w:szCs w:val="20"/>
                <w:rtl w:val="0"/>
              </w:rPr>
              <w:t xml:space="preserve">Scopus</w:t>
            </w:r>
          </w:p>
          <w:p w:rsidR="00000000" w:rsidDel="00000000" w:rsidP="00000000" w:rsidRDefault="00000000" w:rsidRPr="00000000" w14:paraId="0000002A">
            <w:pPr>
              <w:spacing w:after="0" w:before="0" w:lineRule="auto"/>
              <w:rPr>
                <w:sz w:val="20"/>
                <w:szCs w:val="20"/>
              </w:rPr>
            </w:pPr>
            <w:r w:rsidDel="00000000" w:rsidR="00000000" w:rsidRPr="00000000">
              <w:rPr>
                <w:sz w:val="20"/>
                <w:szCs w:val="20"/>
                <w:rtl w:val="0"/>
              </w:rPr>
              <w:t xml:space="preserve">(2006 - 2021)</w:t>
            </w:r>
          </w:p>
        </w:tc>
        <w:tc>
          <w:tcPr>
            <w:tcBorders>
              <w:top w:color="000000" w:space="0" w:sz="0" w:val="nil"/>
              <w:left w:color="000000" w:space="0" w:sz="0" w:val="nil"/>
              <w:bottom w:color="000000" w:space="0" w:sz="8" w:val="single"/>
              <w:right w:color="000000" w:space="0" w:sz="0" w:val="nil"/>
            </w:tcBorders>
            <w:shd w:fill="auto" w:val="clear"/>
            <w:tcMar>
              <w:top w:w="99.0" w:type="dxa"/>
              <w:left w:w="99.0" w:type="dxa"/>
              <w:bottom w:w="99.0" w:type="dxa"/>
              <w:right w:w="99.0" w:type="dxa"/>
            </w:tcMar>
            <w:vAlign w:val="center"/>
          </w:tcPr>
          <w:p w:rsidR="00000000" w:rsidDel="00000000" w:rsidP="00000000" w:rsidRDefault="00000000" w:rsidRPr="00000000" w14:paraId="0000002B">
            <w:pPr>
              <w:spacing w:after="0" w:before="0" w:lineRule="auto"/>
              <w:jc w:val="center"/>
              <w:rPr>
                <w:sz w:val="20"/>
                <w:szCs w:val="20"/>
              </w:rPr>
            </w:pPr>
            <w:r w:rsidDel="00000000" w:rsidR="00000000" w:rsidRPr="00000000">
              <w:rPr>
                <w:sz w:val="20"/>
                <w:szCs w:val="20"/>
                <w:rtl w:val="0"/>
              </w:rPr>
              <w:t xml:space="preserve">ALL(rheumatoid arthritis) AND ALL(adalimumab OR certolizumab pegol OR golimumab OR infliximab OR abatacept OR rituximab OR tocilizumab OR antirheumatic agents) AND ALL(methotrexate OR hydroxychloroquine OR sulfasalazine OR biosimilar pharmaceuticals OR biosimilar* OR follow on biologics) AND ALL(administrative personnel OR cohort Stud* OR concurrent stud* OR historical cohort stud* OR cohort anal* OR closed cohort stud* OR incidence stud* OR prospective cohort OR retrospective cohort OR retrospective cohort study OR prospective cohort study OR follow up stud* OR followup stud* OR follow-up stud* OR Epidemiologic Stud* OR retrospective stud* OR Longitudinal Stud* OR Prospective Stud*)</w:t>
            </w:r>
          </w:p>
        </w:tc>
      </w:tr>
      <w:tr>
        <w:trPr>
          <w:cantSplit w:val="0"/>
          <w:trHeight w:val="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center"/>
          </w:tcPr>
          <w:p w:rsidR="00000000" w:rsidDel="00000000" w:rsidP="00000000" w:rsidRDefault="00000000" w:rsidRPr="00000000" w14:paraId="0000002C">
            <w:pPr>
              <w:spacing w:after="0" w:before="0" w:lineRule="auto"/>
              <w:rPr>
                <w:sz w:val="20"/>
                <w:szCs w:val="20"/>
              </w:rPr>
            </w:pPr>
            <w:r w:rsidDel="00000000" w:rsidR="00000000" w:rsidRPr="00000000">
              <w:rPr>
                <w:sz w:val="20"/>
                <w:szCs w:val="20"/>
                <w:rtl w:val="0"/>
              </w:rPr>
              <w:t xml:space="preserve">Web of Science Core Collection</w:t>
            </w:r>
          </w:p>
          <w:p w:rsidR="00000000" w:rsidDel="00000000" w:rsidP="00000000" w:rsidRDefault="00000000" w:rsidRPr="00000000" w14:paraId="0000002D">
            <w:pPr>
              <w:spacing w:after="0" w:before="0" w:lineRule="auto"/>
              <w:rPr>
                <w:sz w:val="20"/>
                <w:szCs w:val="20"/>
              </w:rPr>
            </w:pPr>
            <w:r w:rsidDel="00000000" w:rsidR="00000000" w:rsidRPr="00000000">
              <w:rPr>
                <w:sz w:val="20"/>
                <w:szCs w:val="20"/>
                <w:rtl w:val="0"/>
              </w:rPr>
              <w:t xml:space="preserve">(2017 - 2021)</w:t>
            </w:r>
          </w:p>
        </w:tc>
        <w:tc>
          <w:tcPr>
            <w:tcBorders>
              <w:top w:color="000000" w:space="0" w:sz="0" w:val="nil"/>
              <w:left w:color="000000" w:space="0" w:sz="0" w:val="nil"/>
              <w:bottom w:color="000000" w:space="0" w:sz="8" w:val="single"/>
              <w:right w:color="000000" w:space="0" w:sz="0" w:val="nil"/>
            </w:tcBorders>
            <w:shd w:fill="auto" w:val="clear"/>
            <w:tcMar>
              <w:top w:w="99.0" w:type="dxa"/>
              <w:left w:w="99.0" w:type="dxa"/>
              <w:bottom w:w="99.0" w:type="dxa"/>
              <w:right w:w="99.0" w:type="dxa"/>
            </w:tcMar>
            <w:vAlign w:val="center"/>
          </w:tcPr>
          <w:p w:rsidR="00000000" w:rsidDel="00000000" w:rsidP="00000000" w:rsidRDefault="00000000" w:rsidRPr="00000000" w14:paraId="0000002E">
            <w:pPr>
              <w:spacing w:after="0" w:before="0" w:lineRule="auto"/>
              <w:jc w:val="center"/>
              <w:rPr>
                <w:sz w:val="20"/>
                <w:szCs w:val="20"/>
              </w:rPr>
            </w:pPr>
            <w:r w:rsidDel="00000000" w:rsidR="00000000" w:rsidRPr="00000000">
              <w:rPr>
                <w:sz w:val="20"/>
                <w:szCs w:val="20"/>
                <w:rtl w:val="0"/>
              </w:rPr>
              <w:t xml:space="preserve">ALL=(rheumatoid arthritis) AND ALL=(adalimumab OR certolizumab pegol OR golimumab OR infliximab OR abatacept OR rituximab OR tocilizumab OR antirheumatic agents) AND ALL=(methotrexate OR hydroxychloroquine OR sulfasalazine OR biosimilar pharmaceuticals OR biosimilar* OR follow on biologics) AND ALL=(administrative personnel OR cohort Stud* OR concurrent stud* OR historical cohort stud* OR cohort anal* OR closed cohort stud* OR incidence stud* OR prospective cohort OR retrospective cohort OR retrospective cohort study OR prospective cohort study OR follow up stud* OR followup stud* OR follow-up stud* OR Epidemiologic Stud* OR retrospective stud* OR Longitudinal Stud* OR Prospective Stud*)</w:t>
            </w:r>
          </w:p>
        </w:tc>
      </w:tr>
    </w:tbl>
    <w:p w:rsidR="00000000" w:rsidDel="00000000" w:rsidP="00000000" w:rsidRDefault="00000000" w:rsidRPr="00000000" w14:paraId="0000002F">
      <w:pPr>
        <w:spacing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30">
      <w:pPr>
        <w:spacing w:before="240" w:lineRule="auto"/>
        <w:rPr/>
      </w:pPr>
      <w:bookmarkStart w:colFirst="0" w:colLast="0" w:name="_heading=h.30j0zll" w:id="1"/>
      <w:bookmarkEnd w:id="1"/>
      <w:r w:rsidDel="00000000" w:rsidR="00000000" w:rsidRPr="00000000">
        <w:rPr>
          <w:b w:val="1"/>
          <w:rtl w:val="0"/>
        </w:rPr>
        <w:t xml:space="preserve">Table S2.</w:t>
      </w:r>
      <w:r w:rsidDel="00000000" w:rsidR="00000000" w:rsidRPr="00000000">
        <w:rPr>
          <w:rtl w:val="0"/>
        </w:rPr>
        <w:t xml:space="preserve"> List of studies excluded after full reading.</w:t>
      </w:r>
    </w:p>
    <w:tbl>
      <w:tblPr>
        <w:tblStyle w:val="Table2"/>
        <w:tblW w:w="1440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1381"/>
        <w:gridCol w:w="13019"/>
        <w:tblGridChange w:id="0">
          <w:tblGrid>
            <w:gridCol w:w="1381"/>
            <w:gridCol w:w="13019"/>
          </w:tblGrid>
        </w:tblGridChange>
      </w:tblGrid>
      <w:tr>
        <w:trPr>
          <w:cantSplit w:val="0"/>
          <w:tblHeader w:val="0"/>
        </w:trPr>
        <w:tc>
          <w:tcPr>
            <w:vAlign w:val="center"/>
          </w:tcPr>
          <w:p w:rsidR="00000000" w:rsidDel="00000000" w:rsidP="00000000" w:rsidRDefault="00000000" w:rsidRPr="00000000" w14:paraId="00000031">
            <w:pPr>
              <w:spacing w:before="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Reasons</w:t>
            </w:r>
          </w:p>
        </w:tc>
        <w:tc>
          <w:tcPr>
            <w:vAlign w:val="center"/>
          </w:tcPr>
          <w:p w:rsidR="00000000" w:rsidDel="00000000" w:rsidP="00000000" w:rsidRDefault="00000000" w:rsidRPr="00000000" w14:paraId="00000032">
            <w:pPr>
              <w:spacing w:before="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References</w:t>
            </w:r>
          </w:p>
        </w:tc>
      </w:tr>
      <w:tr>
        <w:trPr>
          <w:cantSplit w:val="0"/>
          <w:tblHeader w:val="0"/>
        </w:trPr>
        <w:tc>
          <w:tcPr>
            <w:vAlign w:val="center"/>
          </w:tcPr>
          <w:p w:rsidR="00000000" w:rsidDel="00000000" w:rsidP="00000000" w:rsidRDefault="00000000" w:rsidRPr="00000000" w14:paraId="00000033">
            <w:pPr>
              <w:spacing w:before="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Wrong drug</w:t>
            </w:r>
          </w:p>
        </w:tc>
        <w:tc>
          <w:tcPr>
            <w:vAlign w:val="center"/>
          </w:tcPr>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Guidelli, G. M., Viapiana, O., Luciano, N., De Santis, M., Boffini, N., Quartuccio, L., et al. (2021). Efficacy and safety of baricitinib in 446 patients with rheumatoid arthritis: a real-life multicentre study. Clin. Exp. Rheumatol. 39, 868–873.</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Kang, E. H., Jin, Y., Tong, A. Y., Desai, R. J., and Kim, S. C. (2020). Risk of Serious Infection Among Initiators of Tumor Necrosis Factor Inhibitors Plus Methotrexate Versus Triple Therapy for Rheumatoid Arthritis: A Cohort Study. Arthritis Care Res. (Hoboken). 72, 1383–1391. doi:10.1002/acr.24038.</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Krasselt, M., Baerwald, C., Petros, S., and Seifert, O. (2021). Mortality of Sepsis in Patients With Rheumatoid Arthritis: A Single-Center Retrospective Analysis and Comparison With a Control Group. J. Intensive Care Med. 36, 766–774. doi:10.1177/0885066620917588.</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Seror, R., Lafourcade, A., De-Rycke, Y., Fautrel, B., Mariette, X., and Tubach, F. (2020). Risk of malignancies associated with cs DMARDs in rheumatoid arthritis: Comparison with general population and biologic treated patients (analysis of a national claim database). Ann. Rheum. Dis. 79, 291.</w:t>
            </w:r>
          </w:p>
        </w:tc>
      </w:tr>
      <w:tr>
        <w:trPr>
          <w:cantSplit w:val="0"/>
          <w:tblHeader w:val="0"/>
        </w:trPr>
        <w:tc>
          <w:tcPr>
            <w:vAlign w:val="center"/>
          </w:tcPr>
          <w:p w:rsidR="00000000" w:rsidDel="00000000" w:rsidP="00000000" w:rsidRDefault="00000000" w:rsidRPr="00000000" w14:paraId="00000038">
            <w:pPr>
              <w:spacing w:before="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Wrong outcome</w:t>
            </w:r>
          </w:p>
        </w:tc>
        <w:tc>
          <w:tcPr>
            <w:vAlign w:val="center"/>
          </w:tcPr>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Acurcio, F. A., Machado, M. A. A. A., Moura, C. S., Ferre, F., Guerra, A. A., Andrade, E. I. G. G., et al. (2016). Medication Persistence of Disease-Modifying Antirheumatic Drugs and Anti-Tumor Necrosis Factor Agents in a Cohort of Patients With Rheumatoid Arthritis in Brazil. Arthritis Care Res. (Hoboken). 68, 1489–1496. doi:10.1002/acr.22840.</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Aladul, M. I., Fitzpatrick, R. W., and Chapman, S. R. (2017). Impact of Infliximab and Etanercept Biosimilars on Biological Disease-Modifying Antirheumatic Drugs Utilisation and NHS Budget in the UK. BioDrugs 31, 533–544. doi:10.1007/s40259-017-0252-3.</w:t>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Asai, S., Kojima, T., Oguchi, T., Kaneko, A., Hirano, Y., Yabe, Y., et al. (2015). Effects of Concomitant Methotrexate on Large Joint Replacement in Patients With Rheumatoid Arthritis Treated With Tumor Necrosis Factor Inhibitors: A Multicenter Retrospective Cohort Study in Japan. Arthritis Care Res. (Hoboken). 67, 1363–1370. doi:10.1002/acr.22596.</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Barbulescu, A., Delcoigne, B., Askling, J., and Frisell, T. (2020). Gastrointestinal perforations in patients with rheumatoid arthritis treated with biological disease-modifying antirheumatic drugs in Sweden: a nationwide cohort study. RMD Open 6, e001201. doi:10.1136/rmdopen-2020-001201.</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Bechman, K., Oke, A., Yates, M., Norton, S., Dennison, E., Cope, A. P., et al. (2020). Is background methotrexate advantageous in extending TNF inhibitor drug survival in elderly patients with rheumatoid arthritis? An analysis of the British Society for Rheumatology Biologics Register. Rheumatology 59, 2563–2571. doi:10.1093/rheumatology/kez671.</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Bird, P., Littlejohn, G., Butcher, B., Smith, T., da Fonseca Pereira, C., Witcombe, D., et al. (2020). Real-world evaluation of effectiveness, persistence, and usage patterns of tofacitinib in treatment of rheumatoid arthritis in Australia. Clin. Rheumatol. 39, 2545–2551. doi:10.1007/s10067-020-05021-7.</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Chatzidionysiou, K., Askling, J., Eriksson, J., Kristensen, L. E., and van Vollenhoven, R. (2015). Effectiveness of TNF inhibitor switch in RA: results from the national Swedish register. Ann. Rheum. Dis. 74, 890–896. doi:10.1136/annrheumdis-2013-204714.</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Chen, J.-F., Hsu, C.-Y., Yu, S.-F., Ko, C.-H., Chiu, W.-C., Lai, H.-M., et al. (2020). The impact of long-term biologics/target therapy on bone mineral density in rheumatoid arthritis: a propensity score-matched analysis. Rheumatology 59, 2471–2480. doi:10.1093/rheumatology/kez655.</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Choi, S., Ghang, B., Jeong, S., Choi, D., Lee, J. S., Park, S. M., et al. (2021). Association of first, second, and third-line bDMARDs and tsDMARD with drug survival among seropositive rheumatoid arthritis patients: Cohort study in A real world setting. Semin. Arthritis Rheum. 51, 685–691. doi:10.1016/j.semarthrit.2021.06.002.</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Choy, E., Groves, L., Sugrue, D., Hurst, M., Houghton, J., Venkatachalam, S., et al. (2021). Outcomes in rheumatoid arthritis patients treated with abatacept: a UK multi-centre observational study. BMC Rheumatol. 5, 3. doi:10.1186/s41927-020-00173-0.</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Codreanu, C., Popescu, C. C., Mogoșan, C., Enache, L., Daia, S., Ionescu, R., et al. (2019). Efficacy and safety of original and biosimilar etanercept (SB4) in active rheumatoid arthritis – A comparison in a real-world national cohort. Biologicals 62, 27–32. doi:10.1016/j.biologicals.2019.10.009.</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Crane, M. M., Juneja, M., Allen, J., Kurrasch, R. H., Chu, M. E., Quattrocchi, E., et al. (2015). Epidemiology and Treatment of New-Onset and Established Rheumatoid Arthritis in an Insured US Population. Arthritis Care Res. (Hoboken). 67, 1646–1655. doi:10.1002/acr.22646.</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Croiteru, A., Lidar, M., Reitblat, T., Zisman, D., Balbir-Gurman, A., Meshiach, T., et al. (2019). Real life retention of tofacitinib in patients with rheumatoid arthritis. Arthritis Rheumatol. 71, 2443–2444.</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Curtis, J. R., Chakravarty, S. D., Black, S., Kafka, S., Xu, S., Langholff, W., et al. (2021). Incidence of Infusion Reactions and Clinical Effectiveness of Intravenous Golimumab Versus Infliximab in Patients with Rheumatoid Arthritis: The Real-World AWARE Study. Rheumatol. Ther. 8, 1551–1563. doi:10.1007/s40744-021-00354-4.</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Curtis, J. R., Chastek, B., Becker, L., Quach, C., Harrison, D. J., Yun, H., et al. (2015). Cost and Effectiveness of Biologics for Rheumatoid Arthritis in a Commercially Insured Population. J. Manag. Care Spec. Pharm. 21, 318–329. doi:10.18553/jmcp.2015.21.4.318.</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Dormuth, C. R., Fisher, A., Hudson, M., Austin, P. C., Ernst, P., Bresee, L., et al. (2021). Impact of using concomitant conventional DMARDs on adherence to biologic DMARD treatment in rheumatoid arthritis: Multi-centre, population-based cohort study. Semin. Arthritis Rheum. 51, 1291–1299. doi:10.1016/J.SEMARTHRIT.2021.08.002.</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Ebina, K., Hirano, T., Maeda, Y., Yamamoto, W., Hashimoto, M., Murata, K., et al. (2020a). Drug retention of 7 biologics and tofacitinib in biologics-naïve and biologics-switched patients with rheumatoid arthritis: the ANSWER cohort study. Arthritis Res. Ther. 22, 142. doi:10.1186/s13075-020-02232-w.</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Ebina, K., Hirano, T., Maeda, Y., Yamamoto, W., Hashimoto, M., Murata, K., et al. (2020b). Drug retention of secondary biologics or JAK inhibitors after tocilizumab or abatacept failure as first biologics in patients with rheumatoid arthritis -the ANSWER cohort study-. Clin. Rheumatol. 39, 2563–2572. doi:10.1007/s10067-020-05015-5.</w:t>
            </w:r>
          </w:p>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Favalli, E. G., Becciolini, A., Biggioggero, M., Bertoldi, I., Crotti, C., Raimondo, M. G., et al. (2018). The role of concomitant methotrexate dosage and maintenance over time in the therapy of rheumatoid arthritis patients treated with adalimumab or etanercept: retrospective analysis of a local registry. Drug Des. Devel. Ther. Volume 12, 1421–1429. doi:10.2147/DDDT.S162286.</w:t>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Gendelman, O., Weitzman, D., Rosenberg, V., Shalev, V., Chodick, G., and Amital, H. (2018). Characterization of adherence and persistence profile in a real-life population of patients treated with adalimumab. Br. J. Clin. Pharmacol. 84, 786–795. doi:10.1111/bcp.13494.</w:t>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George, M. D., Baker, J. F., and Ogdie, A. (2020). Comparative Persistence of Methotrexate and Tumor Necrosis Factor Inhibitors in Rheumatoid Arthritis, Psoriatic Arthritis, and Ankylosing Spondylitis. J. Rheumatol. 47, 826–834. doi:10.3899/jrheum.190299.</w:t>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Gharaibeh, M., Bonafede, M., McMorrow, D., Hernandez, E. J. M., and Stolshek, B. S. (2020). Effectiveness and Costs Among Rheumatoid Arthritis Patients Treated with Targeted Immunomodulators Using Real-World U.S. Data. J. Manag. Care Spec. Pharm. 26, 1039–1049. doi:10.18553/jmcp.2020.26.8.1039.</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Giraud, E. L., Jessurun, N. T., van Hunsel, F. P. A. M., van Puijenbroek, E. P., van Tubergen, A., Ten Klooster, P. M., et al. (2020). Frequency of real-world reported adverse drug reactions in rheumatoid arthritis patients. Expert Opin. Drug Saf. 19, 1617–1624. doi:10.1080/14740338.2020.1830058.</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Glintborg, B., Loft, A. G., Omerovic, E., Hendricks, O., Linauskas, A., Espesen, J., et al. (2019). To switch or not to switch: results of a nationwide guideline of mandatory switching from originator to biosimilar etanercept. One-year treatment outcomes in 2061 patients with inflammatory arthritis from the DANBIO registry. Ann. Rheum. Dis. 78, 192–200. doi:10.1136/annrheumdis-2018-213474.</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Harrold, L. R., Reed, G. W., Kremer, J. M., Curtis, J. R., Solomon, D. H., Hochberg, M. C., et al. (2015). The comparative effectiveness of abatacept versus anti-tumour necrosis factor switching for rheumatoid arthritis patients previously treated with an anti-tumour necrosis factor. Ann. Rheum. Dis. 74, 430–436.</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Helliwell, P. S., and Taylor, W. J. (2008). Treatment of psoriatic arthritis and rheumatoid arthritis with disease modifying  drugs -- comparison of drugs and adverse reactions. J. Rheumatol. 35, 472–476.</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Iacono, D., Pantano, I., Birra, D., Scalise, G., Coscia, M. A., Messiniti, V., et al. (2020). Retention rate of abatacept monotherapy in an italian multicentric rheumatoid arthritis cohort. Ann. Rheum. Dis. 79, 1456–1457.</w:t>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Izumi, K., Kaneko, Y., Yasuoka, H., Seta, N., Kameda, H., Kuwana, M., et al. (2015). Tocilizumab is clinically, functionally, and radiographically effective and safe either with or without low-dose methotrexate in active rheumatoid arthritis patients with inadequate responses to DMARDs and/or TNF inhibitors: A single-center retrospective. Mod. Rheumatol. 25, 31–37. doi:10.3109/14397595.2014.897793.</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Kihara, M., Davies, R., Kearsley-Fleet, L., Watson, K. D., Lunt, M., Symmons, D. P. M., et al. (2017). Use and effectiveness of tocilizumab among patients with rheumatoid arthritis: an  observational study from the British Society for Rheumatology Biologics Register for rheumatoid arthritis. Clin. Rheumatol. 36, 241–250.</w:t>
            </w:r>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Kim, G., Barner, J. C., Rascati, K., and Richards, K. (2016). Examining Time to Initiation of Biologic Disease-modifying Antirheumatic Drugs and Medication Adherence and Persistence Among Texas Medicaid Recipients With Rheumatoid Arthritis. Clin. Ther. 38, 646–654. doi:10.1016/j.clinthera.2016.01.022.</w:t>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Klink, A., Han, X., Lobo, F., Szymialis, R., Lam, J., and Feinberg, B. (2020). Clinical benefits reported in ample trial observed in a real-world (RW) cohort of us rheumatoid arthritis (RA) patients. Ann. Rheum. Dis. 79, 626–627.</w:t>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Krause, D., Krause, C., Rudolf, H., Baraliakos, X., Braun, J., and Schmitz, E. (2021). Dose tapering of biologic agents in patients with rheumatoid arthritis—results from a cohort study in Germany. Clin. Rheumatol. 40, 887–893. doi:10.1007/s10067-020-05316-9.</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Lauper, K., Nordström, D. C., Pavelka, K., Hernández, M. V., Kvien, T. K., Kristianslund, E. K., et al. (2018). Comparative effectiveness of tocilizumab versus TNF inhibitors as monotherapy or in combination with conventional synthetic disease-modifying antirheumatic drugs in patients with rheumatoid arthritis after the use of at least one biologic disease-modifyin. Ann. Rheum. Dis. 77, 1276–1282.</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 K.-J., Chang, C.-L., Hsin, C.-Y., and Tang, C.-H. (2021). Switching and Discontinuation Pattern of Biologic Disease-Modifying Antirheumatic Drugs and Tofacitinib for Patients With Rheumatoid Arthritis in Taiwan. Front. Pharmacol. 12. doi:10.3389/fphar.2021.628548.</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Ljung, L., Rantapää-Dahlqvist, S., Jacobsson, L. T. H., and Askling, J. (2016). Response to biological treatment and subsequent risk of coronary events in rheumatoid arthritis. Ann. Rheum. Dis. 75, 2087–2094.</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Màrquez Pete, N., Perez Ramirez, C., Maldonado Montoro, M. D. M., Espinosa Rodriguez, A., and Jimenez Morales, A. (2021b). Persistence of abatacept treatment in rheumatoid arthritis patients. Eur. J. Hosp. Pharm. 28, A141.</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Martinez-MúGica, C., and Manso, G. (2020). Prescribing patterns and clinical outcomes of biological disease-modifying anti-rheumatic drugs for rheumatoid arthritis in Spain. Eur. Rev. Med. Pharmacol. Sci. 24, 8177–8184. doi:10.26355/EURREV_202008_22505.</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Mothojakan, N. B., Gore, J., and Nisar, M. K. (2020). Does biologic survival depend on co-prescribed methotrexate dose in established rheumatoid arthritis? A real-world study. Eur. J. Rheumatol. 7, 21–25. doi:10.5152/eurjrheum.2019.19048.</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Movahedi, M., Cesta, A., Li, X., Keystone, E., and Bombardier, C. (2020a). Time to discontinuation of tofacitinib and TNF inhibitors in rheumatoid arthritis patients with and without methotrexate: Data from a rheumatoid arthritis cohort. Ann. Rheum. Dis. 79, 131–132.</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Movahedi, M., Cesta, A., Li, X., Keystone, E., and Bombardier, C. (2021). Discontinuation rate of Tofacitinib is similar when compared to TNF inhibitors in rheumatoid arthritis patients: Data from a rheumatoid arthritis cohort. Pharmacoepidemiol. Drug Saf. 30, 27–28.</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Movahedi, M., Cesta, A., Li, X., Keystone, E. C., and Bombardier, C. (2020b). Discontinuation Rate of Tofacitinib Is Similar When Compared to TNF Inhibitors in Rheumatoid Arthritis Patients: Real World Results from a Rheumatoid Arthritis Cohort. Arthritis Rheumatol. 72, 1642–1643.</w:t>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Movahedi, M., Hepworth, E., Mirza, R., Cesta, A., Larche, M., and Bombardier, C. (2020c). Discontinuation of biologic therapy due to lack/loss of response and adverse events is similar between TNFi and non-TNFi class: Results from a real-world rheumatoid arthritis cohort. Semin. Arthritis Rheum. 50, 915–922. doi:10.1016/j.semarthrit.2020.06.020.</w:t>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Naffaa, M. E., Hassan, F., Golan-Cohen, A., Merzon, E., Green, I., Saab, A., et al. (2021). Factors associated with drug survival on first biologic therapy in patients with rheumatoid arthritis: a population-based cohort study. Rheumatol. Int. 41, 1905–1913. doi:10.1007/s00296-021-04989-y.</w:t>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Neovius, M., Arkema, E. V, Olsson, H., Eriksson, J. K., Kristensen, L. E., Simard, J. F., et al. (2015). Drug survival on TNF inhibitors in patients with rheumatoid arthritis comparison of adalimumab, etanercept and infliximab. Ann. Rheum. Dis. 74, 354–360.</w:t>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Nicholls, D., Barrett, R., Button, P., Truman, M., Bird, P., Roberts, L., et al. (2018). Effectiveness of biologics in Australian patients with rheumatoid arthritis: a large observational study: REAL. Intern. Med. J. 48, 1185–1192. doi:10.1111/imj.14028.</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Ochi, S., Saito, K., Mizoguchi, F., Kato, S., and Tanaka, Y. (2020). Insensitivity versus poor response to tumour necrosis factor inhibitors in rheumatoid arthritis: a retrospective cohort study. Arthritis Res. Ther. 22, 41. doi:10.1186/s13075-020-2122-5.</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Ochiai, M., Tanaka, E., Sato, E., Inoue, E., Abe, M., Saka, K., et al. (2021). Successful discontinuation of biological disease-modifying antirheumatic drugs in patients with rheumatoid arthritis in real-world settings. Mod. Rheumatol. 31, 790–795.</w:t>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Østergaard, M., Unkerskov, J., Linde, L., Krogh, N. S., Ravn, T., Ringsdal, V. S., et al. (2007). Low remission rates but long drug survival in rheumatoid arthritis patients treated with infliximab or etanercept: results from the nationwide Danish DANBIO database. Scand. J. Rheumatol. 36, 151–154. doi:10.1080/03009740601089267.</w:t>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Pappas, D. A., Blachley, T., Best, J. H., Zlotnick, S., Reiss, W. G., Emeanuru, K., et al. (2021a). Durability of Response to Tocilizumab Therapy in Rheumatoid Arthritis: Data from the US-Based Corrona Rheumatoid Arthritis Registry. Rheumatol. Ther. 8, 467–481. doi:10.1007/s40744-021-00285-0.</w:t>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Pappas, D. A., Blachley, T., Zlotnick, S., Best, J. H., Emeanuru, K., and Kremer, J. M. (2019). Comparative effectiveness of tocilizumab in combination with methotrexate versus tumor necrosis factor inhibitors (TNFis) in combination with methotrexate in patients with rheumatoid arthritis with prior exposure to TNFis. Ann. Rheum. Dis. 71, 993.</w:t>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Pappas, D. A., John, G. S., Etzel, C. J., Fiore, S., Blachley, T., Kimura, T., et al. (2020). Comparative effectiveness of first-line tumour necrosis factor inhibitor versus non-tumour necrosis factor inhibitor biologics and targeted synthetic agents in patients with rheumatoid arthritis: results from a large US registry study. Ann. Rheum. Dis.</w:t>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Pappas, D. A., Litman, H. J., Lesperance, T., Kricorian, G., Karis, E., Rebello, S., et al. (2021b). Persistence on biologic DMARD monotherapy after achieving rheumatoid arthritis disease control on combination therapy: retrospective analysis of corrona registry data. Rheumatol. Int. 41, 381–390. doi:10.1007/s00296-020-04667-5.</w:t>
            </w:r>
          </w:p>
          <w:p w:rsidR="00000000" w:rsidDel="00000000" w:rsidP="00000000" w:rsidRDefault="00000000" w:rsidRPr="00000000" w14:paraId="000000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Pappas, D. A., St John, G., Etzel, C. J., Fiore, S., Blachley, T., Kimura, T., et al. (2021c). Comparative effectiveness of first-line tumour necrosis factor inhibitor versus non-tumour necrosis factor inhibitor biologics and targeted synthetic agents in patients with rheumatoid arthritis: results from a large US registry study. Ann. Rheum. Dis. 80, 96–102. doi:10.1136/annrheumdis-2020-217209.</w:t>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Paul, D., Han, X., Yermilov, I., Gibbs, S., and Broder, M. (2019). Evaluation of real-world early-line abatacept versus tumor necrosis factor inhibitors persistence in rheumatoid arthritis patients with Anti-Citrullinated Protein Antibody or Rheumatoid Factor Positivity. Arthritis Rheumatol. 71, 386–389.</w:t>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Paul, S. K., Montvida, O., Best, J. H., Gale, S., Pethö-Schramm, A., and Sarsour, K. (2021). Association of biological antirheumatic therapy with risk for type 2 diabetes: a retrospective cohort study in incident rheumatoid arthritis. BMJ Open 11, e042246. doi:10.1136/bmjopen-2020-042246.</w:t>
            </w:r>
          </w:p>
          <w:p w:rsidR="00000000" w:rsidDel="00000000" w:rsidP="00000000" w:rsidRDefault="00000000" w:rsidRPr="00000000" w14:paraId="000000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Sato, S., Matsumoto, H., Temmoku, J., Fujita, Y., Matsuoka, N., Yashiro-Furuya, M., et al. (2021). Sustained Long-Term Retention Rates of Abatacept in Combination with Conventional Synthetic Disease-Modifying Antirheumatic Drugs in Elderly Patients with Rheumatoid Arthritis. Medicina (B. Aires). 57, 914. doi:10.3390/medicina57090914.</w:t>
            </w:r>
          </w:p>
          <w:p w:rsidR="00000000" w:rsidDel="00000000" w:rsidP="00000000" w:rsidRDefault="00000000" w:rsidRPr="00000000" w14:paraId="000000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Sebastiani, M., Anelli, M. G., Atzeni, F., Bazzani, C., Farina, I., Fedele, A. L., et al. (2014). Efficacy and safety of rituximab with and without methotrexate in the treatment of rheumatoid arthritis patients: Results from the GISEA register. Jt. Bone Spine 81, 508–512. doi:10.1016/j.jbspin.2014.06.011.</w:t>
            </w:r>
          </w:p>
          <w:p w:rsidR="00000000" w:rsidDel="00000000" w:rsidP="00000000" w:rsidRDefault="00000000" w:rsidRPr="00000000" w14:paraId="000000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Sfikakis, P. P., Bournia, V. K., Sidiropoulos, P., Boumpas, D. T., Drosos, A. A., Kitas, G. D., et al. (2017). Biologic treatment for rheumatic disease: Real-world big data analysis from the Greek country-wide prescription database. Clin. Exp. Rheumatol. 35, 579–585.</w:t>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Shidara, K., Hoshi, D., Inoue, E., Yamada, T., Nakajima, A., Taniguchi, A., et al. (2010). Incidence of and risk factors for interstitial pneumonia in patients with rheumatoid arthritis in a large Japanese observational cohort, IORRA. Mod. Rheumatol. 20, 280–286. doi:10.1007/s10165-010-0280-z.</w:t>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Shivacheva, T., Georgiev, T., Hristova, S., Dimitrov, S., Bogdanova-Petrova, S., and Gerganov, G. (2021). Sustainable low disease activity in patients with rheumatoid arthritis: Real-world experience with tocilizumab. Ann. Rheum. Dis. 80, 1138.</w:t>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Silvagni, E., Bortoluzzi, A., Carrara, G., Zanetti, A., Govoni, M., and Scirè, C. A. (2018). Comparative effectiveness of first-line biological monotherapy use in rheumatoid arthritis: a retrospective analysis of the RECord-linkage On Rheumatic Diseases study on health care administrative databases. BMJ Open 8, e021447. doi:10.1136/bmjopen-2017-021447.</w:t>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Soliman, M. M., Ashcroft, D. M., Watson, K. D., Lunt, M., Symmons, D. P. M., and Hyrich, K. L. (2011). Impact of concomitant use of DMARDs on the persistence with anti-TNF therapies in patients with rheumatoid arthritis: results from the British Society for Rheumatology Biologics Register. Ann. Rheum. Dis. 70, 583–589. doi:10.1136/ard.2010.139774.</w:t>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van Mulligen, E., Ahmed, S., Weel, A. E. A. M., Hazes, J. M. W., van der Helm- van Mil, A. H. M., and de Jong, P. H. P. (2021). Factors that influence biological survival in rheumatoid arthritis: results of a real-world academic cohort from the Netherlands. Clin. Rheumatol. 40, 2177–2183. doi:10.1007/s10067-020-05567-6.</w:t>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Verhoeven, M. M. A., Tekstra, J., Welsing, P. M. J., Pethö-Schramm, A., Borm, M. E. A., Bruyn, G. A. W., et al. (2020). Effectiveness and safety over 3 years after the 2-year U-Act-Early trial of the strategies initiating tocilizumab and/or methotrexate. Rheumatology 59, 2325–2333. doi:10.1093/rheumatology/kez602.</w:t>
            </w:r>
          </w:p>
          <w:p w:rsidR="00000000" w:rsidDel="00000000" w:rsidP="00000000" w:rsidRDefault="00000000" w:rsidRPr="00000000" w14:paraId="000000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Xie, F., Chen, L., Yun, H., Levitan, E. B., and Curtis, J. R. (2021). Benefits of Methotrexate Use on Cardiovascular Disease Risk Among Rheumatoid Arthritis Patients Initiating Biologic Disease-modifying Antirheumatic Drugs. J. Rheumatol. 48, 804–812. doi:10.3899/jrheum.191326.</w:t>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Youssef, P., Marcal, B., Button, P., Truman, M., Bird, P., Griffiths, H., et al. (2020). Reasons for Biologic and Targeted Synthetic Disease-modifying Antirheumatic Drug Cessation and Persistence of Second-line Treatment in a Rheumatoid Arthritis Dataset. J. Rheumatol. 47, 1174–1181. doi:10.3899/jrheum.190535.</w:t>
            </w:r>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Yun, H., Xie, F., Delzell, E., Chen, L., Yang, S., Saag, K. G., et al. (2015). The comparative effectiveness of biologics among older adults and disabled rheumatoid arthritis patients in the Medicare population. Br. J. Clin. Pharmacol. 80, 1447–1457. doi:10.1111/bcp.12709.</w:t>
            </w:r>
          </w:p>
        </w:tc>
      </w:tr>
      <w:tr>
        <w:trPr>
          <w:cantSplit w:val="0"/>
          <w:tblHeader w:val="0"/>
        </w:trPr>
        <w:tc>
          <w:tcPr>
            <w:vAlign w:val="center"/>
          </w:tcPr>
          <w:p w:rsidR="00000000" w:rsidDel="00000000" w:rsidP="00000000" w:rsidRDefault="00000000" w:rsidRPr="00000000" w14:paraId="0000007C">
            <w:pPr>
              <w:spacing w:before="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Wrong population</w:t>
            </w:r>
          </w:p>
        </w:tc>
        <w:tc>
          <w:tcPr>
            <w:vAlign w:val="center"/>
          </w:tcPr>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Alkhayyat, M., Abou Saleh, M., Grewal, M. K., Abureesh, M., Mansoor, E., Simons-Linares, C. R., et al. (2021). Pancreatic manifestations in rheumatoid arthritis: a national population-based study. Rheumatology 60, 2366–2374. doi:10.1093/rheumatology/keaa616.</w:t>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Bhushan, V., Lester, S., Briggs, L., Hijjawi, R., Shanahan, E. M., Pontifex, E., et al. (2021). Real-Life Retention Rates and Reasons for Switching of Biological DMARDs in Rheumatoid Arthritis, Psoriatic Arthritis, and Ankylosing Spondylitis. Front. Med. 8. doi:10.3389/fmed.2021.708168.</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Cronin, O., McKnight, O., Keir, L., Ralston, S. H., Hirani, N., and Harris, H. (2021). A retrospective comparison of respiratory events with JAK inhibitors or rituximab for rheumatoid arthritis in patients with pulmonary disease. Rheumatol. Int. 41, 921–928. doi:10.1007/s00296-021-04835-1.</w:t>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Hsieh, M.-J., Lee, C.-H., Tsai, M.-L., Kao, C.-F., Lan, W.-C., Huang, Y.-T., et al. (2020). Biologic Agents Reduce Cardiovascular Events in Rheumatoid Arthritis Not Responsive to Tumour Necrosis Factor Inhibitors: A National Cohort Study. Can. J. Cardiol. 36, 1739–1746. doi:10.1016/j.cjca.2020.01.003.</w:t>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Mena-Vázquez, N., Rojas-Gimenez, M., Romero-Barco, C. M., Manrique-Arija, S., Francisco, E., Aguilar-Hurtado, M. C., et al. (2021). Predictors of Progression and Mortality in Patients with Prevalent Rheumatoid Arthritis and Interstitial Lung Disease: A Prospective Cohort Study. J. Clin. Med. 10, 874. doi:10.3390/jcm10040874.</w:t>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Plein, S., Erhayiem, B., Fent, G., Horton, S., Dumitru, R. B., Andrews, J., et al. (2020). Cardiovascular effects of biological versus conventional synthetic disease-modifying antirheumatic drug therapy in treatment-naïve, early rheumatoid arthritis. Ann. Rheum. Dis. 79, 1414–1422. doi:10.1136/annrheumdis-2020-217653.</w:t>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Sugihara, T., Ishizaki, T., Onoguchi, W., Baba, H., Matsumoto, T., Iga, S., et al. (2021). Effectiveness and safety of treat-to-target strategy in elderly-onset rheumatoid arthritis: a 3-year prospective observational study. Rheumatology 60, 4252–4261. doi:10.1093/rheumatology/keaa922.</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Watanabe, S., Gono, T., Fukue, R., Kobayashi, S., Shirai, Y., Takeno, M., et al. (2019). Treatment with biologic DMARDs does not increase risk of severe pulmonary events in patients with rheumatoid arthritis and preexisting lung disease. Arthritis Rheumatol. 71, 4133–4134.</w:t>
            </w:r>
          </w:p>
        </w:tc>
      </w:tr>
      <w:tr>
        <w:trPr>
          <w:cantSplit w:val="0"/>
          <w:tblHeader w:val="0"/>
        </w:trPr>
        <w:tc>
          <w:tcPr>
            <w:vAlign w:val="center"/>
          </w:tcPr>
          <w:p w:rsidR="00000000" w:rsidDel="00000000" w:rsidP="00000000" w:rsidRDefault="00000000" w:rsidRPr="00000000" w14:paraId="00000085">
            <w:pPr>
              <w:spacing w:before="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Insufficient data</w:t>
            </w:r>
          </w:p>
        </w:tc>
        <w:tc>
          <w:tcPr>
            <w:vAlign w:val="center"/>
          </w:tcPr>
          <w:p w:rsidR="00000000" w:rsidDel="00000000" w:rsidP="00000000" w:rsidRDefault="00000000" w:rsidRPr="00000000" w14:paraId="000000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Barbieri, M. A., Cicala, G., Cutroneo, P. M., Gerratana, E., Palleria, C., De Sarro, C., et al. (2020). Safety Profile of Biologics Used in Rheumatology: An Italian Prospective Pharmacovigilance Study. J. Clin. Med. 9, 1227. doi:10.3390/jcm9041227.</w:t>
            </w:r>
          </w:p>
          <w:p w:rsidR="00000000" w:rsidDel="00000000" w:rsidP="00000000" w:rsidRDefault="00000000" w:rsidRPr="00000000" w14:paraId="000000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Calip, G. S., Patel, P. R., Adimadhyam, S., Xing, S., Wu, Z., Sweiss, K., et al. (2018). Tumor necrosis factor-alpha inhibitors and risk of non-Hodgkin lymphoma in a cohort of adults with rheumatologic conditions. Int. J. Cancer 143, 1062–1071. doi:10.1002/ijc.31407.</w:t>
            </w:r>
          </w:p>
          <w:p w:rsidR="00000000" w:rsidDel="00000000" w:rsidP="00000000" w:rsidRDefault="00000000" w:rsidRPr="00000000" w14:paraId="000000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Celkys, K., Ly, J., and Soden, M. (2020). Serious infection rates with biological disease modifying anti-rheumatic agents (bDMARDs) and predisposing factors: A 5-year retrospective review. Ann. Rheum. Dis. 79, 1249–1250.</w:t>
            </w:r>
          </w:p>
          <w:p w:rsidR="00000000" w:rsidDel="00000000" w:rsidP="00000000" w:rsidRDefault="00000000" w:rsidRPr="00000000" w14:paraId="000000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Delcoigne, B., Ljung, L., Provan, S. A., Glintborg, B., Lederballe Gron, K., Hetland, M. L., et al. (2021). Short-and longer-term risks for acute coronary syndrome in patients with rheumatoid arthritis starting treatment with disease-modifying anti-rheumatic drugs. a collaborative observational head-to-head study across five nordic rheumatology registers. Ann. Rheum. Dis. 80, 63–64.</w:t>
            </w:r>
          </w:p>
          <w:p w:rsidR="00000000" w:rsidDel="00000000" w:rsidP="00000000" w:rsidRDefault="00000000" w:rsidRPr="00000000" w14:paraId="000000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Koike, T., Harigai, M., Ishiguro, N., Inokuma, S., Takei, S., Takeuchi, T., et al. (2012). Safety and effectiveness of adalimumab in Japanese rheumatoid arthritis patients: postmarketing surveillance report of the first 3,000 patients. Mod. Rheumatol. 22, 498–508. doi:10.1007/s10165-011-0541-5.</w:t>
            </w:r>
          </w:p>
          <w:p w:rsidR="00000000" w:rsidDel="00000000" w:rsidP="00000000" w:rsidRDefault="00000000" w:rsidRPr="00000000" w14:paraId="000000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Krüger, K., Burmester, G. R., Wassenberg, S., Bohl-Bühler, M., and Thomas, M. H. (2018). Effectiveness and safety of golimumab in patients with rheumatoid arthritis, psoriatic arthritis and ankylosing spondylitis under real-life clinical conditions: non-interventional GO-NICE study in Germany. BMJ Open 8, e021082–e021082.</w:t>
            </w:r>
          </w:p>
          <w:p w:rsidR="00000000" w:rsidDel="00000000" w:rsidP="00000000" w:rsidRDefault="00000000" w:rsidRPr="00000000" w14:paraId="000000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Màrquez Pete, N., Maldonado Montoro, M. D. M., Perez Ramirez, C., Espinosa Rodriguez, A., and Jimenez Morales, A. (2021a). Effectiveness and safety of abatacept therapy in patients with rheumatoid arthritis after previous failure with tnfi treatment. Eur. J. Hosp. Pharm. 28, A141–A142.</w:t>
            </w:r>
          </w:p>
          <w:p w:rsidR="00000000" w:rsidDel="00000000" w:rsidP="00000000" w:rsidRDefault="00000000" w:rsidRPr="00000000" w14:paraId="000000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Moreland, L. W., Weinblatt, M. E., Keystone, E. C., Kremer, J. M., Martin, R. W., Schiff, M. H., et al. (2006). Etanercept treatment in adults with established rheumatoid arthritis: 7 years of clinical experience. J. Rheumatol. 33, 854–861.</w:t>
            </w:r>
          </w:p>
          <w:p w:rsidR="00000000" w:rsidDel="00000000" w:rsidP="00000000" w:rsidRDefault="00000000" w:rsidRPr="00000000" w14:paraId="000000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Ogdie, A., Yu, Y., Haynes, K., Love, T. J., Maliha, S., Jiang, Y., et al. (2015). Risk of major cardiovascular events in patients with psoriatic arthritis, psoriasis and rheumatoid arthritis: a population-based cohort study. Ann. Rheum. Dis. 74, 326–332.</w:t>
            </w:r>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Osorio, P., Villarreal, L., Rivero, W., Ibata, L., Martinez, S., Rojas-Villarraga, A., et al. (2021). Certolizumab in monotherapy as effective than in combination in rheumatoid arthritis patients. Ann. Rheum. Dis. 80, 1146.</w:t>
            </w:r>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Rotar, Z., Svetina, P., Tomsic, M., Hočevar, A., and Prapotnik, S. (2020). Tuberculosis among patients treated with TNF inhibitors for rheumatoid arthritis, ankylosing spondylitis and psoriatic arthritis in Slovenia: a cohort study. BMJ Open 10, e034356–e034356.</w:t>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Seror, R., Lafourcade, A., De Rycke, Y., Fautrel, B., Mariette, X., and Tubach, F. (2019). Risk of malignancies associated with biologics in rheumatoid arthritis: Analysis of a national claim database. Arthritis Rheumatol. 71, 1466–1467.</w:t>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Winthrop, K. L., Saag, K., Cascino, M. D., Pei, J., John, A., Jahreis, A., et al. (2019). Long-Term Safety of Rituximab in Patients With Rheumatoid Arthritis: Results of a Five-Year Observational Study. Arthritis Care Res. (Hoboken). 71, 993–1003. doi: 10.1002/acr.23781.</w:t>
            </w:r>
          </w:p>
        </w:tc>
      </w:tr>
    </w:tbl>
    <w:p w:rsidR="00000000" w:rsidDel="00000000" w:rsidP="00000000" w:rsidRDefault="00000000" w:rsidRPr="00000000" w14:paraId="00000093">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94">
      <w:pPr>
        <w:spacing w:before="240" w:lineRule="auto"/>
        <w:rPr/>
      </w:pPr>
      <w:r w:rsidDel="00000000" w:rsidR="00000000" w:rsidRPr="00000000">
        <w:rPr>
          <w:b w:val="1"/>
          <w:rtl w:val="0"/>
        </w:rPr>
        <w:t xml:space="preserve">Table S3. </w:t>
      </w:r>
      <w:r w:rsidDel="00000000" w:rsidR="00000000" w:rsidRPr="00000000">
        <w:rPr>
          <w:rtl w:val="0"/>
        </w:rPr>
        <w:t xml:space="preserve">Additional characteristics of the included studies.</w:t>
      </w:r>
    </w:p>
    <w:tbl>
      <w:tblPr>
        <w:tblStyle w:val="Table3"/>
        <w:tblW w:w="14400.000000000002" w:type="dxa"/>
        <w:jc w:val="left"/>
        <w:tblInd w:w="0.0" w:type="dxa"/>
        <w:tblBorders>
          <w:top w:color="000000" w:space="0" w:sz="8" w:val="single"/>
          <w:bottom w:color="000000" w:space="0" w:sz="8" w:val="single"/>
          <w:insideH w:color="000000" w:space="0" w:sz="4" w:val="single"/>
        </w:tblBorders>
        <w:tblLayout w:type="fixed"/>
        <w:tblLook w:val="0400"/>
      </w:tblPr>
      <w:tblGrid>
        <w:gridCol w:w="971"/>
        <w:gridCol w:w="540"/>
        <w:gridCol w:w="1180"/>
        <w:gridCol w:w="1512"/>
        <w:gridCol w:w="1601"/>
        <w:gridCol w:w="1601"/>
        <w:gridCol w:w="1286"/>
        <w:gridCol w:w="1606"/>
        <w:gridCol w:w="1459"/>
        <w:gridCol w:w="1254"/>
        <w:gridCol w:w="1390"/>
        <w:tblGridChange w:id="0">
          <w:tblGrid>
            <w:gridCol w:w="971"/>
            <w:gridCol w:w="540"/>
            <w:gridCol w:w="1180"/>
            <w:gridCol w:w="1512"/>
            <w:gridCol w:w="1601"/>
            <w:gridCol w:w="1601"/>
            <w:gridCol w:w="1286"/>
            <w:gridCol w:w="1606"/>
            <w:gridCol w:w="1459"/>
            <w:gridCol w:w="1254"/>
            <w:gridCol w:w="1390"/>
          </w:tblGrid>
        </w:tblGridChange>
      </w:tblGrid>
      <w:tr>
        <w:trPr>
          <w:cantSplit w:val="0"/>
          <w:trHeight w:val="285" w:hRule="atLeast"/>
          <w:tblHeader w:val="0"/>
        </w:trPr>
        <w:tc>
          <w:tcPr>
            <w:shd w:fill="auto" w:val="clear"/>
            <w:vAlign w:val="center"/>
          </w:tcPr>
          <w:p w:rsidR="00000000" w:rsidDel="00000000" w:rsidP="00000000" w:rsidRDefault="00000000" w:rsidRPr="00000000" w14:paraId="00000095">
            <w:pPr>
              <w:spacing w:after="0" w:before="0" w:lineRule="auto"/>
              <w:jc w:val="center"/>
              <w:rPr>
                <w:b w:val="1"/>
                <w:color w:val="000000"/>
                <w:sz w:val="20"/>
                <w:szCs w:val="20"/>
              </w:rPr>
            </w:pPr>
            <w:r w:rsidDel="00000000" w:rsidR="00000000" w:rsidRPr="00000000">
              <w:rPr>
                <w:b w:val="1"/>
                <w:color w:val="000000"/>
                <w:sz w:val="20"/>
                <w:szCs w:val="20"/>
                <w:rtl w:val="0"/>
              </w:rPr>
              <w:t xml:space="preserve">Study</w:t>
            </w:r>
          </w:p>
        </w:tc>
        <w:tc>
          <w:tcPr>
            <w:shd w:fill="auto" w:val="clear"/>
            <w:vAlign w:val="center"/>
          </w:tcPr>
          <w:p w:rsidR="00000000" w:rsidDel="00000000" w:rsidP="00000000" w:rsidRDefault="00000000" w:rsidRPr="00000000" w14:paraId="00000096">
            <w:pPr>
              <w:spacing w:after="0" w:before="0" w:lineRule="auto"/>
              <w:jc w:val="center"/>
              <w:rPr>
                <w:b w:val="1"/>
                <w:color w:val="000000"/>
                <w:sz w:val="20"/>
                <w:szCs w:val="20"/>
              </w:rPr>
            </w:pPr>
            <w:r w:rsidDel="00000000" w:rsidR="00000000" w:rsidRPr="00000000">
              <w:rPr>
                <w:b w:val="1"/>
                <w:color w:val="000000"/>
                <w:sz w:val="20"/>
                <w:szCs w:val="20"/>
                <w:rtl w:val="0"/>
              </w:rPr>
              <w:t xml:space="preserve">Year</w:t>
            </w:r>
          </w:p>
        </w:tc>
        <w:tc>
          <w:tcPr>
            <w:shd w:fill="auto" w:val="clear"/>
            <w:vAlign w:val="center"/>
          </w:tcPr>
          <w:p w:rsidR="00000000" w:rsidDel="00000000" w:rsidP="00000000" w:rsidRDefault="00000000" w:rsidRPr="00000000" w14:paraId="00000097">
            <w:pPr>
              <w:spacing w:after="0" w:before="0" w:lineRule="auto"/>
              <w:jc w:val="center"/>
              <w:rPr>
                <w:b w:val="1"/>
                <w:color w:val="000000"/>
                <w:sz w:val="20"/>
                <w:szCs w:val="20"/>
              </w:rPr>
            </w:pPr>
            <w:r w:rsidDel="00000000" w:rsidR="00000000" w:rsidRPr="00000000">
              <w:rPr>
                <w:b w:val="1"/>
                <w:color w:val="000000"/>
                <w:sz w:val="20"/>
                <w:szCs w:val="20"/>
                <w:rtl w:val="0"/>
              </w:rPr>
              <w:t xml:space="preserve">Study design</w:t>
            </w:r>
          </w:p>
        </w:tc>
        <w:tc>
          <w:tcPr>
            <w:shd w:fill="auto" w:val="clear"/>
            <w:vAlign w:val="center"/>
          </w:tcPr>
          <w:p w:rsidR="00000000" w:rsidDel="00000000" w:rsidP="00000000" w:rsidRDefault="00000000" w:rsidRPr="00000000" w14:paraId="00000098">
            <w:pPr>
              <w:spacing w:after="0" w:before="0" w:lineRule="auto"/>
              <w:jc w:val="center"/>
              <w:rPr>
                <w:b w:val="1"/>
                <w:color w:val="000000"/>
                <w:sz w:val="20"/>
                <w:szCs w:val="20"/>
              </w:rPr>
            </w:pPr>
            <w:r w:rsidDel="00000000" w:rsidR="00000000" w:rsidRPr="00000000">
              <w:rPr>
                <w:b w:val="1"/>
                <w:color w:val="000000"/>
                <w:sz w:val="20"/>
                <w:szCs w:val="20"/>
                <w:rtl w:val="0"/>
              </w:rPr>
              <w:t xml:space="preserve">Secondary data sources</w:t>
            </w:r>
          </w:p>
        </w:tc>
        <w:tc>
          <w:tcPr>
            <w:shd w:fill="auto" w:val="clear"/>
            <w:vAlign w:val="center"/>
          </w:tcPr>
          <w:p w:rsidR="00000000" w:rsidDel="00000000" w:rsidP="00000000" w:rsidRDefault="00000000" w:rsidRPr="00000000" w14:paraId="00000099">
            <w:pPr>
              <w:spacing w:after="0" w:before="0" w:lineRule="auto"/>
              <w:jc w:val="center"/>
              <w:rPr>
                <w:b w:val="1"/>
                <w:color w:val="000000"/>
                <w:sz w:val="20"/>
                <w:szCs w:val="20"/>
              </w:rPr>
            </w:pPr>
            <w:r w:rsidDel="00000000" w:rsidR="00000000" w:rsidRPr="00000000">
              <w:rPr>
                <w:b w:val="1"/>
                <w:color w:val="000000"/>
                <w:sz w:val="20"/>
                <w:szCs w:val="20"/>
                <w:rtl w:val="0"/>
              </w:rPr>
              <w:t xml:space="preserve">Treatment</w:t>
            </w:r>
          </w:p>
        </w:tc>
        <w:tc>
          <w:tcPr>
            <w:shd w:fill="auto" w:val="clear"/>
            <w:vAlign w:val="center"/>
          </w:tcPr>
          <w:p w:rsidR="00000000" w:rsidDel="00000000" w:rsidP="00000000" w:rsidRDefault="00000000" w:rsidRPr="00000000" w14:paraId="0000009A">
            <w:pPr>
              <w:spacing w:after="0" w:before="0" w:lineRule="auto"/>
              <w:jc w:val="center"/>
              <w:rPr>
                <w:b w:val="1"/>
                <w:color w:val="000000"/>
                <w:sz w:val="20"/>
                <w:szCs w:val="20"/>
              </w:rPr>
            </w:pPr>
            <w:r w:rsidDel="00000000" w:rsidR="00000000" w:rsidRPr="00000000">
              <w:rPr>
                <w:b w:val="1"/>
                <w:color w:val="000000"/>
                <w:sz w:val="20"/>
                <w:szCs w:val="20"/>
                <w:rtl w:val="0"/>
              </w:rPr>
              <w:t xml:space="preserve">Control</w:t>
            </w:r>
          </w:p>
        </w:tc>
        <w:tc>
          <w:tcPr>
            <w:shd w:fill="auto" w:val="clear"/>
            <w:vAlign w:val="center"/>
          </w:tcPr>
          <w:p w:rsidR="00000000" w:rsidDel="00000000" w:rsidP="00000000" w:rsidRDefault="00000000" w:rsidRPr="00000000" w14:paraId="0000009B">
            <w:pPr>
              <w:spacing w:after="0" w:before="0" w:lineRule="auto"/>
              <w:jc w:val="center"/>
              <w:rPr>
                <w:b w:val="1"/>
                <w:color w:val="000000"/>
                <w:sz w:val="20"/>
                <w:szCs w:val="20"/>
              </w:rPr>
            </w:pPr>
            <w:r w:rsidDel="00000000" w:rsidR="00000000" w:rsidRPr="00000000">
              <w:rPr>
                <w:b w:val="1"/>
                <w:color w:val="000000"/>
                <w:sz w:val="20"/>
                <w:szCs w:val="20"/>
                <w:rtl w:val="0"/>
              </w:rPr>
              <w:t xml:space="preserve">Age</w:t>
            </w:r>
          </w:p>
        </w:tc>
        <w:tc>
          <w:tcPr>
            <w:shd w:fill="auto" w:val="clear"/>
            <w:vAlign w:val="center"/>
          </w:tcPr>
          <w:p w:rsidR="00000000" w:rsidDel="00000000" w:rsidP="00000000" w:rsidRDefault="00000000" w:rsidRPr="00000000" w14:paraId="0000009C">
            <w:pPr>
              <w:spacing w:after="0" w:before="0" w:lineRule="auto"/>
              <w:jc w:val="center"/>
              <w:rPr>
                <w:b w:val="1"/>
                <w:color w:val="000000"/>
                <w:sz w:val="20"/>
                <w:szCs w:val="20"/>
              </w:rPr>
            </w:pPr>
            <w:r w:rsidDel="00000000" w:rsidR="00000000" w:rsidRPr="00000000">
              <w:rPr>
                <w:b w:val="1"/>
                <w:color w:val="000000"/>
                <w:sz w:val="20"/>
                <w:szCs w:val="20"/>
                <w:rtl w:val="0"/>
              </w:rPr>
              <w:t xml:space="preserve">Adjustment</w:t>
            </w:r>
          </w:p>
        </w:tc>
        <w:tc>
          <w:tcPr>
            <w:vAlign w:val="center"/>
          </w:tcPr>
          <w:p w:rsidR="00000000" w:rsidDel="00000000" w:rsidP="00000000" w:rsidRDefault="00000000" w:rsidRPr="00000000" w14:paraId="0000009D">
            <w:pPr>
              <w:spacing w:after="0" w:before="0" w:lineRule="auto"/>
              <w:jc w:val="center"/>
              <w:rPr>
                <w:b w:val="1"/>
                <w:color w:val="000000"/>
                <w:sz w:val="20"/>
                <w:szCs w:val="20"/>
              </w:rPr>
            </w:pPr>
            <w:r w:rsidDel="00000000" w:rsidR="00000000" w:rsidRPr="00000000">
              <w:rPr>
                <w:b w:val="1"/>
                <w:sz w:val="20"/>
                <w:szCs w:val="20"/>
                <w:rtl w:val="0"/>
              </w:rPr>
              <w:t xml:space="preserve">Comorbidities</w:t>
            </w:r>
            <w:r w:rsidDel="00000000" w:rsidR="00000000" w:rsidRPr="00000000">
              <w:rPr>
                <w:rtl w:val="0"/>
              </w:rPr>
            </w:r>
          </w:p>
        </w:tc>
        <w:tc>
          <w:tcPr>
            <w:vAlign w:val="center"/>
          </w:tcPr>
          <w:p w:rsidR="00000000" w:rsidDel="00000000" w:rsidP="00000000" w:rsidRDefault="00000000" w:rsidRPr="00000000" w14:paraId="0000009E">
            <w:pPr>
              <w:spacing w:after="0" w:before="0" w:lineRule="auto"/>
              <w:jc w:val="center"/>
              <w:rPr>
                <w:b w:val="1"/>
                <w:color w:val="000000"/>
                <w:sz w:val="20"/>
                <w:szCs w:val="20"/>
              </w:rPr>
            </w:pPr>
            <w:r w:rsidDel="00000000" w:rsidR="00000000" w:rsidRPr="00000000">
              <w:rPr>
                <w:b w:val="1"/>
                <w:sz w:val="20"/>
                <w:szCs w:val="20"/>
                <w:rtl w:val="0"/>
              </w:rPr>
              <w:t xml:space="preserve">RA assessment</w:t>
            </w:r>
            <w:r w:rsidDel="00000000" w:rsidR="00000000" w:rsidRPr="00000000">
              <w:rPr>
                <w:rtl w:val="0"/>
              </w:rPr>
            </w:r>
          </w:p>
        </w:tc>
        <w:tc>
          <w:tcPr>
            <w:vAlign w:val="center"/>
          </w:tcPr>
          <w:p w:rsidR="00000000" w:rsidDel="00000000" w:rsidP="00000000" w:rsidRDefault="00000000" w:rsidRPr="00000000" w14:paraId="0000009F">
            <w:pPr>
              <w:spacing w:after="0" w:before="0" w:lineRule="auto"/>
              <w:jc w:val="center"/>
              <w:rPr>
                <w:b w:val="1"/>
                <w:color w:val="000000"/>
                <w:sz w:val="20"/>
                <w:szCs w:val="20"/>
              </w:rPr>
            </w:pPr>
            <w:r w:rsidDel="00000000" w:rsidR="00000000" w:rsidRPr="00000000">
              <w:rPr>
                <w:b w:val="1"/>
                <w:sz w:val="20"/>
                <w:szCs w:val="20"/>
                <w:rtl w:val="0"/>
              </w:rPr>
              <w:t xml:space="preserve">Outcome assessment</w:t>
            </w:r>
            <w:r w:rsidDel="00000000" w:rsidR="00000000" w:rsidRPr="00000000">
              <w:rPr>
                <w:rtl w:val="0"/>
              </w:rPr>
            </w:r>
          </w:p>
        </w:tc>
      </w:tr>
      <w:tr>
        <w:trPr>
          <w:cantSplit w:val="0"/>
          <w:trHeight w:val="1695" w:hRule="atLeast"/>
          <w:tblHeader w:val="0"/>
        </w:trPr>
        <w:tc>
          <w:tcPr>
            <w:shd w:fill="auto" w:val="clear"/>
            <w:vAlign w:val="center"/>
          </w:tcPr>
          <w:p w:rsidR="00000000" w:rsidDel="00000000" w:rsidP="00000000" w:rsidRDefault="00000000" w:rsidRPr="00000000" w14:paraId="000000A0">
            <w:pPr>
              <w:spacing w:after="0" w:before="0" w:lineRule="auto"/>
              <w:jc w:val="center"/>
              <w:rPr>
                <w:color w:val="000000"/>
                <w:sz w:val="20"/>
                <w:szCs w:val="20"/>
              </w:rPr>
            </w:pPr>
            <w:r w:rsidDel="00000000" w:rsidR="00000000" w:rsidRPr="00000000">
              <w:rPr>
                <w:color w:val="000000"/>
                <w:sz w:val="20"/>
                <w:szCs w:val="20"/>
                <w:rtl w:val="0"/>
              </w:rPr>
              <w:t xml:space="preserve">Arkema</w:t>
            </w:r>
          </w:p>
        </w:tc>
        <w:tc>
          <w:tcPr>
            <w:shd w:fill="auto" w:val="clear"/>
            <w:vAlign w:val="center"/>
          </w:tcPr>
          <w:p w:rsidR="00000000" w:rsidDel="00000000" w:rsidP="00000000" w:rsidRDefault="00000000" w:rsidRPr="00000000" w14:paraId="000000A1">
            <w:pPr>
              <w:spacing w:after="0" w:before="0" w:lineRule="auto"/>
              <w:jc w:val="center"/>
              <w:rPr>
                <w:color w:val="000000"/>
                <w:sz w:val="20"/>
                <w:szCs w:val="20"/>
              </w:rPr>
            </w:pPr>
            <w:r w:rsidDel="00000000" w:rsidR="00000000" w:rsidRPr="00000000">
              <w:rPr>
                <w:color w:val="000000"/>
                <w:sz w:val="20"/>
                <w:szCs w:val="20"/>
                <w:rtl w:val="0"/>
              </w:rPr>
              <w:t xml:space="preserve">2014</w:t>
            </w:r>
          </w:p>
        </w:tc>
        <w:tc>
          <w:tcPr>
            <w:shd w:fill="auto" w:val="clear"/>
            <w:vAlign w:val="center"/>
          </w:tcPr>
          <w:p w:rsidR="00000000" w:rsidDel="00000000" w:rsidP="00000000" w:rsidRDefault="00000000" w:rsidRPr="00000000" w14:paraId="000000A2">
            <w:pPr>
              <w:spacing w:after="0" w:before="0" w:lineRule="auto"/>
              <w:jc w:val="center"/>
              <w:rPr>
                <w:color w:val="000000"/>
                <w:sz w:val="20"/>
                <w:szCs w:val="20"/>
              </w:rPr>
            </w:pPr>
            <w:r w:rsidDel="00000000" w:rsidR="00000000" w:rsidRPr="00000000">
              <w:rPr>
                <w:color w:val="000000"/>
                <w:sz w:val="20"/>
                <w:szCs w:val="20"/>
                <w:rtl w:val="0"/>
              </w:rPr>
              <w:t xml:space="preserve">Population-based cohort 2002-2011</w:t>
            </w:r>
          </w:p>
        </w:tc>
        <w:tc>
          <w:tcPr>
            <w:shd w:fill="auto" w:val="clear"/>
            <w:vAlign w:val="center"/>
          </w:tcPr>
          <w:p w:rsidR="00000000" w:rsidDel="00000000" w:rsidP="00000000" w:rsidRDefault="00000000" w:rsidRPr="00000000" w14:paraId="000000A3">
            <w:pPr>
              <w:spacing w:after="0" w:before="0" w:lineRule="auto"/>
              <w:jc w:val="center"/>
              <w:rPr>
                <w:color w:val="000000"/>
                <w:sz w:val="20"/>
                <w:szCs w:val="20"/>
              </w:rPr>
            </w:pPr>
            <w:r w:rsidDel="00000000" w:rsidR="00000000" w:rsidRPr="00000000">
              <w:rPr>
                <w:color w:val="000000"/>
                <w:sz w:val="20"/>
                <w:szCs w:val="20"/>
                <w:rtl w:val="0"/>
              </w:rPr>
              <w:t xml:space="preserve">Swedish Rheumatology Quality Register (SRQ)</w:t>
            </w:r>
          </w:p>
        </w:tc>
        <w:tc>
          <w:tcPr>
            <w:shd w:fill="auto" w:val="clear"/>
            <w:vAlign w:val="center"/>
          </w:tcPr>
          <w:p w:rsidR="00000000" w:rsidDel="00000000" w:rsidP="00000000" w:rsidRDefault="00000000" w:rsidRPr="00000000" w14:paraId="000000A4">
            <w:pPr>
              <w:spacing w:after="0" w:before="0" w:lineRule="auto"/>
              <w:jc w:val="center"/>
              <w:rPr>
                <w:color w:val="000000"/>
                <w:sz w:val="20"/>
                <w:szCs w:val="20"/>
              </w:rPr>
            </w:pPr>
            <w:r w:rsidDel="00000000" w:rsidR="00000000" w:rsidRPr="00000000">
              <w:rPr>
                <w:color w:val="000000"/>
                <w:sz w:val="20"/>
                <w:szCs w:val="20"/>
                <w:rtl w:val="0"/>
              </w:rPr>
              <w:t xml:space="preserve">Biological-exposed RA</w:t>
              <w:br w:type="textWrapping"/>
              <w:t xml:space="preserve">(10,800)</w:t>
            </w:r>
          </w:p>
        </w:tc>
        <w:tc>
          <w:tcPr>
            <w:shd w:fill="auto" w:val="clear"/>
            <w:vAlign w:val="center"/>
          </w:tcPr>
          <w:p w:rsidR="00000000" w:rsidDel="00000000" w:rsidP="00000000" w:rsidRDefault="00000000" w:rsidRPr="00000000" w14:paraId="000000A5">
            <w:pPr>
              <w:spacing w:after="0" w:before="0" w:lineRule="auto"/>
              <w:jc w:val="center"/>
              <w:rPr>
                <w:color w:val="000000"/>
                <w:sz w:val="20"/>
                <w:szCs w:val="20"/>
              </w:rPr>
            </w:pPr>
            <w:r w:rsidDel="00000000" w:rsidR="00000000" w:rsidRPr="00000000">
              <w:rPr>
                <w:color w:val="000000"/>
                <w:sz w:val="20"/>
                <w:szCs w:val="20"/>
                <w:rtl w:val="0"/>
              </w:rPr>
              <w:t xml:space="preserve">General population</w:t>
              <w:br w:type="textWrapping"/>
              <w:t xml:space="preserve">(175,972)</w:t>
              <w:br w:type="textWrapping"/>
              <w:t xml:space="preserve"> Biological-naïve RA</w:t>
              <w:br w:type="textWrapping"/>
              <w:t xml:space="preserve">(37,982)</w:t>
            </w:r>
          </w:p>
        </w:tc>
        <w:tc>
          <w:tcPr>
            <w:shd w:fill="auto" w:val="clear"/>
            <w:vAlign w:val="center"/>
          </w:tcPr>
          <w:p w:rsidR="00000000" w:rsidDel="00000000" w:rsidP="00000000" w:rsidRDefault="00000000" w:rsidRPr="00000000" w14:paraId="000000A6">
            <w:pPr>
              <w:spacing w:after="0" w:before="0" w:lineRule="auto"/>
              <w:jc w:val="center"/>
              <w:rPr>
                <w:color w:val="000000"/>
                <w:sz w:val="20"/>
                <w:szCs w:val="20"/>
              </w:rPr>
            </w:pPr>
            <w:r w:rsidDel="00000000" w:rsidR="00000000" w:rsidRPr="00000000">
              <w:rPr>
                <w:color w:val="000000"/>
                <w:sz w:val="20"/>
                <w:szCs w:val="20"/>
                <w:rtl w:val="0"/>
              </w:rPr>
              <w:t xml:space="preserve">Biological-naïve RA</w:t>
              <w:br w:type="textWrapping"/>
              <w:t xml:space="preserve"> 63.1±14.1; </w:t>
              <w:br w:type="textWrapping"/>
              <w:t xml:space="preserve">Biological-exposed RA </w:t>
              <w:br w:type="textWrapping"/>
              <w:t xml:space="preserve">56.4±13.3</w:t>
            </w:r>
          </w:p>
        </w:tc>
        <w:tc>
          <w:tcPr>
            <w:shd w:fill="auto" w:val="clear"/>
            <w:vAlign w:val="center"/>
          </w:tcPr>
          <w:p w:rsidR="00000000" w:rsidDel="00000000" w:rsidP="00000000" w:rsidRDefault="00000000" w:rsidRPr="00000000" w14:paraId="000000A7">
            <w:pPr>
              <w:spacing w:after="0" w:before="0" w:lineRule="auto"/>
              <w:jc w:val="center"/>
              <w:rPr>
                <w:color w:val="000000"/>
                <w:sz w:val="20"/>
                <w:szCs w:val="20"/>
              </w:rPr>
            </w:pPr>
            <w:r w:rsidDel="00000000" w:rsidR="00000000" w:rsidRPr="00000000">
              <w:rPr>
                <w:color w:val="000000"/>
                <w:sz w:val="20"/>
                <w:szCs w:val="20"/>
                <w:rtl w:val="0"/>
              </w:rPr>
              <w:t xml:space="preserve">Sex, age, education, country of birth and history of any visit with an ICD code for diabetes, cancer, chronic obstructive pulmonary disease</w:t>
            </w:r>
          </w:p>
        </w:tc>
        <w:tc>
          <w:tcPr>
            <w:vAlign w:val="center"/>
          </w:tcPr>
          <w:p w:rsidR="00000000" w:rsidDel="00000000" w:rsidP="00000000" w:rsidRDefault="00000000" w:rsidRPr="00000000" w14:paraId="000000A8">
            <w:pPr>
              <w:spacing w:after="0" w:before="0" w:lineRule="auto"/>
              <w:jc w:val="center"/>
              <w:rPr>
                <w:color w:val="000000"/>
                <w:sz w:val="20"/>
                <w:szCs w:val="20"/>
              </w:rPr>
            </w:pPr>
            <w:r w:rsidDel="00000000" w:rsidR="00000000" w:rsidRPr="00000000">
              <w:rPr>
                <w:sz w:val="20"/>
                <w:szCs w:val="20"/>
                <w:rtl w:val="0"/>
              </w:rPr>
              <w:t xml:space="preserve">Diabetes, cancer, and chronic obstructive pulmonary disease</w:t>
            </w:r>
            <w:r w:rsidDel="00000000" w:rsidR="00000000" w:rsidRPr="00000000">
              <w:rPr>
                <w:rtl w:val="0"/>
              </w:rPr>
            </w:r>
          </w:p>
        </w:tc>
        <w:tc>
          <w:tcPr>
            <w:vAlign w:val="center"/>
          </w:tcPr>
          <w:p w:rsidR="00000000" w:rsidDel="00000000" w:rsidP="00000000" w:rsidRDefault="00000000" w:rsidRPr="00000000" w14:paraId="000000A9">
            <w:pPr>
              <w:spacing w:after="0" w:before="0" w:lineRule="auto"/>
              <w:jc w:val="center"/>
              <w:rPr>
                <w:color w:val="000000"/>
                <w:sz w:val="20"/>
                <w:szCs w:val="20"/>
              </w:rPr>
            </w:pPr>
            <w:r w:rsidDel="00000000" w:rsidR="00000000" w:rsidRPr="00000000">
              <w:rPr>
                <w:sz w:val="20"/>
                <w:szCs w:val="20"/>
                <w:rtl w:val="0"/>
              </w:rPr>
              <w:t xml:space="preserve">ICD code</w:t>
            </w:r>
            <w:r w:rsidDel="00000000" w:rsidR="00000000" w:rsidRPr="00000000">
              <w:rPr>
                <w:rtl w:val="0"/>
              </w:rPr>
            </w:r>
          </w:p>
        </w:tc>
        <w:tc>
          <w:tcPr>
            <w:vAlign w:val="center"/>
          </w:tcPr>
          <w:p w:rsidR="00000000" w:rsidDel="00000000" w:rsidP="00000000" w:rsidRDefault="00000000" w:rsidRPr="00000000" w14:paraId="000000AA">
            <w:pPr>
              <w:spacing w:after="0" w:before="0" w:lineRule="auto"/>
              <w:jc w:val="center"/>
              <w:rPr>
                <w:color w:val="000000"/>
                <w:sz w:val="20"/>
                <w:szCs w:val="20"/>
              </w:rPr>
            </w:pPr>
            <w:r w:rsidDel="00000000" w:rsidR="00000000" w:rsidRPr="00000000">
              <w:rPr>
                <w:color w:val="000000"/>
                <w:sz w:val="20"/>
                <w:szCs w:val="20"/>
                <w:rtl w:val="0"/>
              </w:rPr>
              <w:t xml:space="preserve">Tuberculosis Register</w:t>
            </w:r>
          </w:p>
        </w:tc>
      </w:tr>
      <w:tr>
        <w:trPr>
          <w:cantSplit w:val="0"/>
          <w:trHeight w:val="1665" w:hRule="atLeast"/>
          <w:tblHeader w:val="0"/>
        </w:trPr>
        <w:tc>
          <w:tcPr>
            <w:shd w:fill="auto" w:val="clear"/>
            <w:vAlign w:val="center"/>
          </w:tcPr>
          <w:p w:rsidR="00000000" w:rsidDel="00000000" w:rsidP="00000000" w:rsidRDefault="00000000" w:rsidRPr="00000000" w14:paraId="000000AB">
            <w:pPr>
              <w:spacing w:after="0" w:before="0" w:lineRule="auto"/>
              <w:jc w:val="center"/>
              <w:rPr>
                <w:color w:val="000000"/>
                <w:sz w:val="20"/>
                <w:szCs w:val="20"/>
              </w:rPr>
            </w:pPr>
            <w:r w:rsidDel="00000000" w:rsidR="00000000" w:rsidRPr="00000000">
              <w:rPr>
                <w:color w:val="000000"/>
                <w:sz w:val="20"/>
                <w:szCs w:val="20"/>
                <w:rtl w:val="0"/>
              </w:rPr>
              <w:t xml:space="preserve">Chen</w:t>
            </w:r>
          </w:p>
        </w:tc>
        <w:tc>
          <w:tcPr>
            <w:shd w:fill="auto" w:val="clear"/>
            <w:vAlign w:val="center"/>
          </w:tcPr>
          <w:p w:rsidR="00000000" w:rsidDel="00000000" w:rsidP="00000000" w:rsidRDefault="00000000" w:rsidRPr="00000000" w14:paraId="000000AC">
            <w:pPr>
              <w:spacing w:after="0" w:before="0" w:lineRule="auto"/>
              <w:jc w:val="center"/>
              <w:rPr>
                <w:color w:val="000000"/>
                <w:sz w:val="20"/>
                <w:szCs w:val="20"/>
              </w:rPr>
            </w:pPr>
            <w:r w:rsidDel="00000000" w:rsidR="00000000" w:rsidRPr="00000000">
              <w:rPr>
                <w:color w:val="000000"/>
                <w:sz w:val="20"/>
                <w:szCs w:val="20"/>
                <w:rtl w:val="0"/>
              </w:rPr>
              <w:t xml:space="preserve">2020</w:t>
            </w:r>
          </w:p>
        </w:tc>
        <w:tc>
          <w:tcPr>
            <w:shd w:fill="auto" w:val="clear"/>
            <w:vAlign w:val="center"/>
          </w:tcPr>
          <w:p w:rsidR="00000000" w:rsidDel="00000000" w:rsidP="00000000" w:rsidRDefault="00000000" w:rsidRPr="00000000" w14:paraId="000000AD">
            <w:pPr>
              <w:spacing w:after="0" w:before="0" w:lineRule="auto"/>
              <w:jc w:val="center"/>
              <w:rPr>
                <w:color w:val="000000"/>
                <w:sz w:val="20"/>
                <w:szCs w:val="20"/>
              </w:rPr>
            </w:pPr>
            <w:r w:rsidDel="00000000" w:rsidR="00000000" w:rsidRPr="00000000">
              <w:rPr>
                <w:color w:val="000000"/>
                <w:sz w:val="20"/>
                <w:szCs w:val="20"/>
                <w:rtl w:val="0"/>
              </w:rPr>
              <w:t xml:space="preserve">Population-based cohort 2006-2015</w:t>
            </w:r>
          </w:p>
        </w:tc>
        <w:tc>
          <w:tcPr>
            <w:shd w:fill="auto" w:val="clear"/>
            <w:vAlign w:val="center"/>
          </w:tcPr>
          <w:p w:rsidR="00000000" w:rsidDel="00000000" w:rsidP="00000000" w:rsidRDefault="00000000" w:rsidRPr="00000000" w14:paraId="000000AE">
            <w:pPr>
              <w:spacing w:after="0" w:before="0" w:lineRule="auto"/>
              <w:jc w:val="center"/>
              <w:rPr>
                <w:color w:val="000000"/>
                <w:sz w:val="20"/>
                <w:szCs w:val="20"/>
              </w:rPr>
            </w:pPr>
            <w:r w:rsidDel="00000000" w:rsidR="00000000" w:rsidRPr="00000000">
              <w:rPr>
                <w:color w:val="000000"/>
                <w:sz w:val="20"/>
                <w:szCs w:val="20"/>
                <w:rtl w:val="0"/>
              </w:rPr>
              <w:t xml:space="preserve">Truven MarketScan database </w:t>
            </w:r>
          </w:p>
        </w:tc>
        <w:tc>
          <w:tcPr>
            <w:shd w:fill="auto" w:val="clear"/>
            <w:vAlign w:val="center"/>
          </w:tcPr>
          <w:p w:rsidR="00000000" w:rsidDel="00000000" w:rsidP="00000000" w:rsidRDefault="00000000" w:rsidRPr="00000000" w14:paraId="000000AF">
            <w:pPr>
              <w:spacing w:after="0" w:before="0" w:lineRule="auto"/>
              <w:jc w:val="center"/>
              <w:rPr>
                <w:color w:val="000000"/>
                <w:sz w:val="20"/>
                <w:szCs w:val="20"/>
              </w:rPr>
            </w:pPr>
            <w:r w:rsidDel="00000000" w:rsidR="00000000" w:rsidRPr="00000000">
              <w:rPr>
                <w:color w:val="000000"/>
                <w:sz w:val="20"/>
                <w:szCs w:val="20"/>
                <w:rtl w:val="0"/>
              </w:rPr>
              <w:t xml:space="preserve">Abatacept</w:t>
              <w:br w:type="textWrapping"/>
              <w:t xml:space="preserve">(11,248)</w:t>
            </w:r>
          </w:p>
        </w:tc>
        <w:tc>
          <w:tcPr>
            <w:shd w:fill="auto" w:val="clear"/>
            <w:vAlign w:val="center"/>
          </w:tcPr>
          <w:p w:rsidR="00000000" w:rsidDel="00000000" w:rsidP="00000000" w:rsidRDefault="00000000" w:rsidRPr="00000000" w14:paraId="000000B0">
            <w:pPr>
              <w:spacing w:after="0" w:before="0" w:lineRule="auto"/>
              <w:jc w:val="center"/>
              <w:rPr>
                <w:color w:val="000000"/>
                <w:sz w:val="20"/>
                <w:szCs w:val="20"/>
              </w:rPr>
            </w:pPr>
            <w:r w:rsidDel="00000000" w:rsidR="00000000" w:rsidRPr="00000000">
              <w:rPr>
                <w:color w:val="000000"/>
                <w:sz w:val="20"/>
                <w:szCs w:val="20"/>
                <w:rtl w:val="0"/>
              </w:rPr>
              <w:t xml:space="preserve">TNFi </w:t>
              <w:br w:type="textWrapping"/>
              <w:t xml:space="preserve">(11,248).</w:t>
            </w:r>
          </w:p>
        </w:tc>
        <w:tc>
          <w:tcPr>
            <w:shd w:fill="auto" w:val="clear"/>
            <w:vAlign w:val="center"/>
          </w:tcPr>
          <w:p w:rsidR="00000000" w:rsidDel="00000000" w:rsidP="00000000" w:rsidRDefault="00000000" w:rsidRPr="00000000" w14:paraId="000000B1">
            <w:pPr>
              <w:spacing w:after="0" w:before="0" w:lineRule="auto"/>
              <w:jc w:val="center"/>
              <w:rPr>
                <w:color w:val="000000"/>
                <w:sz w:val="20"/>
                <w:szCs w:val="20"/>
              </w:rPr>
            </w:pPr>
            <w:r w:rsidDel="00000000" w:rsidR="00000000" w:rsidRPr="00000000">
              <w:rPr>
                <w:color w:val="000000"/>
                <w:sz w:val="20"/>
                <w:szCs w:val="20"/>
                <w:rtl w:val="0"/>
              </w:rPr>
              <w:t xml:space="preserve">Abatacept</w:t>
              <w:br w:type="textWrapping"/>
              <w:t xml:space="preserve"> (55.3 ± 12.8)</w:t>
              <w:br w:type="textWrapping"/>
              <w:t xml:space="preserve">TNFi </w:t>
              <w:br w:type="textWrapping"/>
              <w:t xml:space="preserve">(55.5 ± 12.7)</w:t>
            </w:r>
          </w:p>
        </w:tc>
        <w:tc>
          <w:tcPr>
            <w:shd w:fill="auto" w:val="clear"/>
            <w:vAlign w:val="center"/>
          </w:tcPr>
          <w:p w:rsidR="00000000" w:rsidDel="00000000" w:rsidP="00000000" w:rsidRDefault="00000000" w:rsidRPr="00000000" w14:paraId="000000B2">
            <w:pPr>
              <w:spacing w:after="0" w:before="0" w:lineRule="auto"/>
              <w:jc w:val="center"/>
              <w:rPr>
                <w:color w:val="000000"/>
                <w:sz w:val="20"/>
                <w:szCs w:val="20"/>
              </w:rPr>
            </w:pPr>
            <w:r w:rsidDel="00000000" w:rsidR="00000000" w:rsidRPr="00000000">
              <w:rPr>
                <w:color w:val="000000"/>
                <w:sz w:val="20"/>
                <w:szCs w:val="20"/>
                <w:rtl w:val="0"/>
              </w:rPr>
              <w:t xml:space="preserve">Age, sex, calendar year of index date, region of residence, comorbidities, and hospitalization for infection by ICD-9 codes, and calculated combined comorbidity index at baseline.</w:t>
            </w:r>
          </w:p>
        </w:tc>
        <w:tc>
          <w:tcPr>
            <w:vAlign w:val="center"/>
          </w:tcPr>
          <w:p w:rsidR="00000000" w:rsidDel="00000000" w:rsidP="00000000" w:rsidRDefault="00000000" w:rsidRPr="00000000" w14:paraId="000000B3">
            <w:pPr>
              <w:jc w:val="center"/>
              <w:rPr>
                <w:sz w:val="20"/>
                <w:szCs w:val="20"/>
              </w:rPr>
            </w:pPr>
            <w:r w:rsidDel="00000000" w:rsidR="00000000" w:rsidRPr="00000000">
              <w:rPr>
                <w:sz w:val="20"/>
                <w:szCs w:val="20"/>
                <w:rtl w:val="0"/>
              </w:rPr>
              <w:t xml:space="preserve">Hypertension, diabetes mellitus, obesity, smoking, alcohol</w:t>
            </w:r>
          </w:p>
          <w:p w:rsidR="00000000" w:rsidDel="00000000" w:rsidP="00000000" w:rsidRDefault="00000000" w:rsidRPr="00000000" w14:paraId="000000B4">
            <w:pPr>
              <w:jc w:val="center"/>
              <w:rPr>
                <w:sz w:val="20"/>
                <w:szCs w:val="20"/>
              </w:rPr>
            </w:pPr>
            <w:r w:rsidDel="00000000" w:rsidR="00000000" w:rsidRPr="00000000">
              <w:rPr>
                <w:sz w:val="20"/>
                <w:szCs w:val="20"/>
                <w:rtl w:val="0"/>
              </w:rPr>
              <w:t xml:space="preserve">use, depression, cardiovascular disease, chronic renal disease,</w:t>
            </w:r>
          </w:p>
          <w:p w:rsidR="00000000" w:rsidDel="00000000" w:rsidP="00000000" w:rsidRDefault="00000000" w:rsidRPr="00000000" w14:paraId="000000B5">
            <w:pPr>
              <w:jc w:val="center"/>
              <w:rPr>
                <w:sz w:val="20"/>
                <w:szCs w:val="20"/>
              </w:rPr>
            </w:pPr>
            <w:r w:rsidDel="00000000" w:rsidR="00000000" w:rsidRPr="00000000">
              <w:rPr>
                <w:sz w:val="20"/>
                <w:szCs w:val="20"/>
                <w:rtl w:val="0"/>
              </w:rPr>
              <w:t xml:space="preserve">chronic liver disease, pulmonary disease, viral hepatitis, inflammatory</w:t>
            </w:r>
          </w:p>
          <w:p w:rsidR="00000000" w:rsidDel="00000000" w:rsidP="00000000" w:rsidRDefault="00000000" w:rsidRPr="00000000" w14:paraId="000000B6">
            <w:pPr>
              <w:jc w:val="center"/>
              <w:rPr>
                <w:sz w:val="20"/>
                <w:szCs w:val="20"/>
              </w:rPr>
            </w:pPr>
            <w:r w:rsidDel="00000000" w:rsidR="00000000" w:rsidRPr="00000000">
              <w:rPr>
                <w:sz w:val="20"/>
                <w:szCs w:val="20"/>
                <w:rtl w:val="0"/>
              </w:rPr>
              <w:t xml:space="preserve">bowel disease, and hospitalization for infection</w:t>
            </w:r>
          </w:p>
          <w:p w:rsidR="00000000" w:rsidDel="00000000" w:rsidP="00000000" w:rsidRDefault="00000000" w:rsidRPr="00000000" w14:paraId="000000B7">
            <w:pPr>
              <w:spacing w:after="0" w:before="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0B8">
            <w:pPr>
              <w:spacing w:after="0" w:before="0" w:lineRule="auto"/>
              <w:jc w:val="center"/>
              <w:rPr>
                <w:color w:val="000000"/>
                <w:sz w:val="20"/>
                <w:szCs w:val="20"/>
              </w:rPr>
            </w:pPr>
            <w:r w:rsidDel="00000000" w:rsidR="00000000" w:rsidRPr="00000000">
              <w:rPr>
                <w:sz w:val="20"/>
                <w:szCs w:val="20"/>
                <w:rtl w:val="0"/>
              </w:rPr>
              <w:t xml:space="preserve">ICD-9 code 714.xx</w:t>
            </w:r>
            <w:r w:rsidDel="00000000" w:rsidR="00000000" w:rsidRPr="00000000">
              <w:rPr>
                <w:rtl w:val="0"/>
              </w:rPr>
            </w:r>
          </w:p>
        </w:tc>
        <w:tc>
          <w:tcPr>
            <w:vAlign w:val="center"/>
          </w:tcPr>
          <w:p w:rsidR="00000000" w:rsidDel="00000000" w:rsidP="00000000" w:rsidRDefault="00000000" w:rsidRPr="00000000" w14:paraId="000000B9">
            <w:pPr>
              <w:spacing w:after="0" w:before="0" w:lineRule="auto"/>
              <w:jc w:val="center"/>
              <w:rPr>
                <w:color w:val="000000"/>
                <w:sz w:val="20"/>
                <w:szCs w:val="20"/>
              </w:rPr>
            </w:pPr>
            <w:r w:rsidDel="00000000" w:rsidR="00000000" w:rsidRPr="00000000">
              <w:rPr>
                <w:sz w:val="20"/>
                <w:szCs w:val="20"/>
                <w:rtl w:val="0"/>
              </w:rPr>
              <w:t xml:space="preserve">ICD-9 codes</w:t>
            </w:r>
            <w:r w:rsidDel="00000000" w:rsidR="00000000" w:rsidRPr="00000000">
              <w:rPr>
                <w:rtl w:val="0"/>
              </w:rPr>
            </w:r>
          </w:p>
        </w:tc>
      </w:tr>
      <w:tr>
        <w:trPr>
          <w:cantSplit w:val="0"/>
          <w:trHeight w:val="3885" w:hRule="atLeast"/>
          <w:tblHeader w:val="0"/>
        </w:trPr>
        <w:tc>
          <w:tcPr>
            <w:shd w:fill="auto" w:val="clear"/>
            <w:vAlign w:val="center"/>
          </w:tcPr>
          <w:p w:rsidR="00000000" w:rsidDel="00000000" w:rsidP="00000000" w:rsidRDefault="00000000" w:rsidRPr="00000000" w14:paraId="000000BA">
            <w:pPr>
              <w:spacing w:after="0" w:before="0" w:lineRule="auto"/>
              <w:jc w:val="center"/>
              <w:rPr>
                <w:color w:val="000000"/>
                <w:sz w:val="20"/>
                <w:szCs w:val="20"/>
              </w:rPr>
            </w:pPr>
            <w:r w:rsidDel="00000000" w:rsidR="00000000" w:rsidRPr="00000000">
              <w:rPr>
                <w:color w:val="000000"/>
                <w:sz w:val="20"/>
                <w:szCs w:val="20"/>
                <w:rtl w:val="0"/>
              </w:rPr>
              <w:t xml:space="preserve">Chen</w:t>
            </w:r>
          </w:p>
        </w:tc>
        <w:tc>
          <w:tcPr>
            <w:shd w:fill="auto" w:val="clear"/>
            <w:vAlign w:val="center"/>
          </w:tcPr>
          <w:p w:rsidR="00000000" w:rsidDel="00000000" w:rsidP="00000000" w:rsidRDefault="00000000" w:rsidRPr="00000000" w14:paraId="000000BB">
            <w:pPr>
              <w:spacing w:after="0" w:before="0" w:lineRule="auto"/>
              <w:jc w:val="center"/>
              <w:rPr>
                <w:color w:val="000000"/>
                <w:sz w:val="20"/>
                <w:szCs w:val="20"/>
              </w:rPr>
            </w:pPr>
            <w:r w:rsidDel="00000000" w:rsidR="00000000" w:rsidRPr="00000000">
              <w:rPr>
                <w:color w:val="000000"/>
                <w:sz w:val="20"/>
                <w:szCs w:val="20"/>
                <w:rtl w:val="0"/>
              </w:rPr>
              <w:t xml:space="preserve">2021</w:t>
            </w:r>
          </w:p>
        </w:tc>
        <w:tc>
          <w:tcPr>
            <w:shd w:fill="auto" w:val="clear"/>
            <w:vAlign w:val="center"/>
          </w:tcPr>
          <w:p w:rsidR="00000000" w:rsidDel="00000000" w:rsidP="00000000" w:rsidRDefault="00000000" w:rsidRPr="00000000" w14:paraId="000000BC">
            <w:pPr>
              <w:spacing w:after="0" w:before="0" w:lineRule="auto"/>
              <w:jc w:val="center"/>
              <w:rPr>
                <w:color w:val="000000"/>
                <w:sz w:val="20"/>
                <w:szCs w:val="20"/>
              </w:rPr>
            </w:pPr>
            <w:r w:rsidDel="00000000" w:rsidR="00000000" w:rsidRPr="00000000">
              <w:rPr>
                <w:color w:val="000000"/>
                <w:sz w:val="20"/>
                <w:szCs w:val="20"/>
                <w:rtl w:val="0"/>
              </w:rPr>
              <w:t xml:space="preserve">Population-based case-control</w:t>
              <w:br w:type="textWrapping"/>
              <w:t xml:space="preserve">1995-2014</w:t>
            </w:r>
          </w:p>
        </w:tc>
        <w:tc>
          <w:tcPr>
            <w:shd w:fill="auto" w:val="clear"/>
            <w:vAlign w:val="center"/>
          </w:tcPr>
          <w:p w:rsidR="00000000" w:rsidDel="00000000" w:rsidP="00000000" w:rsidRDefault="00000000" w:rsidRPr="00000000" w14:paraId="000000BD">
            <w:pPr>
              <w:spacing w:after="0" w:before="0" w:lineRule="auto"/>
              <w:jc w:val="center"/>
              <w:rPr>
                <w:color w:val="000000"/>
                <w:sz w:val="20"/>
                <w:szCs w:val="20"/>
              </w:rPr>
            </w:pPr>
            <w:r w:rsidDel="00000000" w:rsidR="00000000" w:rsidRPr="00000000">
              <w:rPr>
                <w:color w:val="000000"/>
                <w:sz w:val="20"/>
                <w:szCs w:val="20"/>
                <w:rtl w:val="0"/>
              </w:rPr>
              <w:t xml:space="preserve">National</w:t>
              <w:br w:type="textWrapping"/>
              <w:t xml:space="preserve">Health Insurance Research Database (NHIRD)</w:t>
            </w:r>
          </w:p>
        </w:tc>
        <w:tc>
          <w:tcPr>
            <w:shd w:fill="auto" w:val="clear"/>
            <w:vAlign w:val="center"/>
          </w:tcPr>
          <w:p w:rsidR="00000000" w:rsidDel="00000000" w:rsidP="00000000" w:rsidRDefault="00000000" w:rsidRPr="00000000" w14:paraId="000000BE">
            <w:pPr>
              <w:spacing w:after="0" w:before="0" w:lineRule="auto"/>
              <w:jc w:val="center"/>
              <w:rPr>
                <w:color w:val="000000"/>
                <w:sz w:val="20"/>
                <w:szCs w:val="20"/>
              </w:rPr>
            </w:pPr>
            <w:r w:rsidDel="00000000" w:rsidR="00000000" w:rsidRPr="00000000">
              <w:rPr>
                <w:color w:val="000000"/>
                <w:sz w:val="20"/>
                <w:szCs w:val="20"/>
                <w:rtl w:val="0"/>
              </w:rPr>
              <w:t xml:space="preserve">bDMARDs - MACE</w:t>
              <w:br w:type="textWrapping"/>
              <w:t xml:space="preserve">(113)</w:t>
              <w:br w:type="textWrapping"/>
              <w:t xml:space="preserve">Etanecept</w:t>
              <w:br w:type="textWrapping"/>
              <w:t xml:space="preserve">(49)</w:t>
              <w:br w:type="textWrapping"/>
              <w:t xml:space="preserve">Adalimumab</w:t>
              <w:br w:type="textWrapping"/>
              <w:t xml:space="preserve">(45)</w:t>
              <w:br w:type="textWrapping"/>
              <w:t xml:space="preserve">Golimumab</w:t>
              <w:br w:type="textWrapping"/>
              <w:t xml:space="preserve">(1)</w:t>
              <w:br w:type="textWrapping"/>
              <w:t xml:space="preserve">Tocilizumab</w:t>
              <w:br w:type="textWrapping"/>
              <w:t xml:space="preserve">(3)</w:t>
              <w:br w:type="textWrapping"/>
              <w:t xml:space="preserve">Abatacept</w:t>
              <w:br w:type="textWrapping"/>
              <w:t xml:space="preserve">(1)</w:t>
              <w:br w:type="textWrapping"/>
              <w:t xml:space="preserve">Rituximab</w:t>
              <w:br w:type="textWrapping"/>
              <w:t xml:space="preserve">(14)</w:t>
            </w:r>
          </w:p>
        </w:tc>
        <w:tc>
          <w:tcPr>
            <w:shd w:fill="auto" w:val="clear"/>
            <w:vAlign w:val="center"/>
          </w:tcPr>
          <w:p w:rsidR="00000000" w:rsidDel="00000000" w:rsidP="00000000" w:rsidRDefault="00000000" w:rsidRPr="00000000" w14:paraId="000000BF">
            <w:pPr>
              <w:spacing w:after="0" w:before="0" w:lineRule="auto"/>
              <w:jc w:val="center"/>
              <w:rPr>
                <w:color w:val="000000"/>
                <w:sz w:val="20"/>
                <w:szCs w:val="20"/>
              </w:rPr>
            </w:pPr>
            <w:r w:rsidDel="00000000" w:rsidR="00000000" w:rsidRPr="00000000">
              <w:rPr>
                <w:color w:val="000000"/>
                <w:sz w:val="20"/>
                <w:szCs w:val="20"/>
                <w:rtl w:val="0"/>
              </w:rPr>
              <w:t xml:space="preserve">bDMARDs patients</w:t>
              <w:br w:type="textWrapping"/>
              <w:t xml:space="preserve">(917)</w:t>
              <w:br w:type="textWrapping"/>
              <w:t xml:space="preserve">Etanecept</w:t>
              <w:br w:type="textWrapping"/>
              <w:t xml:space="preserve">(377)</w:t>
              <w:br w:type="textWrapping"/>
              <w:t xml:space="preserve">Adalimumab</w:t>
              <w:br w:type="textWrapping"/>
              <w:t xml:space="preserve">(274)</w:t>
              <w:br w:type="textWrapping"/>
              <w:t xml:space="preserve">Golimumab</w:t>
              <w:br w:type="textWrapping"/>
              <w:t xml:space="preserve">(68)</w:t>
              <w:br w:type="textWrapping"/>
              <w:t xml:space="preserve">Tocilizumab</w:t>
              <w:br w:type="textWrapping"/>
              <w:t xml:space="preserve">(42)</w:t>
              <w:br w:type="textWrapping"/>
              <w:t xml:space="preserve">Abatacept</w:t>
              <w:br w:type="textWrapping"/>
              <w:t xml:space="preserve">(49)</w:t>
              <w:br w:type="textWrapping"/>
              <w:t xml:space="preserve">Rituximab</w:t>
              <w:br w:type="textWrapping"/>
              <w:t xml:space="preserve">(107)</w:t>
            </w:r>
          </w:p>
        </w:tc>
        <w:tc>
          <w:tcPr>
            <w:shd w:fill="auto" w:val="clear"/>
            <w:vAlign w:val="center"/>
          </w:tcPr>
          <w:p w:rsidR="00000000" w:rsidDel="00000000" w:rsidP="00000000" w:rsidRDefault="00000000" w:rsidRPr="00000000" w14:paraId="000000C0">
            <w:pPr>
              <w:spacing w:after="0" w:before="0" w:lineRule="auto"/>
              <w:jc w:val="center"/>
              <w:rPr>
                <w:color w:val="000000"/>
                <w:sz w:val="20"/>
                <w:szCs w:val="20"/>
              </w:rPr>
            </w:pPr>
            <w:r w:rsidDel="00000000" w:rsidR="00000000" w:rsidRPr="00000000">
              <w:rPr>
                <w:color w:val="000000"/>
                <w:sz w:val="20"/>
                <w:szCs w:val="20"/>
                <w:rtl w:val="0"/>
              </w:rPr>
              <w:t xml:space="preserve">69.19 ± 11.62</w:t>
            </w:r>
          </w:p>
        </w:tc>
        <w:tc>
          <w:tcPr>
            <w:shd w:fill="auto" w:val="clear"/>
            <w:vAlign w:val="center"/>
          </w:tcPr>
          <w:p w:rsidR="00000000" w:rsidDel="00000000" w:rsidP="00000000" w:rsidRDefault="00000000" w:rsidRPr="00000000" w14:paraId="000000C1">
            <w:pPr>
              <w:spacing w:after="0" w:before="0" w:lineRule="auto"/>
              <w:jc w:val="center"/>
              <w:rPr>
                <w:color w:val="000000"/>
                <w:sz w:val="20"/>
                <w:szCs w:val="20"/>
              </w:rPr>
            </w:pPr>
            <w:r w:rsidDel="00000000" w:rsidR="00000000" w:rsidRPr="00000000">
              <w:rPr>
                <w:color w:val="000000"/>
                <w:sz w:val="20"/>
                <w:szCs w:val="20"/>
                <w:rtl w:val="0"/>
              </w:rPr>
              <w:t xml:space="preserve">Age, gender, disease duration,</w:t>
              <w:br w:type="textWrapping"/>
              <w:t xml:space="preserve">and comorbidities by ICD-9 codes, Major adverse cardiovascular events (MACE): composite of myocardial infarction (MI), coronary revascularization, ischemic stroke, and cardiovascular death,</w:t>
            </w:r>
          </w:p>
        </w:tc>
        <w:tc>
          <w:tcPr>
            <w:vAlign w:val="center"/>
          </w:tcPr>
          <w:p w:rsidR="00000000" w:rsidDel="00000000" w:rsidP="00000000" w:rsidRDefault="00000000" w:rsidRPr="00000000" w14:paraId="000000C2">
            <w:pPr>
              <w:jc w:val="center"/>
              <w:rPr>
                <w:sz w:val="20"/>
                <w:szCs w:val="20"/>
              </w:rPr>
            </w:pPr>
            <w:r w:rsidDel="00000000" w:rsidR="00000000" w:rsidRPr="00000000">
              <w:rPr>
                <w:sz w:val="20"/>
                <w:szCs w:val="20"/>
                <w:rtl w:val="0"/>
              </w:rPr>
              <w:t xml:space="preserve">Heart failure, hypertension, diabetes mellitus, vascular disease, hyperlipidemia, ischemic heart disease, valvular heart disease, chronic</w:t>
            </w:r>
          </w:p>
          <w:p w:rsidR="00000000" w:rsidDel="00000000" w:rsidP="00000000" w:rsidRDefault="00000000" w:rsidRPr="00000000" w14:paraId="000000C3">
            <w:pPr>
              <w:jc w:val="center"/>
              <w:rPr>
                <w:sz w:val="20"/>
                <w:szCs w:val="20"/>
              </w:rPr>
            </w:pPr>
            <w:r w:rsidDel="00000000" w:rsidR="00000000" w:rsidRPr="00000000">
              <w:rPr>
                <w:sz w:val="20"/>
                <w:szCs w:val="20"/>
                <w:rtl w:val="0"/>
              </w:rPr>
              <w:t xml:space="preserve">obstructive pulmonary disease, renal disease, hyperthyroidism, depression, and anxiety</w:t>
            </w:r>
          </w:p>
          <w:p w:rsidR="00000000" w:rsidDel="00000000" w:rsidP="00000000" w:rsidRDefault="00000000" w:rsidRPr="00000000" w14:paraId="000000C4">
            <w:pPr>
              <w:spacing w:after="0" w:before="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0C5">
            <w:pPr>
              <w:spacing w:after="0" w:before="0" w:lineRule="auto"/>
              <w:jc w:val="center"/>
              <w:rPr>
                <w:color w:val="000000"/>
                <w:sz w:val="20"/>
                <w:szCs w:val="20"/>
              </w:rPr>
            </w:pPr>
            <w:r w:rsidDel="00000000" w:rsidR="00000000" w:rsidRPr="00000000">
              <w:rPr>
                <w:sz w:val="20"/>
                <w:szCs w:val="20"/>
                <w:rtl w:val="0"/>
              </w:rPr>
              <w:t xml:space="preserve">ICD-9 code 714.0</w:t>
            </w:r>
            <w:r w:rsidDel="00000000" w:rsidR="00000000" w:rsidRPr="00000000">
              <w:rPr>
                <w:rtl w:val="0"/>
              </w:rPr>
            </w:r>
          </w:p>
        </w:tc>
        <w:tc>
          <w:tcPr>
            <w:vAlign w:val="center"/>
          </w:tcPr>
          <w:p w:rsidR="00000000" w:rsidDel="00000000" w:rsidP="00000000" w:rsidRDefault="00000000" w:rsidRPr="00000000" w14:paraId="000000C6">
            <w:pPr>
              <w:jc w:val="center"/>
              <w:rPr>
                <w:sz w:val="20"/>
                <w:szCs w:val="20"/>
              </w:rPr>
            </w:pPr>
            <w:r w:rsidDel="00000000" w:rsidR="00000000" w:rsidRPr="00000000">
              <w:rPr>
                <w:sz w:val="20"/>
                <w:szCs w:val="20"/>
                <w:rtl w:val="0"/>
              </w:rPr>
              <w:t xml:space="preserve">ICD-9 codes 410 (except for 410.x2 for inpatients</w:t>
            </w:r>
          </w:p>
          <w:p w:rsidR="00000000" w:rsidDel="00000000" w:rsidP="00000000" w:rsidRDefault="00000000" w:rsidRPr="00000000" w14:paraId="000000C7">
            <w:pPr>
              <w:jc w:val="center"/>
              <w:rPr>
                <w:sz w:val="20"/>
                <w:szCs w:val="20"/>
              </w:rPr>
            </w:pPr>
            <w:r w:rsidDel="00000000" w:rsidR="00000000" w:rsidRPr="00000000">
              <w:rPr>
                <w:sz w:val="20"/>
                <w:szCs w:val="20"/>
                <w:rtl w:val="0"/>
              </w:rPr>
              <w:t xml:space="preserve">with a hospitalization for at least 3 days, unless</w:t>
            </w:r>
          </w:p>
          <w:p w:rsidR="00000000" w:rsidDel="00000000" w:rsidP="00000000" w:rsidRDefault="00000000" w:rsidRPr="00000000" w14:paraId="000000C8">
            <w:pPr>
              <w:jc w:val="center"/>
              <w:rPr>
                <w:sz w:val="20"/>
                <w:szCs w:val="20"/>
              </w:rPr>
            </w:pPr>
            <w:r w:rsidDel="00000000" w:rsidR="00000000" w:rsidRPr="00000000">
              <w:rPr>
                <w:sz w:val="20"/>
                <w:szCs w:val="20"/>
                <w:rtl w:val="0"/>
              </w:rPr>
              <w:t xml:space="preserve">mortality occurred), 00.66, 36.03, 36.06, 36.07,</w:t>
            </w:r>
          </w:p>
          <w:p w:rsidR="00000000" w:rsidDel="00000000" w:rsidP="00000000" w:rsidRDefault="00000000" w:rsidRPr="00000000" w14:paraId="000000C9">
            <w:pPr>
              <w:spacing w:after="0" w:before="0" w:lineRule="auto"/>
              <w:jc w:val="center"/>
              <w:rPr>
                <w:color w:val="000000"/>
                <w:sz w:val="20"/>
                <w:szCs w:val="20"/>
              </w:rPr>
            </w:pPr>
            <w:r w:rsidDel="00000000" w:rsidR="00000000" w:rsidRPr="00000000">
              <w:rPr>
                <w:sz w:val="20"/>
                <w:szCs w:val="20"/>
                <w:rtl w:val="0"/>
              </w:rPr>
              <w:t xml:space="preserve"> 36.1, 36.2, and 433-436 (except 433.x0 and 434.x0, for ischemic stroke)</w:t>
            </w:r>
            <w:r w:rsidDel="00000000" w:rsidR="00000000" w:rsidRPr="00000000">
              <w:rPr>
                <w:rtl w:val="0"/>
              </w:rPr>
            </w:r>
          </w:p>
        </w:tc>
      </w:tr>
      <w:tr>
        <w:trPr>
          <w:cantSplit w:val="0"/>
          <w:trHeight w:val="3885" w:hRule="atLeast"/>
          <w:tblHeader w:val="0"/>
        </w:trPr>
        <w:tc>
          <w:tcPr>
            <w:shd w:fill="auto" w:val="clear"/>
            <w:vAlign w:val="center"/>
          </w:tcPr>
          <w:p w:rsidR="00000000" w:rsidDel="00000000" w:rsidP="00000000" w:rsidRDefault="00000000" w:rsidRPr="00000000" w14:paraId="000000CA">
            <w:pPr>
              <w:spacing w:after="0" w:before="0" w:lineRule="auto"/>
              <w:jc w:val="center"/>
              <w:rPr>
                <w:color w:val="000000"/>
                <w:sz w:val="20"/>
                <w:szCs w:val="20"/>
              </w:rPr>
            </w:pPr>
            <w:r w:rsidDel="00000000" w:rsidR="00000000" w:rsidRPr="00000000">
              <w:rPr>
                <w:color w:val="000000"/>
                <w:sz w:val="20"/>
                <w:szCs w:val="20"/>
                <w:rtl w:val="0"/>
              </w:rPr>
              <w:t xml:space="preserve">Curtis</w:t>
            </w:r>
          </w:p>
        </w:tc>
        <w:tc>
          <w:tcPr>
            <w:shd w:fill="auto" w:val="clear"/>
            <w:vAlign w:val="center"/>
          </w:tcPr>
          <w:p w:rsidR="00000000" w:rsidDel="00000000" w:rsidP="00000000" w:rsidRDefault="00000000" w:rsidRPr="00000000" w14:paraId="000000CB">
            <w:pPr>
              <w:spacing w:after="0" w:before="0" w:lineRule="auto"/>
              <w:jc w:val="center"/>
              <w:rPr>
                <w:color w:val="000000"/>
                <w:sz w:val="20"/>
                <w:szCs w:val="20"/>
              </w:rPr>
            </w:pPr>
            <w:r w:rsidDel="00000000" w:rsidR="00000000" w:rsidRPr="00000000">
              <w:rPr>
                <w:color w:val="000000"/>
                <w:sz w:val="20"/>
                <w:szCs w:val="20"/>
                <w:rtl w:val="0"/>
              </w:rPr>
              <w:t xml:space="preserve">2016</w:t>
            </w:r>
          </w:p>
        </w:tc>
        <w:tc>
          <w:tcPr>
            <w:shd w:fill="auto" w:val="clear"/>
            <w:vAlign w:val="center"/>
          </w:tcPr>
          <w:p w:rsidR="00000000" w:rsidDel="00000000" w:rsidP="00000000" w:rsidRDefault="00000000" w:rsidRPr="00000000" w14:paraId="000000CC">
            <w:pPr>
              <w:spacing w:after="0" w:before="0" w:lineRule="auto"/>
              <w:jc w:val="center"/>
              <w:rPr>
                <w:color w:val="000000"/>
                <w:sz w:val="20"/>
                <w:szCs w:val="20"/>
              </w:rPr>
            </w:pPr>
            <w:r w:rsidDel="00000000" w:rsidR="00000000" w:rsidRPr="00000000">
              <w:rPr>
                <w:color w:val="000000"/>
                <w:sz w:val="20"/>
                <w:szCs w:val="20"/>
                <w:rtl w:val="0"/>
              </w:rPr>
              <w:t xml:space="preserve">Retrospective cohort</w:t>
            </w:r>
          </w:p>
        </w:tc>
        <w:tc>
          <w:tcPr>
            <w:shd w:fill="auto" w:val="clear"/>
            <w:vAlign w:val="center"/>
          </w:tcPr>
          <w:p w:rsidR="00000000" w:rsidDel="00000000" w:rsidP="00000000" w:rsidRDefault="00000000" w:rsidRPr="00000000" w14:paraId="000000CD">
            <w:pPr>
              <w:spacing w:after="0" w:before="0" w:lineRule="auto"/>
              <w:jc w:val="center"/>
              <w:rPr>
                <w:color w:val="000000"/>
                <w:sz w:val="20"/>
                <w:szCs w:val="20"/>
              </w:rPr>
            </w:pPr>
            <w:r w:rsidDel="00000000" w:rsidR="00000000" w:rsidRPr="00000000">
              <w:rPr>
                <w:color w:val="000000"/>
                <w:sz w:val="20"/>
                <w:szCs w:val="20"/>
                <w:rtl w:val="0"/>
              </w:rPr>
              <w:t xml:space="preserve">Medicare (2006–2013) and Marketscan (2010–2014)</w:t>
            </w:r>
          </w:p>
        </w:tc>
        <w:tc>
          <w:tcPr>
            <w:shd w:fill="auto" w:val="clear"/>
            <w:vAlign w:val="center"/>
          </w:tcPr>
          <w:p w:rsidR="00000000" w:rsidDel="00000000" w:rsidP="00000000" w:rsidRDefault="00000000" w:rsidRPr="00000000" w14:paraId="000000CE">
            <w:pPr>
              <w:spacing w:after="0" w:before="0" w:lineRule="auto"/>
              <w:jc w:val="center"/>
              <w:rPr>
                <w:color w:val="000000"/>
                <w:sz w:val="20"/>
                <w:szCs w:val="20"/>
              </w:rPr>
            </w:pPr>
            <w:r w:rsidDel="00000000" w:rsidR="00000000" w:rsidRPr="00000000">
              <w:rPr>
                <w:color w:val="000000"/>
                <w:sz w:val="20"/>
                <w:szCs w:val="20"/>
                <w:rtl w:val="0"/>
              </w:rPr>
              <w:t xml:space="preserve">Abatacept</w:t>
              <w:br w:type="textWrapping"/>
              <w:t xml:space="preserve">(11,434)</w:t>
              <w:br w:type="textWrapping"/>
              <w:t xml:space="preserve">Rituximab</w:t>
              <w:br w:type="textWrapping"/>
              <w:t xml:space="preserve">(4,785)</w:t>
              <w:br w:type="textWrapping"/>
              <w:t xml:space="preserve">TNFi</w:t>
              <w:br w:type="textWrapping"/>
              <w:t xml:space="preserve">(38,871)</w:t>
              <w:br w:type="textWrapping"/>
              <w:t xml:space="preserve">Tocilizumab</w:t>
              <w:br w:type="textWrapping"/>
              <w:t xml:space="preserve">(6,266)</w:t>
            </w:r>
          </w:p>
        </w:tc>
        <w:tc>
          <w:tcPr>
            <w:shd w:fill="auto" w:val="clear"/>
            <w:vAlign w:val="center"/>
          </w:tcPr>
          <w:p w:rsidR="00000000" w:rsidDel="00000000" w:rsidP="00000000" w:rsidRDefault="00000000" w:rsidRPr="00000000" w14:paraId="000000CF">
            <w:pPr>
              <w:spacing w:after="0" w:before="0" w:lineRule="auto"/>
              <w:jc w:val="center"/>
              <w:rPr>
                <w:color w:val="000000"/>
                <w:sz w:val="20"/>
                <w:szCs w:val="20"/>
              </w:rPr>
            </w:pPr>
            <w:r w:rsidDel="00000000" w:rsidR="00000000" w:rsidRPr="00000000">
              <w:rPr>
                <w:color w:val="000000"/>
                <w:sz w:val="20"/>
                <w:szCs w:val="20"/>
                <w:rtl w:val="0"/>
              </w:rPr>
              <w:t xml:space="preserve">Tofacitinib</w:t>
              <w:br w:type="textWrapping"/>
              <w:t xml:space="preserve">(1,746)</w:t>
            </w:r>
          </w:p>
        </w:tc>
        <w:tc>
          <w:tcPr>
            <w:shd w:fill="auto" w:val="clear"/>
            <w:vAlign w:val="center"/>
          </w:tcPr>
          <w:p w:rsidR="00000000" w:rsidDel="00000000" w:rsidP="00000000" w:rsidRDefault="00000000" w:rsidRPr="00000000" w14:paraId="000000D0">
            <w:pPr>
              <w:spacing w:after="0" w:before="0" w:lineRule="auto"/>
              <w:jc w:val="center"/>
              <w:rPr>
                <w:color w:val="000000"/>
                <w:sz w:val="20"/>
                <w:szCs w:val="20"/>
              </w:rPr>
            </w:pPr>
            <w:r w:rsidDel="00000000" w:rsidR="00000000" w:rsidRPr="00000000">
              <w:rPr>
                <w:color w:val="000000"/>
                <w:sz w:val="20"/>
                <w:szCs w:val="20"/>
                <w:rtl w:val="0"/>
              </w:rPr>
              <w:t xml:space="preserve">57.1-62.0</w:t>
            </w:r>
          </w:p>
        </w:tc>
        <w:tc>
          <w:tcPr>
            <w:shd w:fill="auto" w:val="clear"/>
            <w:vAlign w:val="center"/>
          </w:tcPr>
          <w:p w:rsidR="00000000" w:rsidDel="00000000" w:rsidP="00000000" w:rsidRDefault="00000000" w:rsidRPr="00000000" w14:paraId="000000D1">
            <w:pPr>
              <w:spacing w:after="0" w:before="0" w:lineRule="auto"/>
              <w:jc w:val="center"/>
              <w:rPr>
                <w:color w:val="000000"/>
                <w:sz w:val="20"/>
                <w:szCs w:val="20"/>
              </w:rPr>
            </w:pPr>
            <w:r w:rsidDel="00000000" w:rsidR="00000000" w:rsidRPr="00000000">
              <w:rPr>
                <w:color w:val="000000"/>
                <w:sz w:val="20"/>
                <w:szCs w:val="20"/>
                <w:rtl w:val="0"/>
              </w:rPr>
              <w:t xml:space="preserve">Age, sex, baseline glucocorticoid use, methotrexate, number of biologics used, hospitalization, hospitalized infection, outpatient infection, and zoster vaccination</w:t>
            </w:r>
          </w:p>
        </w:tc>
        <w:tc>
          <w:tcPr>
            <w:vAlign w:val="center"/>
          </w:tcPr>
          <w:p w:rsidR="00000000" w:rsidDel="00000000" w:rsidP="00000000" w:rsidRDefault="00000000" w:rsidRPr="00000000" w14:paraId="000000D2">
            <w:pPr>
              <w:spacing w:after="0" w:before="0" w:lineRule="auto"/>
              <w:jc w:val="center"/>
              <w:rPr>
                <w:color w:val="000000"/>
                <w:sz w:val="20"/>
                <w:szCs w:val="20"/>
              </w:rPr>
            </w:pPr>
            <w:r w:rsidDel="00000000" w:rsidR="00000000" w:rsidRPr="00000000">
              <w:rPr>
                <w:sz w:val="20"/>
                <w:szCs w:val="20"/>
                <w:rtl w:val="0"/>
              </w:rPr>
              <w:t xml:space="preserve">Diabetes mellitus, Chronic obstructive pulmonary disease, Heart failure, Renal disease, Any fracture, and Hospitalized infections during baseline </w:t>
            </w:r>
            <w:r w:rsidDel="00000000" w:rsidR="00000000" w:rsidRPr="00000000">
              <w:rPr>
                <w:rtl w:val="0"/>
              </w:rPr>
            </w:r>
          </w:p>
        </w:tc>
        <w:tc>
          <w:tcPr>
            <w:vAlign w:val="center"/>
          </w:tcPr>
          <w:p w:rsidR="00000000" w:rsidDel="00000000" w:rsidP="00000000" w:rsidRDefault="00000000" w:rsidRPr="00000000" w14:paraId="000000D3">
            <w:pPr>
              <w:spacing w:after="0" w:before="0" w:lineRule="auto"/>
              <w:jc w:val="center"/>
              <w:rPr>
                <w:color w:val="000000"/>
                <w:sz w:val="20"/>
                <w:szCs w:val="20"/>
              </w:rPr>
            </w:pPr>
            <w:r w:rsidDel="00000000" w:rsidR="00000000" w:rsidRPr="00000000">
              <w:rPr>
                <w:sz w:val="20"/>
                <w:szCs w:val="20"/>
                <w:rtl w:val="0"/>
              </w:rPr>
              <w:t xml:space="preserve">ICD-9 codes 714.0, 714.2, 714.81</w:t>
            </w:r>
            <w:r w:rsidDel="00000000" w:rsidR="00000000" w:rsidRPr="00000000">
              <w:rPr>
                <w:rtl w:val="0"/>
              </w:rPr>
            </w:r>
          </w:p>
        </w:tc>
        <w:tc>
          <w:tcPr>
            <w:vAlign w:val="center"/>
          </w:tcPr>
          <w:p w:rsidR="00000000" w:rsidDel="00000000" w:rsidP="00000000" w:rsidRDefault="00000000" w:rsidRPr="00000000" w14:paraId="000000D4">
            <w:pPr>
              <w:spacing w:after="0" w:before="0" w:lineRule="auto"/>
              <w:jc w:val="center"/>
              <w:rPr>
                <w:color w:val="000000"/>
                <w:sz w:val="20"/>
                <w:szCs w:val="20"/>
              </w:rPr>
            </w:pPr>
            <w:r w:rsidDel="00000000" w:rsidR="00000000" w:rsidRPr="00000000">
              <w:rPr>
                <w:sz w:val="20"/>
                <w:szCs w:val="20"/>
                <w:rtl w:val="0"/>
              </w:rPr>
              <w:t xml:space="preserve">ICD9 code 053.xx</w:t>
            </w:r>
            <w:r w:rsidDel="00000000" w:rsidR="00000000" w:rsidRPr="00000000">
              <w:rPr>
                <w:rtl w:val="0"/>
              </w:rPr>
            </w:r>
          </w:p>
        </w:tc>
      </w:tr>
      <w:tr>
        <w:trPr>
          <w:cantSplit w:val="0"/>
          <w:trHeight w:val="2385" w:hRule="atLeast"/>
          <w:tblHeader w:val="0"/>
        </w:trPr>
        <w:tc>
          <w:tcPr>
            <w:shd w:fill="auto" w:val="clear"/>
            <w:vAlign w:val="center"/>
          </w:tcPr>
          <w:p w:rsidR="00000000" w:rsidDel="00000000" w:rsidP="00000000" w:rsidRDefault="00000000" w:rsidRPr="00000000" w14:paraId="000000D5">
            <w:pPr>
              <w:spacing w:after="0" w:before="0" w:lineRule="auto"/>
              <w:jc w:val="center"/>
              <w:rPr>
                <w:color w:val="000000"/>
                <w:sz w:val="20"/>
                <w:szCs w:val="20"/>
              </w:rPr>
            </w:pPr>
            <w:r w:rsidDel="00000000" w:rsidR="00000000" w:rsidRPr="00000000">
              <w:rPr>
                <w:color w:val="000000"/>
                <w:sz w:val="20"/>
                <w:szCs w:val="20"/>
                <w:rtl w:val="0"/>
              </w:rPr>
              <w:t xml:space="preserve">Desai</w:t>
            </w:r>
          </w:p>
        </w:tc>
        <w:tc>
          <w:tcPr>
            <w:shd w:fill="auto" w:val="clear"/>
            <w:vAlign w:val="center"/>
          </w:tcPr>
          <w:p w:rsidR="00000000" w:rsidDel="00000000" w:rsidP="00000000" w:rsidRDefault="00000000" w:rsidRPr="00000000" w14:paraId="000000D6">
            <w:pPr>
              <w:spacing w:after="0" w:before="0" w:lineRule="auto"/>
              <w:jc w:val="center"/>
              <w:rPr>
                <w:color w:val="000000"/>
                <w:sz w:val="20"/>
                <w:szCs w:val="20"/>
              </w:rPr>
            </w:pPr>
            <w:r w:rsidDel="00000000" w:rsidR="00000000" w:rsidRPr="00000000">
              <w:rPr>
                <w:color w:val="000000"/>
                <w:sz w:val="20"/>
                <w:szCs w:val="20"/>
                <w:rtl w:val="0"/>
              </w:rPr>
              <w:t xml:space="preserve">2017</w:t>
            </w:r>
          </w:p>
        </w:tc>
        <w:tc>
          <w:tcPr>
            <w:shd w:fill="auto" w:val="clear"/>
            <w:vAlign w:val="center"/>
          </w:tcPr>
          <w:p w:rsidR="00000000" w:rsidDel="00000000" w:rsidP="00000000" w:rsidRDefault="00000000" w:rsidRPr="00000000" w14:paraId="000000D7">
            <w:pPr>
              <w:spacing w:after="0" w:before="0" w:lineRule="auto"/>
              <w:jc w:val="center"/>
              <w:rPr>
                <w:color w:val="000000"/>
                <w:sz w:val="20"/>
                <w:szCs w:val="20"/>
              </w:rPr>
            </w:pPr>
            <w:r w:rsidDel="00000000" w:rsidR="00000000" w:rsidRPr="00000000">
              <w:rPr>
                <w:color w:val="000000"/>
                <w:sz w:val="20"/>
                <w:szCs w:val="20"/>
                <w:rtl w:val="0"/>
              </w:rPr>
              <w:t xml:space="preserve">Population-based cohort 2001-2012</w:t>
            </w:r>
          </w:p>
        </w:tc>
        <w:tc>
          <w:tcPr>
            <w:shd w:fill="auto" w:val="clear"/>
            <w:vAlign w:val="center"/>
          </w:tcPr>
          <w:p w:rsidR="00000000" w:rsidDel="00000000" w:rsidP="00000000" w:rsidRDefault="00000000" w:rsidRPr="00000000" w14:paraId="000000D8">
            <w:pPr>
              <w:spacing w:after="0" w:before="0" w:lineRule="auto"/>
              <w:jc w:val="center"/>
              <w:rPr>
                <w:color w:val="000000"/>
                <w:sz w:val="20"/>
                <w:szCs w:val="20"/>
              </w:rPr>
            </w:pPr>
            <w:r w:rsidDel="00000000" w:rsidR="00000000" w:rsidRPr="00000000">
              <w:rPr>
                <w:color w:val="000000"/>
                <w:sz w:val="20"/>
                <w:szCs w:val="20"/>
                <w:rtl w:val="0"/>
              </w:rPr>
              <w:t xml:space="preserve">WellPoint and United HealthCare</w:t>
            </w:r>
          </w:p>
        </w:tc>
        <w:tc>
          <w:tcPr>
            <w:shd w:fill="auto" w:val="clear"/>
            <w:vAlign w:val="center"/>
          </w:tcPr>
          <w:p w:rsidR="00000000" w:rsidDel="00000000" w:rsidP="00000000" w:rsidRDefault="00000000" w:rsidRPr="00000000" w14:paraId="000000D9">
            <w:pPr>
              <w:spacing w:after="0" w:before="0" w:lineRule="auto"/>
              <w:jc w:val="center"/>
              <w:rPr>
                <w:color w:val="000000"/>
                <w:sz w:val="20"/>
                <w:szCs w:val="20"/>
              </w:rPr>
            </w:pPr>
            <w:r w:rsidDel="00000000" w:rsidR="00000000" w:rsidRPr="00000000">
              <w:rPr>
                <w:color w:val="000000"/>
                <w:sz w:val="20"/>
                <w:szCs w:val="20"/>
                <w:rtl w:val="0"/>
              </w:rPr>
              <w:t xml:space="preserve">TNF-α inhibitor (4,822)</w:t>
            </w:r>
          </w:p>
        </w:tc>
        <w:tc>
          <w:tcPr>
            <w:shd w:fill="auto" w:val="clear"/>
            <w:vAlign w:val="center"/>
          </w:tcPr>
          <w:p w:rsidR="00000000" w:rsidDel="00000000" w:rsidP="00000000" w:rsidRDefault="00000000" w:rsidRPr="00000000" w14:paraId="000000DA">
            <w:pPr>
              <w:spacing w:after="0" w:before="0" w:lineRule="auto"/>
              <w:jc w:val="center"/>
              <w:rPr>
                <w:color w:val="000000"/>
                <w:sz w:val="20"/>
                <w:szCs w:val="20"/>
              </w:rPr>
            </w:pPr>
            <w:r w:rsidDel="00000000" w:rsidR="00000000" w:rsidRPr="00000000">
              <w:rPr>
                <w:color w:val="000000"/>
                <w:sz w:val="20"/>
                <w:szCs w:val="20"/>
                <w:rtl w:val="0"/>
              </w:rPr>
              <w:t xml:space="preserve">Non-biologic DMARD</w:t>
            </w:r>
          </w:p>
          <w:p w:rsidR="00000000" w:rsidDel="00000000" w:rsidP="00000000" w:rsidRDefault="00000000" w:rsidRPr="00000000" w14:paraId="000000DB">
            <w:pPr>
              <w:spacing w:after="0" w:before="0" w:lineRule="auto"/>
              <w:jc w:val="center"/>
              <w:rPr>
                <w:color w:val="000000"/>
                <w:sz w:val="20"/>
                <w:szCs w:val="20"/>
              </w:rPr>
            </w:pPr>
            <w:r w:rsidDel="00000000" w:rsidR="00000000" w:rsidRPr="00000000">
              <w:rPr>
                <w:color w:val="000000"/>
                <w:sz w:val="20"/>
                <w:szCs w:val="20"/>
                <w:rtl w:val="0"/>
              </w:rPr>
              <w:t xml:space="preserve">(2,400)</w:t>
            </w:r>
          </w:p>
        </w:tc>
        <w:tc>
          <w:tcPr>
            <w:shd w:fill="auto" w:val="clear"/>
            <w:vAlign w:val="center"/>
          </w:tcPr>
          <w:p w:rsidR="00000000" w:rsidDel="00000000" w:rsidP="00000000" w:rsidRDefault="00000000" w:rsidRPr="00000000" w14:paraId="000000DC">
            <w:pPr>
              <w:spacing w:after="0" w:before="0" w:lineRule="auto"/>
              <w:jc w:val="center"/>
              <w:rPr>
                <w:color w:val="000000"/>
                <w:sz w:val="20"/>
                <w:szCs w:val="20"/>
              </w:rPr>
            </w:pPr>
            <w:r w:rsidDel="00000000" w:rsidR="00000000" w:rsidRPr="00000000">
              <w:rPr>
                <w:color w:val="000000"/>
                <w:sz w:val="20"/>
                <w:szCs w:val="20"/>
                <w:rtl w:val="0"/>
              </w:rPr>
              <w:t xml:space="preserve">TNF-α inhibitor</w:t>
            </w:r>
          </w:p>
          <w:p w:rsidR="00000000" w:rsidDel="00000000" w:rsidP="00000000" w:rsidRDefault="00000000" w:rsidRPr="00000000" w14:paraId="000000DD">
            <w:pPr>
              <w:spacing w:after="0" w:before="0" w:lineRule="auto"/>
              <w:jc w:val="center"/>
              <w:rPr>
                <w:color w:val="000000"/>
                <w:sz w:val="20"/>
                <w:szCs w:val="20"/>
              </w:rPr>
            </w:pPr>
            <w:r w:rsidDel="00000000" w:rsidR="00000000" w:rsidRPr="00000000">
              <w:rPr>
                <w:color w:val="000000"/>
                <w:sz w:val="20"/>
                <w:szCs w:val="20"/>
                <w:rtl w:val="0"/>
              </w:rPr>
              <w:t xml:space="preserve">(46)</w:t>
              <w:br w:type="textWrapping"/>
              <w:t xml:space="preserve">Non-biologic DMARD </w:t>
            </w:r>
          </w:p>
          <w:p w:rsidR="00000000" w:rsidDel="00000000" w:rsidP="00000000" w:rsidRDefault="00000000" w:rsidRPr="00000000" w14:paraId="000000DE">
            <w:pPr>
              <w:spacing w:after="0" w:before="0" w:lineRule="auto"/>
              <w:jc w:val="center"/>
              <w:rPr>
                <w:color w:val="000000"/>
                <w:sz w:val="20"/>
                <w:szCs w:val="20"/>
              </w:rPr>
            </w:pPr>
            <w:r w:rsidDel="00000000" w:rsidR="00000000" w:rsidRPr="00000000">
              <w:rPr>
                <w:color w:val="000000"/>
                <w:sz w:val="20"/>
                <w:szCs w:val="20"/>
                <w:rtl w:val="0"/>
              </w:rPr>
              <w:t xml:space="preserve">(48)</w:t>
            </w:r>
          </w:p>
        </w:tc>
        <w:tc>
          <w:tcPr>
            <w:shd w:fill="auto" w:val="clear"/>
            <w:vAlign w:val="center"/>
          </w:tcPr>
          <w:p w:rsidR="00000000" w:rsidDel="00000000" w:rsidP="00000000" w:rsidRDefault="00000000" w:rsidRPr="00000000" w14:paraId="000000DF">
            <w:pPr>
              <w:spacing w:after="0" w:before="0" w:lineRule="auto"/>
              <w:jc w:val="center"/>
              <w:rPr>
                <w:color w:val="000000"/>
                <w:sz w:val="20"/>
                <w:szCs w:val="20"/>
              </w:rPr>
            </w:pPr>
            <w:r w:rsidDel="00000000" w:rsidR="00000000" w:rsidRPr="00000000">
              <w:rPr>
                <w:color w:val="000000"/>
                <w:sz w:val="20"/>
                <w:szCs w:val="20"/>
                <w:rtl w:val="0"/>
              </w:rPr>
              <w:t xml:space="preserve">Age, gender, diabetes, hyperlipidemia, lipid-lowering agent use, anti-diabetic medication use, obesity, smoking, combined comorbidity score, use of non-steroidal anti-inflammatory drugs, injectable steroids, cumulative dose of oral steroids, methotrexate use, leflunomide or cyclosporine use, other non-TNF biologic use, hospitalizations, emergency room visits, office visits, and number of distinct drugs</w:t>
            </w:r>
          </w:p>
        </w:tc>
        <w:tc>
          <w:tcPr>
            <w:vAlign w:val="center"/>
          </w:tcPr>
          <w:p w:rsidR="00000000" w:rsidDel="00000000" w:rsidP="00000000" w:rsidRDefault="00000000" w:rsidRPr="00000000" w14:paraId="000000E0">
            <w:pPr>
              <w:spacing w:after="0" w:before="0" w:lineRule="auto"/>
              <w:jc w:val="center"/>
              <w:rPr>
                <w:color w:val="000000"/>
                <w:sz w:val="20"/>
                <w:szCs w:val="20"/>
              </w:rPr>
            </w:pPr>
            <w:r w:rsidDel="00000000" w:rsidR="00000000" w:rsidRPr="00000000">
              <w:rPr>
                <w:sz w:val="20"/>
                <w:szCs w:val="20"/>
                <w:rtl w:val="0"/>
              </w:rPr>
              <w:t xml:space="preserve">Diabetes, hyperlipidemia, and obesity </w:t>
            </w:r>
            <w:r w:rsidDel="00000000" w:rsidR="00000000" w:rsidRPr="00000000">
              <w:rPr>
                <w:rtl w:val="0"/>
              </w:rPr>
            </w:r>
          </w:p>
        </w:tc>
        <w:tc>
          <w:tcPr>
            <w:vAlign w:val="center"/>
          </w:tcPr>
          <w:p w:rsidR="00000000" w:rsidDel="00000000" w:rsidP="00000000" w:rsidRDefault="00000000" w:rsidRPr="00000000" w14:paraId="000000E1">
            <w:pPr>
              <w:spacing w:after="0" w:before="0" w:lineRule="auto"/>
              <w:jc w:val="center"/>
              <w:rPr>
                <w:color w:val="000000"/>
                <w:sz w:val="20"/>
                <w:szCs w:val="20"/>
              </w:rPr>
            </w:pPr>
            <w:r w:rsidDel="00000000" w:rsidR="00000000" w:rsidRPr="00000000">
              <w:rPr>
                <w:sz w:val="20"/>
                <w:szCs w:val="20"/>
                <w:rtl w:val="0"/>
              </w:rPr>
              <w:t xml:space="preserve">ICD-9 code 714.xx</w:t>
            </w:r>
            <w:r w:rsidDel="00000000" w:rsidR="00000000" w:rsidRPr="00000000">
              <w:rPr>
                <w:rtl w:val="0"/>
              </w:rPr>
            </w:r>
          </w:p>
        </w:tc>
        <w:tc>
          <w:tcPr>
            <w:vAlign w:val="center"/>
          </w:tcPr>
          <w:p w:rsidR="00000000" w:rsidDel="00000000" w:rsidP="00000000" w:rsidRDefault="00000000" w:rsidRPr="00000000" w14:paraId="000000E2">
            <w:pPr>
              <w:spacing w:after="0" w:before="0" w:lineRule="auto"/>
              <w:jc w:val="center"/>
              <w:rPr>
                <w:color w:val="000000"/>
                <w:sz w:val="20"/>
                <w:szCs w:val="20"/>
              </w:rPr>
            </w:pPr>
            <w:r w:rsidDel="00000000" w:rsidR="00000000" w:rsidRPr="00000000">
              <w:rPr>
                <w:sz w:val="20"/>
                <w:szCs w:val="20"/>
                <w:rtl w:val="0"/>
              </w:rPr>
              <w:t xml:space="preserve">ICD-9 code 401.xx and a new prescription for an antihypertensive agent</w:t>
            </w:r>
            <w:r w:rsidDel="00000000" w:rsidR="00000000" w:rsidRPr="00000000">
              <w:rPr>
                <w:rtl w:val="0"/>
              </w:rPr>
            </w:r>
          </w:p>
        </w:tc>
      </w:tr>
      <w:tr>
        <w:trPr>
          <w:cantSplit w:val="0"/>
          <w:trHeight w:val="1425" w:hRule="atLeast"/>
          <w:tblHeader w:val="0"/>
        </w:trPr>
        <w:tc>
          <w:tcPr>
            <w:shd w:fill="auto" w:val="clear"/>
            <w:vAlign w:val="center"/>
          </w:tcPr>
          <w:p w:rsidR="00000000" w:rsidDel="00000000" w:rsidP="00000000" w:rsidRDefault="00000000" w:rsidRPr="00000000" w14:paraId="000000E3">
            <w:pPr>
              <w:spacing w:after="0" w:before="0" w:lineRule="auto"/>
              <w:jc w:val="center"/>
              <w:rPr>
                <w:color w:val="000000"/>
                <w:sz w:val="20"/>
                <w:szCs w:val="20"/>
              </w:rPr>
            </w:pPr>
            <w:r w:rsidDel="00000000" w:rsidR="00000000" w:rsidRPr="00000000">
              <w:rPr>
                <w:color w:val="000000"/>
                <w:sz w:val="20"/>
                <w:szCs w:val="20"/>
                <w:rtl w:val="0"/>
              </w:rPr>
              <w:t xml:space="preserve">Dreyer</w:t>
            </w:r>
          </w:p>
        </w:tc>
        <w:tc>
          <w:tcPr>
            <w:shd w:fill="auto" w:val="clear"/>
            <w:vAlign w:val="center"/>
          </w:tcPr>
          <w:p w:rsidR="00000000" w:rsidDel="00000000" w:rsidP="00000000" w:rsidRDefault="00000000" w:rsidRPr="00000000" w14:paraId="000000E4">
            <w:pPr>
              <w:spacing w:after="0" w:before="0" w:lineRule="auto"/>
              <w:jc w:val="center"/>
              <w:rPr>
                <w:color w:val="000000"/>
                <w:sz w:val="20"/>
                <w:szCs w:val="20"/>
              </w:rPr>
            </w:pPr>
            <w:r w:rsidDel="00000000" w:rsidR="00000000" w:rsidRPr="00000000">
              <w:rPr>
                <w:color w:val="000000"/>
                <w:sz w:val="20"/>
                <w:szCs w:val="20"/>
                <w:rtl w:val="0"/>
              </w:rPr>
              <w:t xml:space="preserve">2017</w:t>
            </w:r>
          </w:p>
        </w:tc>
        <w:tc>
          <w:tcPr>
            <w:shd w:fill="auto" w:val="clear"/>
            <w:vAlign w:val="center"/>
          </w:tcPr>
          <w:p w:rsidR="00000000" w:rsidDel="00000000" w:rsidP="00000000" w:rsidRDefault="00000000" w:rsidRPr="00000000" w14:paraId="000000E5">
            <w:pPr>
              <w:spacing w:after="0" w:before="0" w:lineRule="auto"/>
              <w:jc w:val="center"/>
              <w:rPr>
                <w:color w:val="000000"/>
                <w:sz w:val="20"/>
                <w:szCs w:val="20"/>
              </w:rPr>
            </w:pPr>
            <w:r w:rsidDel="00000000" w:rsidR="00000000" w:rsidRPr="00000000">
              <w:rPr>
                <w:color w:val="000000"/>
                <w:sz w:val="20"/>
                <w:szCs w:val="20"/>
                <w:rtl w:val="0"/>
              </w:rPr>
              <w:t xml:space="preserve">Population-based cohort 2000-2011</w:t>
            </w:r>
          </w:p>
        </w:tc>
        <w:tc>
          <w:tcPr>
            <w:shd w:fill="auto" w:val="clear"/>
            <w:vAlign w:val="center"/>
          </w:tcPr>
          <w:p w:rsidR="00000000" w:rsidDel="00000000" w:rsidP="00000000" w:rsidRDefault="00000000" w:rsidRPr="00000000" w14:paraId="000000E6">
            <w:pPr>
              <w:spacing w:after="0" w:before="0" w:lineRule="auto"/>
              <w:jc w:val="center"/>
              <w:rPr>
                <w:color w:val="000000"/>
                <w:sz w:val="20"/>
                <w:szCs w:val="20"/>
              </w:rPr>
            </w:pPr>
            <w:r w:rsidDel="00000000" w:rsidR="00000000" w:rsidRPr="00000000">
              <w:rPr>
                <w:color w:val="000000"/>
                <w:sz w:val="20"/>
                <w:szCs w:val="20"/>
                <w:rtl w:val="0"/>
              </w:rPr>
              <w:t xml:space="preserve">Danish DANBIO Registry; Danish Cancer Registry2000–2011</w:t>
            </w:r>
          </w:p>
        </w:tc>
        <w:tc>
          <w:tcPr>
            <w:shd w:fill="auto" w:val="clear"/>
            <w:vAlign w:val="center"/>
          </w:tcPr>
          <w:p w:rsidR="00000000" w:rsidDel="00000000" w:rsidP="00000000" w:rsidRDefault="00000000" w:rsidRPr="00000000" w14:paraId="000000E7">
            <w:pPr>
              <w:spacing w:after="0" w:before="0" w:lineRule="auto"/>
              <w:jc w:val="center"/>
              <w:rPr>
                <w:color w:val="000000"/>
                <w:sz w:val="20"/>
                <w:szCs w:val="20"/>
              </w:rPr>
            </w:pPr>
            <w:r w:rsidDel="00000000" w:rsidR="00000000" w:rsidRPr="00000000">
              <w:rPr>
                <w:color w:val="000000"/>
                <w:sz w:val="20"/>
                <w:szCs w:val="20"/>
                <w:rtl w:val="0"/>
              </w:rPr>
              <w:t xml:space="preserve">bDMARDs </w:t>
            </w:r>
          </w:p>
          <w:p w:rsidR="00000000" w:rsidDel="00000000" w:rsidP="00000000" w:rsidRDefault="00000000" w:rsidRPr="00000000" w14:paraId="000000E8">
            <w:pPr>
              <w:spacing w:after="0" w:before="0" w:lineRule="auto"/>
              <w:jc w:val="center"/>
              <w:rPr>
                <w:color w:val="000000"/>
                <w:sz w:val="20"/>
                <w:szCs w:val="20"/>
              </w:rPr>
            </w:pPr>
            <w:r w:rsidDel="00000000" w:rsidR="00000000" w:rsidRPr="00000000">
              <w:rPr>
                <w:color w:val="000000"/>
                <w:sz w:val="20"/>
                <w:szCs w:val="20"/>
                <w:rtl w:val="0"/>
              </w:rPr>
              <w:t xml:space="preserve">(502)</w:t>
            </w:r>
          </w:p>
        </w:tc>
        <w:tc>
          <w:tcPr>
            <w:shd w:fill="auto" w:val="clear"/>
            <w:vAlign w:val="center"/>
          </w:tcPr>
          <w:p w:rsidR="00000000" w:rsidDel="00000000" w:rsidP="00000000" w:rsidRDefault="00000000" w:rsidRPr="00000000" w14:paraId="000000E9">
            <w:pPr>
              <w:spacing w:after="0" w:before="0" w:lineRule="auto"/>
              <w:jc w:val="center"/>
              <w:rPr>
                <w:color w:val="000000"/>
                <w:sz w:val="20"/>
                <w:szCs w:val="20"/>
              </w:rPr>
            </w:pPr>
            <w:r w:rsidDel="00000000" w:rsidR="00000000" w:rsidRPr="00000000">
              <w:rPr>
                <w:color w:val="000000"/>
                <w:sz w:val="20"/>
                <w:szCs w:val="20"/>
                <w:rtl w:val="0"/>
              </w:rPr>
              <w:t xml:space="preserve">Non bDMARDs (1,176)</w:t>
            </w:r>
          </w:p>
        </w:tc>
        <w:tc>
          <w:tcPr>
            <w:shd w:fill="auto" w:val="clear"/>
            <w:vAlign w:val="center"/>
          </w:tcPr>
          <w:p w:rsidR="00000000" w:rsidDel="00000000" w:rsidP="00000000" w:rsidRDefault="00000000" w:rsidRPr="00000000" w14:paraId="000000EA">
            <w:pPr>
              <w:spacing w:after="0" w:before="0" w:lineRule="auto"/>
              <w:jc w:val="center"/>
              <w:rPr>
                <w:color w:val="000000"/>
                <w:sz w:val="20"/>
                <w:szCs w:val="20"/>
              </w:rPr>
            </w:pPr>
            <w:r w:rsidDel="00000000" w:rsidR="00000000" w:rsidRPr="00000000">
              <w:rPr>
                <w:color w:val="000000"/>
                <w:sz w:val="20"/>
                <w:szCs w:val="20"/>
                <w:rtl w:val="0"/>
              </w:rPr>
              <w:t xml:space="preserve">bDMARDs: 65 (32-86) Non bDMARDs: 70 (28-96)</w:t>
            </w:r>
          </w:p>
        </w:tc>
        <w:tc>
          <w:tcPr>
            <w:shd w:fill="auto" w:val="clear"/>
            <w:vAlign w:val="center"/>
          </w:tcPr>
          <w:p w:rsidR="00000000" w:rsidDel="00000000" w:rsidP="00000000" w:rsidRDefault="00000000" w:rsidRPr="00000000" w14:paraId="000000EB">
            <w:pPr>
              <w:spacing w:after="0" w:before="0" w:lineRule="auto"/>
              <w:jc w:val="center"/>
              <w:rPr>
                <w:color w:val="000000"/>
                <w:sz w:val="20"/>
                <w:szCs w:val="20"/>
              </w:rPr>
            </w:pPr>
            <w:r w:rsidDel="00000000" w:rsidR="00000000" w:rsidRPr="00000000">
              <w:rPr>
                <w:color w:val="000000"/>
                <w:sz w:val="20"/>
                <w:szCs w:val="20"/>
                <w:rtl w:val="0"/>
              </w:rPr>
              <w:t xml:space="preserve">Age, sex, calendar time (2000–2004, 2005–2009, 2010–2011), and cancer site</w:t>
            </w:r>
          </w:p>
        </w:tc>
        <w:tc>
          <w:tcPr>
            <w:vAlign w:val="center"/>
          </w:tcPr>
          <w:p w:rsidR="00000000" w:rsidDel="00000000" w:rsidP="00000000" w:rsidRDefault="00000000" w:rsidRPr="00000000" w14:paraId="000000EC">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0ED">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0EE">
            <w:pPr>
              <w:spacing w:after="0" w:before="0" w:lineRule="auto"/>
              <w:jc w:val="center"/>
              <w:rPr>
                <w:color w:val="000000"/>
                <w:sz w:val="20"/>
                <w:szCs w:val="20"/>
              </w:rPr>
            </w:pPr>
            <w:r w:rsidDel="00000000" w:rsidR="00000000" w:rsidRPr="00000000">
              <w:rPr>
                <w:sz w:val="20"/>
                <w:szCs w:val="20"/>
                <w:rtl w:val="0"/>
              </w:rPr>
              <w:t xml:space="preserve">ICD-7 and 10 codes</w:t>
            </w:r>
            <w:r w:rsidDel="00000000" w:rsidR="00000000" w:rsidRPr="00000000">
              <w:rPr>
                <w:rtl w:val="0"/>
              </w:rPr>
            </w:r>
          </w:p>
        </w:tc>
      </w:tr>
      <w:tr>
        <w:trPr>
          <w:cantSplit w:val="0"/>
          <w:trHeight w:val="1575" w:hRule="atLeast"/>
          <w:tblHeader w:val="0"/>
        </w:trPr>
        <w:tc>
          <w:tcPr>
            <w:shd w:fill="auto" w:val="clear"/>
            <w:vAlign w:val="center"/>
          </w:tcPr>
          <w:p w:rsidR="00000000" w:rsidDel="00000000" w:rsidP="00000000" w:rsidRDefault="00000000" w:rsidRPr="00000000" w14:paraId="000000EF">
            <w:pPr>
              <w:spacing w:after="0" w:before="0" w:lineRule="auto"/>
              <w:jc w:val="center"/>
              <w:rPr>
                <w:color w:val="000000"/>
                <w:sz w:val="20"/>
                <w:szCs w:val="20"/>
              </w:rPr>
            </w:pPr>
            <w:r w:rsidDel="00000000" w:rsidR="00000000" w:rsidRPr="00000000">
              <w:rPr>
                <w:color w:val="000000"/>
                <w:sz w:val="20"/>
                <w:szCs w:val="20"/>
                <w:rtl w:val="0"/>
              </w:rPr>
              <w:t xml:space="preserve">de Germay</w:t>
            </w:r>
          </w:p>
        </w:tc>
        <w:tc>
          <w:tcPr>
            <w:shd w:fill="auto" w:val="clear"/>
            <w:vAlign w:val="center"/>
          </w:tcPr>
          <w:p w:rsidR="00000000" w:rsidDel="00000000" w:rsidP="00000000" w:rsidRDefault="00000000" w:rsidRPr="00000000" w14:paraId="000000F0">
            <w:pPr>
              <w:spacing w:after="0" w:before="0" w:lineRule="auto"/>
              <w:jc w:val="center"/>
              <w:rPr>
                <w:color w:val="000000"/>
                <w:sz w:val="20"/>
                <w:szCs w:val="20"/>
              </w:rPr>
            </w:pPr>
            <w:r w:rsidDel="00000000" w:rsidR="00000000" w:rsidRPr="00000000">
              <w:rPr>
                <w:color w:val="000000"/>
                <w:sz w:val="20"/>
                <w:szCs w:val="20"/>
                <w:rtl w:val="0"/>
              </w:rPr>
              <w:t xml:space="preserve">2020</w:t>
            </w:r>
          </w:p>
        </w:tc>
        <w:tc>
          <w:tcPr>
            <w:shd w:fill="auto" w:val="clear"/>
            <w:vAlign w:val="center"/>
          </w:tcPr>
          <w:p w:rsidR="00000000" w:rsidDel="00000000" w:rsidP="00000000" w:rsidRDefault="00000000" w:rsidRPr="00000000" w14:paraId="000000F1">
            <w:pPr>
              <w:spacing w:after="0" w:before="0" w:lineRule="auto"/>
              <w:jc w:val="center"/>
              <w:rPr>
                <w:color w:val="000000"/>
                <w:sz w:val="20"/>
                <w:szCs w:val="20"/>
              </w:rPr>
            </w:pPr>
            <w:r w:rsidDel="00000000" w:rsidR="00000000" w:rsidRPr="00000000">
              <w:rPr>
                <w:color w:val="000000"/>
                <w:sz w:val="20"/>
                <w:szCs w:val="20"/>
                <w:rtl w:val="0"/>
              </w:rPr>
              <w:t xml:space="preserve">Case-control</w:t>
            </w:r>
          </w:p>
          <w:p w:rsidR="00000000" w:rsidDel="00000000" w:rsidP="00000000" w:rsidRDefault="00000000" w:rsidRPr="00000000" w14:paraId="000000F2">
            <w:pPr>
              <w:spacing w:after="0" w:before="0" w:lineRule="auto"/>
              <w:jc w:val="center"/>
              <w:rPr>
                <w:color w:val="000000"/>
                <w:sz w:val="20"/>
                <w:szCs w:val="20"/>
              </w:rPr>
            </w:pPr>
            <w:r w:rsidDel="00000000" w:rsidR="00000000" w:rsidRPr="00000000">
              <w:rPr>
                <w:color w:val="000000"/>
                <w:sz w:val="20"/>
                <w:szCs w:val="20"/>
                <w:rtl w:val="0"/>
              </w:rPr>
              <w:t xml:space="preserve">2007-2017</w:t>
            </w:r>
          </w:p>
        </w:tc>
        <w:tc>
          <w:tcPr>
            <w:shd w:fill="auto" w:val="clear"/>
            <w:vAlign w:val="center"/>
          </w:tcPr>
          <w:p w:rsidR="00000000" w:rsidDel="00000000" w:rsidP="00000000" w:rsidRDefault="00000000" w:rsidRPr="00000000" w14:paraId="000000F3">
            <w:pPr>
              <w:spacing w:after="0" w:before="0" w:lineRule="auto"/>
              <w:jc w:val="center"/>
              <w:rPr>
                <w:color w:val="000000"/>
                <w:sz w:val="20"/>
                <w:szCs w:val="20"/>
              </w:rPr>
            </w:pPr>
            <w:r w:rsidDel="00000000" w:rsidR="00000000" w:rsidRPr="00000000">
              <w:rPr>
                <w:color w:val="000000"/>
                <w:sz w:val="20"/>
                <w:szCs w:val="20"/>
                <w:rtl w:val="0"/>
              </w:rPr>
              <w:t xml:space="preserve">Global Health Organization Global Individual Case Safety Reports (ICSRs)</w:t>
            </w:r>
          </w:p>
        </w:tc>
        <w:tc>
          <w:tcPr>
            <w:shd w:fill="auto" w:val="clear"/>
            <w:vAlign w:val="center"/>
          </w:tcPr>
          <w:p w:rsidR="00000000" w:rsidDel="00000000" w:rsidP="00000000" w:rsidRDefault="00000000" w:rsidRPr="00000000" w14:paraId="000000F4">
            <w:pPr>
              <w:spacing w:after="0" w:before="0" w:lineRule="auto"/>
              <w:jc w:val="center"/>
              <w:rPr>
                <w:color w:val="000000"/>
                <w:sz w:val="20"/>
                <w:szCs w:val="20"/>
              </w:rPr>
            </w:pPr>
            <w:r w:rsidDel="00000000" w:rsidR="00000000" w:rsidRPr="00000000">
              <w:rPr>
                <w:color w:val="000000"/>
                <w:sz w:val="20"/>
                <w:szCs w:val="20"/>
                <w:rtl w:val="0"/>
              </w:rPr>
              <w:t xml:space="preserve">Abatacept </w:t>
            </w:r>
          </w:p>
          <w:p w:rsidR="00000000" w:rsidDel="00000000" w:rsidP="00000000" w:rsidRDefault="00000000" w:rsidRPr="00000000" w14:paraId="000000F5">
            <w:pPr>
              <w:spacing w:after="0" w:before="0" w:lineRule="auto"/>
              <w:jc w:val="center"/>
              <w:rPr>
                <w:color w:val="000000"/>
                <w:sz w:val="20"/>
                <w:szCs w:val="20"/>
              </w:rPr>
            </w:pPr>
            <w:r w:rsidDel="00000000" w:rsidR="00000000" w:rsidRPr="00000000">
              <w:rPr>
                <w:color w:val="000000"/>
                <w:sz w:val="20"/>
                <w:szCs w:val="20"/>
                <w:rtl w:val="0"/>
              </w:rPr>
              <w:t xml:space="preserve">(931)</w:t>
            </w:r>
          </w:p>
        </w:tc>
        <w:tc>
          <w:tcPr>
            <w:shd w:fill="auto" w:val="clear"/>
            <w:vAlign w:val="center"/>
          </w:tcPr>
          <w:p w:rsidR="00000000" w:rsidDel="00000000" w:rsidP="00000000" w:rsidRDefault="00000000" w:rsidRPr="00000000" w14:paraId="000000F6">
            <w:pPr>
              <w:spacing w:after="0" w:before="0" w:lineRule="auto"/>
              <w:jc w:val="center"/>
              <w:rPr>
                <w:color w:val="000000"/>
                <w:sz w:val="20"/>
                <w:szCs w:val="20"/>
              </w:rPr>
            </w:pPr>
            <w:r w:rsidDel="00000000" w:rsidR="00000000" w:rsidRPr="00000000">
              <w:rPr>
                <w:color w:val="000000"/>
                <w:sz w:val="20"/>
                <w:szCs w:val="20"/>
                <w:rtl w:val="0"/>
              </w:rPr>
              <w:t xml:space="preserve">Other bDMARDs (15,261)</w:t>
            </w:r>
          </w:p>
        </w:tc>
        <w:tc>
          <w:tcPr>
            <w:shd w:fill="auto" w:val="clear"/>
            <w:vAlign w:val="center"/>
          </w:tcPr>
          <w:p w:rsidR="00000000" w:rsidDel="00000000" w:rsidP="00000000" w:rsidRDefault="00000000" w:rsidRPr="00000000" w14:paraId="000000F7">
            <w:pPr>
              <w:spacing w:after="0" w:before="0" w:lineRule="auto"/>
              <w:jc w:val="center"/>
              <w:rPr>
                <w:color w:val="000000"/>
                <w:sz w:val="20"/>
                <w:szCs w:val="20"/>
              </w:rPr>
            </w:pPr>
            <w:r w:rsidDel="00000000" w:rsidR="00000000" w:rsidRPr="00000000">
              <w:rPr>
                <w:color w:val="000000"/>
                <w:sz w:val="20"/>
                <w:szCs w:val="20"/>
                <w:rtl w:val="0"/>
              </w:rPr>
              <w:t xml:space="preserve">Abatacept: 60.2</w:t>
              <w:br w:type="textWrapping"/>
              <w:t xml:space="preserve">Other bDMARDs: 57.6</w:t>
            </w:r>
          </w:p>
        </w:tc>
        <w:tc>
          <w:tcPr>
            <w:shd w:fill="auto" w:val="clear"/>
            <w:vAlign w:val="center"/>
          </w:tcPr>
          <w:p w:rsidR="00000000" w:rsidDel="00000000" w:rsidP="00000000" w:rsidRDefault="00000000" w:rsidRPr="00000000" w14:paraId="000000F8">
            <w:pPr>
              <w:spacing w:after="0" w:before="0" w:lineRule="auto"/>
              <w:jc w:val="center"/>
              <w:rPr>
                <w:color w:val="000000"/>
                <w:sz w:val="20"/>
                <w:szCs w:val="20"/>
              </w:rPr>
            </w:pPr>
            <w:r w:rsidDel="00000000" w:rsidR="00000000" w:rsidRPr="00000000">
              <w:rPr>
                <w:color w:val="000000"/>
                <w:sz w:val="20"/>
                <w:szCs w:val="20"/>
                <w:rtl w:val="0"/>
              </w:rPr>
              <w:t xml:space="preserve">Age, sex and medications (conventional DMARD and others that could induce a cancer)</w:t>
            </w:r>
          </w:p>
        </w:tc>
        <w:tc>
          <w:tcPr>
            <w:vAlign w:val="center"/>
          </w:tcPr>
          <w:p w:rsidR="00000000" w:rsidDel="00000000" w:rsidP="00000000" w:rsidRDefault="00000000" w:rsidRPr="00000000" w14:paraId="000000F9">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0FA">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0FB">
            <w:pPr>
              <w:jc w:val="center"/>
              <w:rPr>
                <w:sz w:val="20"/>
                <w:szCs w:val="20"/>
              </w:rPr>
            </w:pPr>
            <w:r w:rsidDel="00000000" w:rsidR="00000000" w:rsidRPr="00000000">
              <w:rPr>
                <w:sz w:val="20"/>
                <w:szCs w:val="20"/>
                <w:rtl w:val="0"/>
              </w:rPr>
              <w:t xml:space="preserve">All patients with a report</w:t>
            </w:r>
          </w:p>
          <w:p w:rsidR="00000000" w:rsidDel="00000000" w:rsidP="00000000" w:rsidRDefault="00000000" w:rsidRPr="00000000" w14:paraId="000000FC">
            <w:pPr>
              <w:spacing w:after="0" w:before="0" w:lineRule="auto"/>
              <w:jc w:val="center"/>
              <w:rPr>
                <w:color w:val="000000"/>
                <w:sz w:val="20"/>
                <w:szCs w:val="20"/>
              </w:rPr>
            </w:pPr>
            <w:r w:rsidDel="00000000" w:rsidR="00000000" w:rsidRPr="00000000">
              <w:rPr>
                <w:sz w:val="20"/>
                <w:szCs w:val="20"/>
                <w:rtl w:val="0"/>
              </w:rPr>
              <w:t xml:space="preserve">related to cancer and classified as “malignant or unspecified tumours” by standardized MedDRA queries (SMQs)</w:t>
            </w:r>
            <w:r w:rsidDel="00000000" w:rsidR="00000000" w:rsidRPr="00000000">
              <w:rPr>
                <w:rtl w:val="0"/>
              </w:rPr>
            </w:r>
          </w:p>
        </w:tc>
      </w:tr>
      <w:tr>
        <w:trPr>
          <w:cantSplit w:val="0"/>
          <w:trHeight w:val="2295" w:hRule="atLeast"/>
          <w:tblHeader w:val="0"/>
        </w:trPr>
        <w:tc>
          <w:tcPr>
            <w:shd w:fill="auto" w:val="clear"/>
            <w:vAlign w:val="center"/>
          </w:tcPr>
          <w:p w:rsidR="00000000" w:rsidDel="00000000" w:rsidP="00000000" w:rsidRDefault="00000000" w:rsidRPr="00000000" w14:paraId="000000FD">
            <w:pPr>
              <w:spacing w:after="0" w:before="0" w:lineRule="auto"/>
              <w:jc w:val="center"/>
              <w:rPr>
                <w:color w:val="000000"/>
                <w:sz w:val="20"/>
                <w:szCs w:val="20"/>
              </w:rPr>
            </w:pPr>
            <w:r w:rsidDel="00000000" w:rsidR="00000000" w:rsidRPr="00000000">
              <w:rPr>
                <w:color w:val="000000"/>
                <w:sz w:val="20"/>
                <w:szCs w:val="20"/>
                <w:rtl w:val="0"/>
              </w:rPr>
              <w:t xml:space="preserve">Grøn</w:t>
            </w:r>
          </w:p>
        </w:tc>
        <w:tc>
          <w:tcPr>
            <w:shd w:fill="auto" w:val="clear"/>
            <w:vAlign w:val="center"/>
          </w:tcPr>
          <w:p w:rsidR="00000000" w:rsidDel="00000000" w:rsidP="00000000" w:rsidRDefault="00000000" w:rsidRPr="00000000" w14:paraId="000000FE">
            <w:pPr>
              <w:spacing w:after="0" w:before="0" w:lineRule="auto"/>
              <w:jc w:val="center"/>
              <w:rPr>
                <w:color w:val="000000"/>
                <w:sz w:val="20"/>
                <w:szCs w:val="20"/>
              </w:rPr>
            </w:pPr>
            <w:r w:rsidDel="00000000" w:rsidR="00000000" w:rsidRPr="00000000">
              <w:rPr>
                <w:color w:val="000000"/>
                <w:sz w:val="20"/>
                <w:szCs w:val="20"/>
                <w:rtl w:val="0"/>
              </w:rPr>
              <w:t xml:space="preserve">2019</w:t>
            </w:r>
          </w:p>
        </w:tc>
        <w:tc>
          <w:tcPr>
            <w:shd w:fill="auto" w:val="clear"/>
            <w:vAlign w:val="center"/>
          </w:tcPr>
          <w:p w:rsidR="00000000" w:rsidDel="00000000" w:rsidP="00000000" w:rsidRDefault="00000000" w:rsidRPr="00000000" w14:paraId="000000FF">
            <w:pPr>
              <w:spacing w:after="0" w:before="0" w:lineRule="auto"/>
              <w:jc w:val="center"/>
              <w:rPr>
                <w:color w:val="000000"/>
                <w:sz w:val="20"/>
                <w:szCs w:val="20"/>
              </w:rPr>
            </w:pPr>
            <w:r w:rsidDel="00000000" w:rsidR="00000000" w:rsidRPr="00000000">
              <w:rPr>
                <w:color w:val="000000"/>
                <w:sz w:val="20"/>
                <w:szCs w:val="20"/>
                <w:rtl w:val="0"/>
              </w:rPr>
              <w:t xml:space="preserve">Prospective cohort</w:t>
              <w:br w:type="textWrapping"/>
              <w:t xml:space="preserve">2010-2015</w:t>
            </w:r>
          </w:p>
        </w:tc>
        <w:tc>
          <w:tcPr>
            <w:shd w:fill="auto" w:val="clear"/>
            <w:vAlign w:val="center"/>
          </w:tcPr>
          <w:p w:rsidR="00000000" w:rsidDel="00000000" w:rsidP="00000000" w:rsidRDefault="00000000" w:rsidRPr="00000000" w14:paraId="00000100">
            <w:pPr>
              <w:spacing w:after="0" w:before="0" w:lineRule="auto"/>
              <w:jc w:val="center"/>
              <w:rPr>
                <w:color w:val="000000"/>
                <w:sz w:val="20"/>
                <w:szCs w:val="20"/>
              </w:rPr>
            </w:pPr>
            <w:r w:rsidDel="00000000" w:rsidR="00000000" w:rsidRPr="00000000">
              <w:rPr>
                <w:color w:val="000000"/>
                <w:sz w:val="20"/>
                <w:szCs w:val="20"/>
                <w:rtl w:val="0"/>
              </w:rPr>
              <w:t xml:space="preserve">Danish nationwide quality registry (DANBIO)</w:t>
              <w:br w:type="textWrapping"/>
              <w:t xml:space="preserve">Swedish biologics register (ARTIS)</w:t>
            </w:r>
          </w:p>
        </w:tc>
        <w:tc>
          <w:tcPr>
            <w:shd w:fill="auto" w:val="clear"/>
            <w:vAlign w:val="center"/>
          </w:tcPr>
          <w:p w:rsidR="00000000" w:rsidDel="00000000" w:rsidP="00000000" w:rsidRDefault="00000000" w:rsidRPr="00000000" w14:paraId="00000101">
            <w:pPr>
              <w:spacing w:after="0" w:before="0" w:lineRule="auto"/>
              <w:jc w:val="center"/>
              <w:rPr>
                <w:color w:val="000000"/>
                <w:sz w:val="20"/>
                <w:szCs w:val="20"/>
              </w:rPr>
            </w:pPr>
            <w:r w:rsidDel="00000000" w:rsidR="00000000" w:rsidRPr="00000000">
              <w:rPr>
                <w:color w:val="000000"/>
                <w:sz w:val="20"/>
                <w:szCs w:val="20"/>
                <w:rtl w:val="0"/>
              </w:rPr>
              <w:t xml:space="preserve">Abatacept</w:t>
              <w:br w:type="textWrapping"/>
              <w:t xml:space="preserve">(2,725)</w:t>
            </w:r>
          </w:p>
        </w:tc>
        <w:tc>
          <w:tcPr>
            <w:shd w:fill="auto" w:val="clear"/>
            <w:vAlign w:val="center"/>
          </w:tcPr>
          <w:p w:rsidR="00000000" w:rsidDel="00000000" w:rsidP="00000000" w:rsidRDefault="00000000" w:rsidRPr="00000000" w14:paraId="00000102">
            <w:pPr>
              <w:spacing w:after="0" w:before="0" w:lineRule="auto"/>
              <w:jc w:val="center"/>
              <w:rPr>
                <w:color w:val="000000"/>
                <w:sz w:val="20"/>
                <w:szCs w:val="20"/>
              </w:rPr>
            </w:pPr>
            <w:r w:rsidDel="00000000" w:rsidR="00000000" w:rsidRPr="00000000">
              <w:rPr>
                <w:color w:val="000000"/>
                <w:sz w:val="20"/>
                <w:szCs w:val="20"/>
                <w:rtl w:val="0"/>
              </w:rPr>
              <w:t xml:space="preserve">Rituximab </w:t>
              <w:br w:type="textWrapping"/>
              <w:t xml:space="preserve">(3,363)</w:t>
              <w:br w:type="textWrapping"/>
              <w:t xml:space="preserve">Tocilizumab </w:t>
              <w:br w:type="textWrapping"/>
              <w:t xml:space="preserve">(2,899)</w:t>
            </w:r>
          </w:p>
        </w:tc>
        <w:tc>
          <w:tcPr>
            <w:shd w:fill="auto" w:val="clear"/>
            <w:vAlign w:val="center"/>
          </w:tcPr>
          <w:p w:rsidR="00000000" w:rsidDel="00000000" w:rsidP="00000000" w:rsidRDefault="00000000" w:rsidRPr="00000000" w14:paraId="00000103">
            <w:pPr>
              <w:spacing w:after="0" w:before="0" w:lineRule="auto"/>
              <w:jc w:val="center"/>
              <w:rPr>
                <w:color w:val="000000"/>
                <w:sz w:val="20"/>
                <w:szCs w:val="20"/>
              </w:rPr>
            </w:pPr>
            <w:r w:rsidDel="00000000" w:rsidR="00000000" w:rsidRPr="00000000">
              <w:rPr>
                <w:color w:val="000000"/>
                <w:sz w:val="20"/>
                <w:szCs w:val="20"/>
                <w:rtl w:val="0"/>
              </w:rPr>
              <w:t xml:space="preserve">DANBIO</w:t>
              <w:br w:type="textWrapping"/>
              <w:t xml:space="preserve">Abatacept: 59</w:t>
              <w:br w:type="textWrapping"/>
              <w:t xml:space="preserve">Rituximab: 61</w:t>
              <w:br w:type="textWrapping"/>
              <w:t xml:space="preserve">Tocilizumab: 59</w:t>
              <w:br w:type="textWrapping"/>
              <w:br w:type="textWrapping"/>
              <w:t xml:space="preserve">ARTIS</w:t>
              <w:br w:type="textWrapping"/>
              <w:t xml:space="preserve">Abatacept: 61</w:t>
              <w:br w:type="textWrapping"/>
              <w:t xml:space="preserve">Rituximab: 64</w:t>
              <w:br w:type="textWrapping"/>
              <w:t xml:space="preserve">Tocilizumab: 59</w:t>
            </w:r>
          </w:p>
        </w:tc>
        <w:tc>
          <w:tcPr>
            <w:shd w:fill="auto" w:val="clear"/>
            <w:vAlign w:val="center"/>
          </w:tcPr>
          <w:p w:rsidR="00000000" w:rsidDel="00000000" w:rsidP="00000000" w:rsidRDefault="00000000" w:rsidRPr="00000000" w14:paraId="00000104">
            <w:pPr>
              <w:spacing w:after="0" w:before="0" w:lineRule="auto"/>
              <w:jc w:val="center"/>
              <w:rPr>
                <w:color w:val="000000"/>
                <w:sz w:val="20"/>
                <w:szCs w:val="20"/>
              </w:rPr>
            </w:pPr>
            <w:r w:rsidDel="00000000" w:rsidR="00000000" w:rsidRPr="00000000">
              <w:rPr>
                <w:color w:val="000000"/>
                <w:sz w:val="20"/>
                <w:szCs w:val="20"/>
                <w:rtl w:val="0"/>
              </w:rPr>
              <w:t xml:space="preserve">Age and gender</w:t>
            </w:r>
          </w:p>
        </w:tc>
        <w:tc>
          <w:tcPr>
            <w:vAlign w:val="center"/>
          </w:tcPr>
          <w:p w:rsidR="00000000" w:rsidDel="00000000" w:rsidP="00000000" w:rsidRDefault="00000000" w:rsidRPr="00000000" w14:paraId="00000105">
            <w:pPr>
              <w:spacing w:after="0" w:before="0" w:lineRule="auto"/>
              <w:jc w:val="center"/>
              <w:rPr>
                <w:color w:val="000000"/>
                <w:sz w:val="20"/>
                <w:szCs w:val="20"/>
              </w:rPr>
            </w:pPr>
            <w:r w:rsidDel="00000000" w:rsidR="00000000" w:rsidRPr="00000000">
              <w:rPr>
                <w:sz w:val="20"/>
                <w:szCs w:val="20"/>
                <w:rtl w:val="0"/>
              </w:rPr>
              <w:t xml:space="preserve">Malignancy, Chronic obstructive or interstitial pulmonar disease, Diabetes, Myocardial infarction, and Chronic kidney disease</w:t>
            </w:r>
            <w:r w:rsidDel="00000000" w:rsidR="00000000" w:rsidRPr="00000000">
              <w:rPr>
                <w:rtl w:val="0"/>
              </w:rPr>
            </w:r>
          </w:p>
        </w:tc>
        <w:tc>
          <w:tcPr>
            <w:vAlign w:val="center"/>
          </w:tcPr>
          <w:p w:rsidR="00000000" w:rsidDel="00000000" w:rsidP="00000000" w:rsidRDefault="00000000" w:rsidRPr="00000000" w14:paraId="00000106">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07">
            <w:pPr>
              <w:spacing w:after="0" w:before="0" w:lineRule="auto"/>
              <w:jc w:val="center"/>
              <w:rPr>
                <w:color w:val="000000"/>
                <w:sz w:val="20"/>
                <w:szCs w:val="20"/>
              </w:rPr>
            </w:pPr>
            <w:r w:rsidDel="00000000" w:rsidR="00000000" w:rsidRPr="00000000">
              <w:rPr>
                <w:sz w:val="20"/>
                <w:szCs w:val="20"/>
                <w:rtl w:val="0"/>
              </w:rPr>
              <w:t xml:space="preserve">ICD-10 code A00-B99, D73.3, E06.0, E32.1, G00-G02, G04.2, G05-G07, H00.0, H44.0, H60.0-H60.3, H66-H67, H70, I30.1, I40.0, J00-J22, J32, J34.0, J36, J38.3, J39.0-J39.1, J44.0, J85, J86, K04.4, K04.6, K04.7, K10.2,  K11.3, K12.2, K14.0, K57.0, K57.2, K57.4, K57.8, K61, K63.0, K65.0, K65.1, K65.2, K65.9, L00-L08, L30.3, M00-M01, M46.2-M46.5, M60.0, M65.0, M71.0, M71.1, M72.6, M86, N10, N11, N12, N13.6, N15.1, N15.9, N30.0 N30.8, N34.0, N39.0, N41.2, N43.1, N45.2, N45.3, N45.4, N48.2, N61, N70, N73, N75.1 O23, O26.4, O41.1, O75.3, O85, O86, O88.3, O91, and O98</w:t>
            </w:r>
            <w:r w:rsidDel="00000000" w:rsidR="00000000" w:rsidRPr="00000000">
              <w:rPr>
                <w:rtl w:val="0"/>
              </w:rPr>
            </w:r>
          </w:p>
        </w:tc>
      </w:tr>
      <w:tr>
        <w:trPr>
          <w:cantSplit w:val="0"/>
          <w:trHeight w:val="1785" w:hRule="atLeast"/>
          <w:tblHeader w:val="0"/>
        </w:trPr>
        <w:tc>
          <w:tcPr>
            <w:shd w:fill="auto" w:val="clear"/>
            <w:vAlign w:val="center"/>
          </w:tcPr>
          <w:p w:rsidR="00000000" w:rsidDel="00000000" w:rsidP="00000000" w:rsidRDefault="00000000" w:rsidRPr="00000000" w14:paraId="00000108">
            <w:pPr>
              <w:spacing w:after="0" w:before="0" w:lineRule="auto"/>
              <w:jc w:val="center"/>
              <w:rPr>
                <w:color w:val="000000"/>
                <w:sz w:val="20"/>
                <w:szCs w:val="20"/>
              </w:rPr>
            </w:pPr>
            <w:r w:rsidDel="00000000" w:rsidR="00000000" w:rsidRPr="00000000">
              <w:rPr>
                <w:color w:val="000000"/>
                <w:sz w:val="20"/>
                <w:szCs w:val="20"/>
                <w:rtl w:val="0"/>
              </w:rPr>
              <w:t xml:space="preserve">Grøn</w:t>
            </w:r>
          </w:p>
        </w:tc>
        <w:tc>
          <w:tcPr>
            <w:shd w:fill="auto" w:val="clear"/>
            <w:vAlign w:val="center"/>
          </w:tcPr>
          <w:p w:rsidR="00000000" w:rsidDel="00000000" w:rsidP="00000000" w:rsidRDefault="00000000" w:rsidRPr="00000000" w14:paraId="00000109">
            <w:pPr>
              <w:spacing w:after="0" w:before="0" w:lineRule="auto"/>
              <w:jc w:val="center"/>
              <w:rPr>
                <w:color w:val="000000"/>
                <w:sz w:val="20"/>
                <w:szCs w:val="20"/>
              </w:rPr>
            </w:pPr>
            <w:r w:rsidDel="00000000" w:rsidR="00000000" w:rsidRPr="00000000">
              <w:rPr>
                <w:color w:val="000000"/>
                <w:sz w:val="20"/>
                <w:szCs w:val="20"/>
                <w:rtl w:val="0"/>
              </w:rPr>
              <w:t xml:space="preserve">2020</w:t>
            </w:r>
          </w:p>
        </w:tc>
        <w:tc>
          <w:tcPr>
            <w:shd w:fill="auto" w:val="clear"/>
            <w:vAlign w:val="center"/>
          </w:tcPr>
          <w:p w:rsidR="00000000" w:rsidDel="00000000" w:rsidP="00000000" w:rsidRDefault="00000000" w:rsidRPr="00000000" w14:paraId="0000010A">
            <w:pPr>
              <w:spacing w:after="0" w:before="0" w:lineRule="auto"/>
              <w:jc w:val="center"/>
              <w:rPr>
                <w:color w:val="000000"/>
                <w:sz w:val="20"/>
                <w:szCs w:val="20"/>
              </w:rPr>
            </w:pPr>
            <w:r w:rsidDel="00000000" w:rsidR="00000000" w:rsidRPr="00000000">
              <w:rPr>
                <w:color w:val="000000"/>
                <w:sz w:val="20"/>
                <w:szCs w:val="20"/>
                <w:rtl w:val="0"/>
              </w:rPr>
              <w:t xml:space="preserve">Prospective cohort</w:t>
              <w:br w:type="textWrapping"/>
              <w:t xml:space="preserve">2007 - 2017</w:t>
            </w:r>
          </w:p>
        </w:tc>
        <w:tc>
          <w:tcPr>
            <w:shd w:fill="auto" w:val="clear"/>
            <w:vAlign w:val="center"/>
          </w:tcPr>
          <w:p w:rsidR="00000000" w:rsidDel="00000000" w:rsidP="00000000" w:rsidRDefault="00000000" w:rsidRPr="00000000" w14:paraId="0000010B">
            <w:pPr>
              <w:spacing w:after="0" w:before="0" w:lineRule="auto"/>
              <w:jc w:val="center"/>
              <w:rPr>
                <w:color w:val="000000"/>
                <w:sz w:val="20"/>
                <w:szCs w:val="20"/>
              </w:rPr>
            </w:pPr>
            <w:r w:rsidDel="00000000" w:rsidR="00000000" w:rsidRPr="00000000">
              <w:rPr>
                <w:color w:val="000000"/>
                <w:sz w:val="20"/>
                <w:szCs w:val="20"/>
                <w:rtl w:val="0"/>
              </w:rPr>
              <w:t xml:space="preserve">Danish nationwide quality</w:t>
              <w:br w:type="textWrapping"/>
              <w:t xml:space="preserve">registry (DANBIO)</w:t>
            </w:r>
          </w:p>
        </w:tc>
        <w:tc>
          <w:tcPr>
            <w:shd w:fill="auto" w:val="clear"/>
            <w:vAlign w:val="center"/>
          </w:tcPr>
          <w:p w:rsidR="00000000" w:rsidDel="00000000" w:rsidP="00000000" w:rsidRDefault="00000000" w:rsidRPr="00000000" w14:paraId="0000010C">
            <w:pPr>
              <w:spacing w:after="0" w:before="0" w:lineRule="auto"/>
              <w:jc w:val="center"/>
              <w:rPr>
                <w:color w:val="000000"/>
                <w:sz w:val="20"/>
                <w:szCs w:val="20"/>
              </w:rPr>
            </w:pPr>
            <w:r w:rsidDel="00000000" w:rsidR="00000000" w:rsidRPr="00000000">
              <w:rPr>
                <w:color w:val="000000"/>
                <w:sz w:val="20"/>
                <w:szCs w:val="20"/>
                <w:rtl w:val="0"/>
              </w:rPr>
              <w:t xml:space="preserve">Tocilizumab </w:t>
              <w:br w:type="textWrapping"/>
              <w:t xml:space="preserve">(2,899)</w:t>
            </w:r>
          </w:p>
        </w:tc>
        <w:tc>
          <w:tcPr>
            <w:shd w:fill="auto" w:val="clear"/>
            <w:vAlign w:val="center"/>
          </w:tcPr>
          <w:p w:rsidR="00000000" w:rsidDel="00000000" w:rsidP="00000000" w:rsidRDefault="00000000" w:rsidRPr="00000000" w14:paraId="0000010D">
            <w:pPr>
              <w:spacing w:after="0" w:before="0" w:lineRule="auto"/>
              <w:jc w:val="center"/>
              <w:rPr>
                <w:color w:val="000000"/>
                <w:sz w:val="20"/>
                <w:szCs w:val="20"/>
              </w:rPr>
            </w:pPr>
            <w:r w:rsidDel="00000000" w:rsidR="00000000" w:rsidRPr="00000000">
              <w:rPr>
                <w:color w:val="000000"/>
                <w:sz w:val="20"/>
                <w:szCs w:val="20"/>
                <w:rtl w:val="0"/>
              </w:rPr>
              <w:t xml:space="preserve">Abatacept </w:t>
              <w:br w:type="textWrapping"/>
              <w:t xml:space="preserve">(2,725)</w:t>
              <w:br w:type="textWrapping"/>
              <w:t xml:space="preserve">Rituximab</w:t>
              <w:br w:type="textWrapping"/>
              <w:t xml:space="preserve">(3,363)</w:t>
            </w:r>
          </w:p>
        </w:tc>
        <w:tc>
          <w:tcPr>
            <w:shd w:fill="auto" w:val="clear"/>
            <w:vAlign w:val="center"/>
          </w:tcPr>
          <w:p w:rsidR="00000000" w:rsidDel="00000000" w:rsidP="00000000" w:rsidRDefault="00000000" w:rsidRPr="00000000" w14:paraId="0000010E">
            <w:pPr>
              <w:spacing w:after="0" w:before="0" w:lineRule="auto"/>
              <w:jc w:val="center"/>
              <w:rPr>
                <w:color w:val="000000"/>
                <w:sz w:val="20"/>
                <w:szCs w:val="20"/>
              </w:rPr>
            </w:pPr>
            <w:r w:rsidDel="00000000" w:rsidR="00000000" w:rsidRPr="00000000">
              <w:rPr>
                <w:color w:val="000000"/>
                <w:sz w:val="20"/>
                <w:szCs w:val="20"/>
                <w:rtl w:val="0"/>
              </w:rPr>
              <w:t xml:space="preserve">Abatacept: 59</w:t>
              <w:br w:type="textWrapping"/>
              <w:t xml:space="preserve">Rituximab: 62</w:t>
              <w:br w:type="textWrapping"/>
              <w:t xml:space="preserve">Tocilizumab: 59</w:t>
            </w:r>
          </w:p>
        </w:tc>
        <w:tc>
          <w:tcPr>
            <w:shd w:fill="auto" w:val="clear"/>
            <w:vAlign w:val="center"/>
          </w:tcPr>
          <w:p w:rsidR="00000000" w:rsidDel="00000000" w:rsidP="00000000" w:rsidRDefault="00000000" w:rsidRPr="00000000" w14:paraId="0000010F">
            <w:pPr>
              <w:spacing w:after="0" w:before="0" w:lineRule="auto"/>
              <w:jc w:val="center"/>
              <w:rPr>
                <w:color w:val="000000"/>
                <w:sz w:val="20"/>
                <w:szCs w:val="20"/>
              </w:rPr>
            </w:pPr>
            <w:r w:rsidDel="00000000" w:rsidR="00000000" w:rsidRPr="00000000">
              <w:rPr>
                <w:color w:val="000000"/>
                <w:sz w:val="20"/>
                <w:szCs w:val="20"/>
                <w:rtl w:val="0"/>
              </w:rPr>
              <w:t xml:space="preserve">Age, gender, calendar year, RA disease</w:t>
              <w:br w:type="textWrapping"/>
              <w:t xml:space="preserve">duration (years), number of previous bDMARDs, glucocorticoid use, DAS28, disease duration, HAQ, smoking, previous malignancy, previous hospitalized infection, previous chronic</w:t>
              <w:br w:type="textWrapping"/>
              <w:t xml:space="preserve">obstructive or interstitial pulmonary disease, and</w:t>
              <w:br w:type="textWrapping"/>
              <w:t xml:space="preserve">previous reimbursement of an antibiotic prescription</w:t>
            </w:r>
          </w:p>
        </w:tc>
        <w:tc>
          <w:tcPr>
            <w:vAlign w:val="center"/>
          </w:tcPr>
          <w:p w:rsidR="00000000" w:rsidDel="00000000" w:rsidP="00000000" w:rsidRDefault="00000000" w:rsidRPr="00000000" w14:paraId="00000110">
            <w:pPr>
              <w:spacing w:after="0" w:before="0" w:lineRule="auto"/>
              <w:jc w:val="center"/>
              <w:rPr>
                <w:color w:val="000000"/>
                <w:sz w:val="20"/>
                <w:szCs w:val="20"/>
              </w:rPr>
            </w:pPr>
            <w:r w:rsidDel="00000000" w:rsidR="00000000" w:rsidRPr="00000000">
              <w:rPr>
                <w:sz w:val="20"/>
                <w:szCs w:val="20"/>
                <w:rtl w:val="0"/>
              </w:rPr>
              <w:t xml:space="preserve">Malignancy, Chronic obstructive or interstitial pulmonar disease, Diabetes, Myocardial infarction, and Chronic kidney disease</w:t>
            </w:r>
            <w:r w:rsidDel="00000000" w:rsidR="00000000" w:rsidRPr="00000000">
              <w:rPr>
                <w:rtl w:val="0"/>
              </w:rPr>
            </w:r>
          </w:p>
        </w:tc>
        <w:tc>
          <w:tcPr>
            <w:vAlign w:val="center"/>
          </w:tcPr>
          <w:p w:rsidR="00000000" w:rsidDel="00000000" w:rsidP="00000000" w:rsidRDefault="00000000" w:rsidRPr="00000000" w14:paraId="00000111">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12">
            <w:pPr>
              <w:spacing w:after="0" w:before="0" w:lineRule="auto"/>
              <w:jc w:val="center"/>
              <w:rPr>
                <w:color w:val="000000"/>
                <w:sz w:val="20"/>
                <w:szCs w:val="20"/>
              </w:rPr>
            </w:pPr>
            <w:r w:rsidDel="00000000" w:rsidR="00000000" w:rsidRPr="00000000">
              <w:rPr>
                <w:sz w:val="20"/>
                <w:szCs w:val="20"/>
                <w:rtl w:val="0"/>
              </w:rPr>
              <w:t xml:space="preserve">ICD-10 code A00-B99, D73.3, E06.0, E32.1, G00-G02, G04.2, G05-G07, H00.0, H44.0, H60.0-H60.3, H66-H67, H70, I30.1, I40.0, J00-J22, J32, J34.0, J36, J38.3, J39.0-J39.1, J44.0, J85, J86, K04.4, K04.6, K04.7, K10.2,  K11.3, K12.2, K14.0, K57.0, K57.2, K57.4, K57.8, K61, K63.0, K65.0, K65.1, K65.2, K65.9, L00-L08, L30.3, M00-M01, M46.2-M46.5, M60.0, M65.0, M71.0, M71.1, M72.6, M86, N10, N11, N12, N13.6, N15.1, N15.9, N30.0 N30.8, N34.0, N39.0, N41.2, N43.1, N45.2, N45.3, N45.4, N48.2, N61, N70, N73, N75.1 O23, O26.4, O41.1, O75.3, O85, O86, O88.3, O91, and O98</w:t>
            </w:r>
            <w:r w:rsidDel="00000000" w:rsidR="00000000" w:rsidRPr="00000000">
              <w:rPr>
                <w:rtl w:val="0"/>
              </w:rPr>
            </w:r>
          </w:p>
        </w:tc>
      </w:tr>
      <w:tr>
        <w:trPr>
          <w:cantSplit w:val="0"/>
          <w:trHeight w:val="1455" w:hRule="atLeast"/>
          <w:tblHeader w:val="0"/>
        </w:trPr>
        <w:tc>
          <w:tcPr>
            <w:shd w:fill="auto" w:val="clear"/>
            <w:vAlign w:val="center"/>
          </w:tcPr>
          <w:p w:rsidR="00000000" w:rsidDel="00000000" w:rsidP="00000000" w:rsidRDefault="00000000" w:rsidRPr="00000000" w14:paraId="00000113">
            <w:pPr>
              <w:spacing w:after="0" w:before="0" w:lineRule="auto"/>
              <w:jc w:val="center"/>
              <w:rPr>
                <w:color w:val="000000"/>
                <w:sz w:val="20"/>
                <w:szCs w:val="20"/>
              </w:rPr>
            </w:pPr>
            <w:r w:rsidDel="00000000" w:rsidR="00000000" w:rsidRPr="00000000">
              <w:rPr>
                <w:color w:val="000000"/>
                <w:sz w:val="20"/>
                <w:szCs w:val="20"/>
                <w:rtl w:val="0"/>
              </w:rPr>
              <w:t xml:space="preserve">Harada</w:t>
            </w:r>
          </w:p>
        </w:tc>
        <w:tc>
          <w:tcPr>
            <w:shd w:fill="auto" w:val="clear"/>
            <w:vAlign w:val="center"/>
          </w:tcPr>
          <w:p w:rsidR="00000000" w:rsidDel="00000000" w:rsidP="00000000" w:rsidRDefault="00000000" w:rsidRPr="00000000" w14:paraId="00000114">
            <w:pPr>
              <w:spacing w:after="0" w:before="0" w:lineRule="auto"/>
              <w:jc w:val="center"/>
              <w:rPr>
                <w:color w:val="000000"/>
                <w:sz w:val="20"/>
                <w:szCs w:val="20"/>
              </w:rPr>
            </w:pPr>
            <w:r w:rsidDel="00000000" w:rsidR="00000000" w:rsidRPr="00000000">
              <w:rPr>
                <w:color w:val="000000"/>
                <w:sz w:val="20"/>
                <w:szCs w:val="20"/>
                <w:rtl w:val="0"/>
              </w:rPr>
              <w:t xml:space="preserve">2017</w:t>
            </w:r>
          </w:p>
        </w:tc>
        <w:tc>
          <w:tcPr>
            <w:shd w:fill="auto" w:val="clear"/>
            <w:vAlign w:val="center"/>
          </w:tcPr>
          <w:p w:rsidR="00000000" w:rsidDel="00000000" w:rsidP="00000000" w:rsidRDefault="00000000" w:rsidRPr="00000000" w14:paraId="00000115">
            <w:pPr>
              <w:spacing w:after="0" w:before="0" w:lineRule="auto"/>
              <w:jc w:val="center"/>
              <w:rPr>
                <w:color w:val="000000"/>
                <w:sz w:val="20"/>
                <w:szCs w:val="20"/>
              </w:rPr>
            </w:pPr>
            <w:r w:rsidDel="00000000" w:rsidR="00000000" w:rsidRPr="00000000">
              <w:rPr>
                <w:color w:val="000000"/>
                <w:sz w:val="20"/>
                <w:szCs w:val="20"/>
                <w:rtl w:val="0"/>
              </w:rPr>
              <w:t xml:space="preserve">Nested case-control 2005-2012</w:t>
            </w:r>
          </w:p>
        </w:tc>
        <w:tc>
          <w:tcPr>
            <w:shd w:fill="auto" w:val="clear"/>
            <w:vAlign w:val="center"/>
          </w:tcPr>
          <w:p w:rsidR="00000000" w:rsidDel="00000000" w:rsidP="00000000" w:rsidRDefault="00000000" w:rsidRPr="00000000" w14:paraId="00000116">
            <w:pPr>
              <w:spacing w:after="0" w:before="0" w:lineRule="auto"/>
              <w:jc w:val="center"/>
              <w:rPr>
                <w:color w:val="000000"/>
                <w:sz w:val="20"/>
                <w:szCs w:val="20"/>
              </w:rPr>
            </w:pPr>
            <w:r w:rsidDel="00000000" w:rsidR="00000000" w:rsidRPr="00000000">
              <w:rPr>
                <w:color w:val="000000"/>
                <w:sz w:val="20"/>
                <w:szCs w:val="20"/>
                <w:rtl w:val="0"/>
              </w:rPr>
              <w:t xml:space="preserve">Registry of Japanese Rheumatoid Arthritis Patients on Biologics for Longterm Safety (REAL)</w:t>
            </w:r>
          </w:p>
        </w:tc>
        <w:tc>
          <w:tcPr>
            <w:shd w:fill="auto" w:val="clear"/>
            <w:vAlign w:val="center"/>
          </w:tcPr>
          <w:p w:rsidR="00000000" w:rsidDel="00000000" w:rsidP="00000000" w:rsidRDefault="00000000" w:rsidRPr="00000000" w14:paraId="00000117">
            <w:pPr>
              <w:spacing w:after="0" w:before="0" w:lineRule="auto"/>
              <w:jc w:val="center"/>
              <w:rPr>
                <w:color w:val="000000"/>
                <w:sz w:val="20"/>
                <w:szCs w:val="20"/>
              </w:rPr>
            </w:pPr>
            <w:r w:rsidDel="00000000" w:rsidR="00000000" w:rsidRPr="00000000">
              <w:rPr>
                <w:color w:val="000000"/>
                <w:sz w:val="20"/>
                <w:szCs w:val="20"/>
                <w:rtl w:val="0"/>
              </w:rPr>
              <w:t xml:space="preserve">bDMARDs</w:t>
              <w:br w:type="textWrapping"/>
              <w:t xml:space="preserve">(1,222)</w:t>
            </w:r>
          </w:p>
        </w:tc>
        <w:tc>
          <w:tcPr>
            <w:shd w:fill="auto" w:val="clear"/>
            <w:vAlign w:val="center"/>
          </w:tcPr>
          <w:p w:rsidR="00000000" w:rsidDel="00000000" w:rsidP="00000000" w:rsidRDefault="00000000" w:rsidRPr="00000000" w14:paraId="00000118">
            <w:pPr>
              <w:spacing w:after="0" w:before="0" w:lineRule="auto"/>
              <w:jc w:val="center"/>
              <w:rPr>
                <w:color w:val="000000"/>
                <w:sz w:val="20"/>
                <w:szCs w:val="20"/>
              </w:rPr>
            </w:pPr>
            <w:r w:rsidDel="00000000" w:rsidR="00000000" w:rsidRPr="00000000">
              <w:rPr>
                <w:color w:val="000000"/>
                <w:sz w:val="20"/>
                <w:szCs w:val="20"/>
                <w:rtl w:val="0"/>
              </w:rPr>
              <w:t xml:space="preserve">MTX </w:t>
              <w:br w:type="textWrapping"/>
              <w:t xml:space="preserve">(1,274)</w:t>
            </w:r>
          </w:p>
        </w:tc>
        <w:tc>
          <w:tcPr>
            <w:shd w:fill="auto" w:val="clear"/>
            <w:vAlign w:val="center"/>
          </w:tcPr>
          <w:p w:rsidR="00000000" w:rsidDel="00000000" w:rsidP="00000000" w:rsidRDefault="00000000" w:rsidRPr="00000000" w14:paraId="00000119">
            <w:pPr>
              <w:spacing w:after="0" w:before="0" w:lineRule="auto"/>
              <w:jc w:val="center"/>
              <w:rPr>
                <w:color w:val="000000"/>
                <w:sz w:val="20"/>
                <w:szCs w:val="20"/>
              </w:rPr>
            </w:pPr>
            <w:r w:rsidDel="00000000" w:rsidR="00000000" w:rsidRPr="00000000">
              <w:rPr>
                <w:color w:val="000000"/>
                <w:sz w:val="20"/>
                <w:szCs w:val="20"/>
                <w:rtl w:val="0"/>
              </w:rPr>
              <w:t xml:space="preserve">60.0 (51.0-68.0)</w:t>
            </w:r>
          </w:p>
        </w:tc>
        <w:tc>
          <w:tcPr>
            <w:shd w:fill="auto" w:val="clear"/>
            <w:vAlign w:val="center"/>
          </w:tcPr>
          <w:p w:rsidR="00000000" w:rsidDel="00000000" w:rsidP="00000000" w:rsidRDefault="00000000" w:rsidRPr="00000000" w14:paraId="0000011A">
            <w:pPr>
              <w:spacing w:after="0" w:before="0" w:lineRule="auto"/>
              <w:jc w:val="center"/>
              <w:rPr>
                <w:color w:val="000000"/>
                <w:sz w:val="20"/>
                <w:szCs w:val="20"/>
              </w:rPr>
            </w:pPr>
            <w:r w:rsidDel="00000000" w:rsidR="00000000" w:rsidRPr="00000000">
              <w:rPr>
                <w:color w:val="000000"/>
                <w:sz w:val="20"/>
                <w:szCs w:val="20"/>
                <w:rtl w:val="0"/>
              </w:rPr>
              <w:t xml:space="preserve">Age, sex, observation start year and comorbidity</w:t>
            </w:r>
          </w:p>
        </w:tc>
        <w:tc>
          <w:tcPr>
            <w:vAlign w:val="center"/>
          </w:tcPr>
          <w:p w:rsidR="00000000" w:rsidDel="00000000" w:rsidP="00000000" w:rsidRDefault="00000000" w:rsidRPr="00000000" w14:paraId="0000011B">
            <w:pPr>
              <w:spacing w:after="0" w:before="0" w:lineRule="auto"/>
              <w:jc w:val="center"/>
              <w:rPr>
                <w:color w:val="000000"/>
                <w:sz w:val="20"/>
                <w:szCs w:val="20"/>
              </w:rPr>
            </w:pPr>
            <w:r w:rsidDel="00000000" w:rsidR="00000000" w:rsidRPr="00000000">
              <w:rPr>
                <w:sz w:val="20"/>
                <w:szCs w:val="20"/>
                <w:rtl w:val="0"/>
              </w:rPr>
              <w:t xml:space="preserve">Pulmonary disease, Liver disease, Renal disease, Diabetes mellitus, and Malignancies</w:t>
            </w:r>
            <w:r w:rsidDel="00000000" w:rsidR="00000000" w:rsidRPr="00000000">
              <w:rPr>
                <w:rtl w:val="0"/>
              </w:rPr>
            </w:r>
          </w:p>
        </w:tc>
        <w:tc>
          <w:tcPr>
            <w:vAlign w:val="center"/>
          </w:tcPr>
          <w:p w:rsidR="00000000" w:rsidDel="00000000" w:rsidP="00000000" w:rsidRDefault="00000000" w:rsidRPr="00000000" w14:paraId="0000011C">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1D">
            <w:pPr>
              <w:jc w:val="center"/>
              <w:rPr>
                <w:sz w:val="20"/>
                <w:szCs w:val="20"/>
              </w:rPr>
            </w:pPr>
            <w:r w:rsidDel="00000000" w:rsidR="00000000" w:rsidRPr="00000000">
              <w:rPr>
                <w:sz w:val="20"/>
                <w:szCs w:val="20"/>
                <w:rtl w:val="0"/>
              </w:rPr>
              <w:t xml:space="preserve">Clinical diagnose by the site investigators and patients that required intravenous or oral</w:t>
            </w:r>
          </w:p>
          <w:p w:rsidR="00000000" w:rsidDel="00000000" w:rsidP="00000000" w:rsidRDefault="00000000" w:rsidRPr="00000000" w14:paraId="0000011E">
            <w:pPr>
              <w:spacing w:after="0" w:before="0" w:lineRule="auto"/>
              <w:jc w:val="center"/>
              <w:rPr>
                <w:color w:val="000000"/>
                <w:sz w:val="20"/>
                <w:szCs w:val="20"/>
              </w:rPr>
            </w:pPr>
            <w:r w:rsidDel="00000000" w:rsidR="00000000" w:rsidRPr="00000000">
              <w:rPr>
                <w:sz w:val="20"/>
                <w:szCs w:val="20"/>
                <w:rtl w:val="0"/>
              </w:rPr>
              <w:t xml:space="preserve">administration of antiviral medications</w:t>
            </w:r>
            <w:r w:rsidDel="00000000" w:rsidR="00000000" w:rsidRPr="00000000">
              <w:rPr>
                <w:rtl w:val="0"/>
              </w:rPr>
            </w:r>
          </w:p>
        </w:tc>
      </w:tr>
      <w:tr>
        <w:trPr>
          <w:cantSplit w:val="0"/>
          <w:trHeight w:val="1455" w:hRule="atLeast"/>
          <w:tblHeader w:val="0"/>
        </w:trPr>
        <w:tc>
          <w:tcPr>
            <w:shd w:fill="auto" w:val="clear"/>
            <w:vAlign w:val="center"/>
          </w:tcPr>
          <w:p w:rsidR="00000000" w:rsidDel="00000000" w:rsidP="00000000" w:rsidRDefault="00000000" w:rsidRPr="00000000" w14:paraId="0000011F">
            <w:pPr>
              <w:spacing w:after="0" w:before="0" w:lineRule="auto"/>
              <w:jc w:val="center"/>
              <w:rPr>
                <w:color w:val="000000"/>
                <w:sz w:val="20"/>
                <w:szCs w:val="20"/>
              </w:rPr>
            </w:pPr>
            <w:r w:rsidDel="00000000" w:rsidR="00000000" w:rsidRPr="00000000">
              <w:rPr>
                <w:color w:val="000000"/>
                <w:sz w:val="20"/>
                <w:szCs w:val="20"/>
                <w:rtl w:val="0"/>
              </w:rPr>
              <w:t xml:space="preserve">Hellgren</w:t>
            </w:r>
          </w:p>
        </w:tc>
        <w:tc>
          <w:tcPr>
            <w:shd w:fill="auto" w:val="clear"/>
            <w:vAlign w:val="center"/>
          </w:tcPr>
          <w:p w:rsidR="00000000" w:rsidDel="00000000" w:rsidP="00000000" w:rsidRDefault="00000000" w:rsidRPr="00000000" w14:paraId="00000120">
            <w:pPr>
              <w:spacing w:after="0" w:before="0" w:lineRule="auto"/>
              <w:jc w:val="center"/>
              <w:rPr>
                <w:color w:val="000000"/>
                <w:sz w:val="20"/>
                <w:szCs w:val="20"/>
              </w:rPr>
            </w:pPr>
            <w:r w:rsidDel="00000000" w:rsidR="00000000" w:rsidRPr="00000000">
              <w:rPr>
                <w:color w:val="000000"/>
                <w:sz w:val="20"/>
                <w:szCs w:val="20"/>
                <w:rtl w:val="0"/>
              </w:rPr>
              <w:t xml:space="preserve">2020</w:t>
            </w:r>
          </w:p>
        </w:tc>
        <w:tc>
          <w:tcPr>
            <w:shd w:fill="auto" w:val="clear"/>
            <w:vAlign w:val="center"/>
          </w:tcPr>
          <w:p w:rsidR="00000000" w:rsidDel="00000000" w:rsidP="00000000" w:rsidRDefault="00000000" w:rsidRPr="00000000" w14:paraId="00000121">
            <w:pPr>
              <w:spacing w:after="0" w:before="0" w:lineRule="auto"/>
              <w:jc w:val="center"/>
              <w:rPr>
                <w:color w:val="000000"/>
                <w:sz w:val="20"/>
                <w:szCs w:val="20"/>
              </w:rPr>
            </w:pPr>
            <w:r w:rsidDel="00000000" w:rsidR="00000000" w:rsidRPr="00000000">
              <w:rPr>
                <w:color w:val="000000"/>
                <w:sz w:val="20"/>
                <w:szCs w:val="20"/>
                <w:rtl w:val="0"/>
              </w:rPr>
              <w:t xml:space="preserve">Population-based cohort 2001-2016.</w:t>
            </w:r>
          </w:p>
        </w:tc>
        <w:tc>
          <w:tcPr>
            <w:shd w:fill="auto" w:val="clear"/>
            <w:vAlign w:val="center"/>
          </w:tcPr>
          <w:p w:rsidR="00000000" w:rsidDel="00000000" w:rsidP="00000000" w:rsidRDefault="00000000" w:rsidRPr="00000000" w14:paraId="00000122">
            <w:pPr>
              <w:spacing w:after="0" w:before="0" w:lineRule="auto"/>
              <w:jc w:val="center"/>
              <w:rPr>
                <w:color w:val="000000"/>
                <w:sz w:val="20"/>
                <w:szCs w:val="20"/>
              </w:rPr>
            </w:pPr>
            <w:r w:rsidDel="00000000" w:rsidR="00000000" w:rsidRPr="00000000">
              <w:rPr>
                <w:color w:val="000000"/>
                <w:sz w:val="20"/>
                <w:szCs w:val="20"/>
                <w:rtl w:val="0"/>
              </w:rPr>
              <w:t xml:space="preserve">Swedish Rheumatology Quality Register (SRQ)</w:t>
            </w:r>
          </w:p>
        </w:tc>
        <w:tc>
          <w:tcPr>
            <w:shd w:fill="auto" w:val="clear"/>
            <w:vAlign w:val="center"/>
          </w:tcPr>
          <w:p w:rsidR="00000000" w:rsidDel="00000000" w:rsidP="00000000" w:rsidRDefault="00000000" w:rsidRPr="00000000" w14:paraId="00000123">
            <w:pPr>
              <w:spacing w:after="0" w:before="0" w:lineRule="auto"/>
              <w:jc w:val="center"/>
              <w:rPr>
                <w:color w:val="000000"/>
                <w:sz w:val="20"/>
                <w:szCs w:val="20"/>
              </w:rPr>
            </w:pPr>
            <w:r w:rsidDel="00000000" w:rsidR="00000000" w:rsidRPr="00000000">
              <w:rPr>
                <w:color w:val="000000"/>
                <w:sz w:val="20"/>
                <w:szCs w:val="20"/>
                <w:rtl w:val="0"/>
              </w:rPr>
              <w:t xml:space="preserve">bDMARDs (16,392)</w:t>
            </w:r>
          </w:p>
        </w:tc>
        <w:tc>
          <w:tcPr>
            <w:shd w:fill="auto" w:val="clear"/>
            <w:vAlign w:val="center"/>
          </w:tcPr>
          <w:p w:rsidR="00000000" w:rsidDel="00000000" w:rsidP="00000000" w:rsidRDefault="00000000" w:rsidRPr="00000000" w14:paraId="00000124">
            <w:pPr>
              <w:spacing w:after="0" w:before="0" w:lineRule="auto"/>
              <w:jc w:val="center"/>
              <w:rPr>
                <w:color w:val="000000"/>
                <w:sz w:val="20"/>
                <w:szCs w:val="20"/>
              </w:rPr>
            </w:pPr>
            <w:r w:rsidDel="00000000" w:rsidR="00000000" w:rsidRPr="00000000">
              <w:rPr>
                <w:color w:val="000000"/>
                <w:sz w:val="20"/>
                <w:szCs w:val="20"/>
                <w:rtl w:val="0"/>
              </w:rPr>
              <w:t xml:space="preserve">ccsDMARDss (55,253)</w:t>
            </w:r>
          </w:p>
        </w:tc>
        <w:tc>
          <w:tcPr>
            <w:shd w:fill="auto" w:val="clear"/>
            <w:vAlign w:val="center"/>
          </w:tcPr>
          <w:p w:rsidR="00000000" w:rsidDel="00000000" w:rsidP="00000000" w:rsidRDefault="00000000" w:rsidRPr="00000000" w14:paraId="00000125">
            <w:pPr>
              <w:spacing w:after="0" w:before="0" w:lineRule="auto"/>
              <w:jc w:val="center"/>
              <w:rPr>
                <w:color w:val="000000"/>
                <w:sz w:val="20"/>
                <w:szCs w:val="20"/>
              </w:rPr>
            </w:pPr>
            <w:r w:rsidDel="00000000" w:rsidR="00000000" w:rsidRPr="00000000">
              <w:rPr>
                <w:color w:val="000000"/>
                <w:sz w:val="20"/>
                <w:szCs w:val="20"/>
                <w:rtl w:val="0"/>
              </w:rPr>
              <w:t xml:space="preserve">bDMARDs: 57 (18-92) ccsDMARDss: 62 (18-97)</w:t>
            </w:r>
          </w:p>
        </w:tc>
        <w:tc>
          <w:tcPr>
            <w:shd w:fill="auto" w:val="clear"/>
            <w:vAlign w:val="center"/>
          </w:tcPr>
          <w:p w:rsidR="00000000" w:rsidDel="00000000" w:rsidP="00000000" w:rsidRDefault="00000000" w:rsidRPr="00000000" w14:paraId="00000126">
            <w:pPr>
              <w:spacing w:after="0" w:before="0" w:lineRule="auto"/>
              <w:jc w:val="center"/>
              <w:rPr>
                <w:color w:val="000000"/>
                <w:sz w:val="20"/>
                <w:szCs w:val="20"/>
              </w:rPr>
            </w:pPr>
            <w:r w:rsidDel="00000000" w:rsidR="00000000" w:rsidRPr="00000000">
              <w:rPr>
                <w:color w:val="000000"/>
                <w:sz w:val="20"/>
                <w:szCs w:val="20"/>
                <w:rtl w:val="0"/>
              </w:rPr>
              <w:t xml:space="preserve">Age, sex, educational level and comorbidities</w:t>
            </w:r>
          </w:p>
        </w:tc>
        <w:tc>
          <w:tcPr>
            <w:vAlign w:val="center"/>
          </w:tcPr>
          <w:p w:rsidR="00000000" w:rsidDel="00000000" w:rsidP="00000000" w:rsidRDefault="00000000" w:rsidRPr="00000000" w14:paraId="00000127">
            <w:pPr>
              <w:spacing w:after="0" w:before="0" w:lineRule="auto"/>
              <w:jc w:val="center"/>
              <w:rPr>
                <w:color w:val="000000"/>
                <w:sz w:val="20"/>
                <w:szCs w:val="20"/>
              </w:rPr>
            </w:pPr>
            <w:r w:rsidDel="00000000" w:rsidR="00000000" w:rsidRPr="00000000">
              <w:rPr>
                <w:sz w:val="20"/>
                <w:szCs w:val="20"/>
                <w:rtl w:val="0"/>
              </w:rPr>
              <w:t xml:space="preserve">Chronic obstructive pulmonary disease, Ischemic heart disease, and Diabetes mellitus</w:t>
            </w:r>
            <w:r w:rsidDel="00000000" w:rsidR="00000000" w:rsidRPr="00000000">
              <w:rPr>
                <w:rtl w:val="0"/>
              </w:rPr>
            </w:r>
          </w:p>
        </w:tc>
        <w:tc>
          <w:tcPr>
            <w:vAlign w:val="center"/>
          </w:tcPr>
          <w:p w:rsidR="00000000" w:rsidDel="00000000" w:rsidP="00000000" w:rsidRDefault="00000000" w:rsidRPr="00000000" w14:paraId="00000128">
            <w:pPr>
              <w:spacing w:after="0" w:before="0" w:lineRule="auto"/>
              <w:jc w:val="center"/>
              <w:rPr>
                <w:color w:val="000000"/>
                <w:sz w:val="20"/>
                <w:szCs w:val="20"/>
              </w:rPr>
            </w:pPr>
            <w:r w:rsidDel="00000000" w:rsidR="00000000" w:rsidRPr="00000000">
              <w:rPr>
                <w:sz w:val="20"/>
                <w:szCs w:val="20"/>
                <w:rtl w:val="0"/>
              </w:rPr>
              <w:t xml:space="preserve">ICD-10 code M05, M060, M062, M063, M068, M069, and M123</w:t>
            </w:r>
            <w:r w:rsidDel="00000000" w:rsidR="00000000" w:rsidRPr="00000000">
              <w:rPr>
                <w:rtl w:val="0"/>
              </w:rPr>
            </w:r>
          </w:p>
        </w:tc>
        <w:tc>
          <w:tcPr>
            <w:vAlign w:val="center"/>
          </w:tcPr>
          <w:p w:rsidR="00000000" w:rsidDel="00000000" w:rsidP="00000000" w:rsidRDefault="00000000" w:rsidRPr="00000000" w14:paraId="00000129">
            <w:pPr>
              <w:spacing w:after="0" w:before="0" w:lineRule="auto"/>
              <w:jc w:val="center"/>
              <w:rPr>
                <w:color w:val="000000"/>
                <w:sz w:val="20"/>
                <w:szCs w:val="20"/>
              </w:rPr>
            </w:pPr>
            <w:r w:rsidDel="00000000" w:rsidR="00000000" w:rsidRPr="00000000">
              <w:rPr>
                <w:sz w:val="20"/>
                <w:szCs w:val="20"/>
                <w:rtl w:val="0"/>
              </w:rPr>
              <w:t xml:space="preserve">ICD-10 code C82, C83, C84, C85, C86, C88, C911, C913, C916 , C914,  C97.7, C96.7, C96.2, C911, C913,C916, and C81</w:t>
            </w:r>
            <w:r w:rsidDel="00000000" w:rsidR="00000000" w:rsidRPr="00000000">
              <w:rPr>
                <w:rtl w:val="0"/>
              </w:rPr>
            </w:r>
          </w:p>
        </w:tc>
      </w:tr>
      <w:tr>
        <w:trPr>
          <w:cantSplit w:val="0"/>
          <w:trHeight w:val="1455" w:hRule="atLeast"/>
          <w:tblHeader w:val="0"/>
        </w:trPr>
        <w:tc>
          <w:tcPr>
            <w:shd w:fill="auto" w:val="clear"/>
            <w:vAlign w:val="center"/>
          </w:tcPr>
          <w:p w:rsidR="00000000" w:rsidDel="00000000" w:rsidP="00000000" w:rsidRDefault="00000000" w:rsidRPr="00000000" w14:paraId="0000012A">
            <w:pPr>
              <w:spacing w:after="0" w:before="0" w:lineRule="auto"/>
              <w:jc w:val="center"/>
              <w:rPr>
                <w:color w:val="000000"/>
                <w:sz w:val="20"/>
                <w:szCs w:val="20"/>
              </w:rPr>
            </w:pPr>
            <w:r w:rsidDel="00000000" w:rsidR="00000000" w:rsidRPr="00000000">
              <w:rPr>
                <w:color w:val="000000"/>
                <w:sz w:val="20"/>
                <w:szCs w:val="20"/>
                <w:rtl w:val="0"/>
              </w:rPr>
              <w:t xml:space="preserve">Kim</w:t>
            </w:r>
          </w:p>
        </w:tc>
        <w:tc>
          <w:tcPr>
            <w:shd w:fill="auto" w:val="clear"/>
            <w:vAlign w:val="center"/>
          </w:tcPr>
          <w:p w:rsidR="00000000" w:rsidDel="00000000" w:rsidP="00000000" w:rsidRDefault="00000000" w:rsidRPr="00000000" w14:paraId="0000012B">
            <w:pPr>
              <w:spacing w:after="0" w:before="0" w:lineRule="auto"/>
              <w:jc w:val="center"/>
              <w:rPr>
                <w:color w:val="000000"/>
                <w:sz w:val="20"/>
                <w:szCs w:val="20"/>
              </w:rPr>
            </w:pPr>
            <w:r w:rsidDel="00000000" w:rsidR="00000000" w:rsidRPr="00000000">
              <w:rPr>
                <w:color w:val="000000"/>
                <w:sz w:val="20"/>
                <w:szCs w:val="20"/>
                <w:rtl w:val="0"/>
              </w:rPr>
              <w:t xml:space="preserve">2017</w:t>
            </w:r>
          </w:p>
        </w:tc>
        <w:tc>
          <w:tcPr>
            <w:shd w:fill="auto" w:val="clear"/>
            <w:vAlign w:val="center"/>
          </w:tcPr>
          <w:p w:rsidR="00000000" w:rsidDel="00000000" w:rsidP="00000000" w:rsidRDefault="00000000" w:rsidRPr="00000000" w14:paraId="0000012C">
            <w:pPr>
              <w:spacing w:after="0" w:before="0" w:lineRule="auto"/>
              <w:jc w:val="center"/>
              <w:rPr>
                <w:color w:val="000000"/>
                <w:sz w:val="20"/>
                <w:szCs w:val="20"/>
              </w:rPr>
            </w:pPr>
            <w:r w:rsidDel="00000000" w:rsidR="00000000" w:rsidRPr="00000000">
              <w:rPr>
                <w:color w:val="000000"/>
                <w:sz w:val="20"/>
                <w:szCs w:val="20"/>
                <w:rtl w:val="0"/>
              </w:rPr>
              <w:t xml:space="preserve">Retrospective cohort</w:t>
            </w:r>
          </w:p>
        </w:tc>
        <w:tc>
          <w:tcPr>
            <w:shd w:fill="auto" w:val="clear"/>
            <w:vAlign w:val="center"/>
          </w:tcPr>
          <w:p w:rsidR="00000000" w:rsidDel="00000000" w:rsidP="00000000" w:rsidRDefault="00000000" w:rsidRPr="00000000" w14:paraId="0000012D">
            <w:pPr>
              <w:spacing w:after="0" w:before="0" w:lineRule="auto"/>
              <w:jc w:val="center"/>
              <w:rPr>
                <w:color w:val="000000"/>
                <w:sz w:val="20"/>
                <w:szCs w:val="20"/>
              </w:rPr>
            </w:pPr>
            <w:r w:rsidDel="00000000" w:rsidR="00000000" w:rsidRPr="00000000">
              <w:rPr>
                <w:color w:val="000000"/>
                <w:sz w:val="20"/>
                <w:szCs w:val="20"/>
                <w:rtl w:val="0"/>
              </w:rPr>
              <w:t xml:space="preserve">Medicare (2010–2013), IMS PharMetrics Plus (2011–2014), and Truven MarketScan (2011–June 2015)</w:t>
            </w:r>
          </w:p>
        </w:tc>
        <w:tc>
          <w:tcPr>
            <w:shd w:fill="auto" w:val="clear"/>
            <w:vAlign w:val="center"/>
          </w:tcPr>
          <w:p w:rsidR="00000000" w:rsidDel="00000000" w:rsidP="00000000" w:rsidRDefault="00000000" w:rsidRPr="00000000" w14:paraId="0000012E">
            <w:pPr>
              <w:spacing w:after="0" w:before="0" w:lineRule="auto"/>
              <w:jc w:val="center"/>
              <w:rPr>
                <w:color w:val="000000"/>
                <w:sz w:val="20"/>
                <w:szCs w:val="20"/>
              </w:rPr>
            </w:pPr>
            <w:r w:rsidDel="00000000" w:rsidR="00000000" w:rsidRPr="00000000">
              <w:rPr>
                <w:color w:val="000000"/>
                <w:sz w:val="20"/>
                <w:szCs w:val="20"/>
                <w:rtl w:val="0"/>
              </w:rPr>
              <w:t xml:space="preserve">TNFi </w:t>
              <w:br w:type="textWrapping"/>
              <w:t xml:space="preserve">(530,202)</w:t>
            </w:r>
          </w:p>
        </w:tc>
        <w:tc>
          <w:tcPr>
            <w:shd w:fill="auto" w:val="clear"/>
            <w:vAlign w:val="center"/>
          </w:tcPr>
          <w:p w:rsidR="00000000" w:rsidDel="00000000" w:rsidP="00000000" w:rsidRDefault="00000000" w:rsidRPr="00000000" w14:paraId="0000012F">
            <w:pPr>
              <w:spacing w:after="0" w:before="0" w:lineRule="auto"/>
              <w:jc w:val="center"/>
              <w:rPr>
                <w:color w:val="000000"/>
                <w:sz w:val="20"/>
                <w:szCs w:val="20"/>
              </w:rPr>
            </w:pPr>
            <w:r w:rsidDel="00000000" w:rsidR="00000000" w:rsidRPr="00000000">
              <w:rPr>
                <w:color w:val="000000"/>
                <w:sz w:val="20"/>
                <w:szCs w:val="20"/>
                <w:rtl w:val="0"/>
              </w:rPr>
              <w:t xml:space="preserve">Tocilizumab</w:t>
              <w:br w:type="textWrapping"/>
              <w:t xml:space="preserve">(59,917)</w:t>
            </w:r>
          </w:p>
        </w:tc>
        <w:tc>
          <w:tcPr>
            <w:shd w:fill="auto" w:val="clear"/>
            <w:vAlign w:val="center"/>
          </w:tcPr>
          <w:p w:rsidR="00000000" w:rsidDel="00000000" w:rsidP="00000000" w:rsidRDefault="00000000" w:rsidRPr="00000000" w14:paraId="00000130">
            <w:pPr>
              <w:spacing w:after="0" w:before="0" w:lineRule="auto"/>
              <w:jc w:val="center"/>
              <w:rPr>
                <w:color w:val="000000"/>
                <w:sz w:val="20"/>
                <w:szCs w:val="20"/>
              </w:rPr>
            </w:pPr>
            <w:r w:rsidDel="00000000" w:rsidR="00000000" w:rsidRPr="00000000">
              <w:rPr>
                <w:color w:val="000000"/>
                <w:sz w:val="20"/>
                <w:szCs w:val="20"/>
                <w:rtl w:val="0"/>
              </w:rPr>
              <w:t xml:space="preserve">51.0-72.0</w:t>
            </w:r>
          </w:p>
        </w:tc>
        <w:tc>
          <w:tcPr>
            <w:shd w:fill="auto" w:val="clear"/>
            <w:vAlign w:val="center"/>
          </w:tcPr>
          <w:p w:rsidR="00000000" w:rsidDel="00000000" w:rsidP="00000000" w:rsidRDefault="00000000" w:rsidRPr="00000000" w14:paraId="00000131">
            <w:pPr>
              <w:spacing w:after="0" w:before="0" w:lineRule="auto"/>
              <w:jc w:val="center"/>
              <w:rPr>
                <w:color w:val="000000"/>
                <w:sz w:val="20"/>
                <w:szCs w:val="20"/>
              </w:rPr>
            </w:pPr>
            <w:r w:rsidDel="00000000" w:rsidR="00000000" w:rsidRPr="00000000">
              <w:rPr>
                <w:color w:val="000000"/>
                <w:sz w:val="20"/>
                <w:szCs w:val="20"/>
                <w:rtl w:val="0"/>
              </w:rPr>
              <w:t xml:space="preserve">Age, sex, region, race/ethnicity, prior DMARD use, cardiovascular comorbidities, other chronic diseases, cardiovascular medications, other long-term medications, and markers of health care utilization intensity</w:t>
            </w:r>
          </w:p>
        </w:tc>
        <w:tc>
          <w:tcPr>
            <w:vAlign w:val="center"/>
          </w:tcPr>
          <w:p w:rsidR="00000000" w:rsidDel="00000000" w:rsidP="00000000" w:rsidRDefault="00000000" w:rsidRPr="00000000" w14:paraId="00000132">
            <w:pPr>
              <w:spacing w:after="0" w:before="0" w:lineRule="auto"/>
              <w:jc w:val="center"/>
              <w:rPr>
                <w:color w:val="000000"/>
                <w:sz w:val="20"/>
                <w:szCs w:val="20"/>
              </w:rPr>
            </w:pPr>
            <w:r w:rsidDel="00000000" w:rsidR="00000000" w:rsidRPr="00000000">
              <w:rPr>
                <w:sz w:val="20"/>
                <w:szCs w:val="20"/>
                <w:rtl w:val="0"/>
              </w:rPr>
              <w:t xml:space="preserve">Atrial fibrillation, Myocardial infarction, Acute/subacute coronary artery disease, Chronic coronary artery disease, Atherosclerosis, Heart failure, Stroke, transient ischemic attack, Peripheral vascular disease, Hypertension, Diabetes, Hyperlipidemia, and Chronic kidney disease</w:t>
            </w:r>
            <w:r w:rsidDel="00000000" w:rsidR="00000000" w:rsidRPr="00000000">
              <w:rPr>
                <w:rtl w:val="0"/>
              </w:rPr>
            </w:r>
          </w:p>
        </w:tc>
        <w:tc>
          <w:tcPr>
            <w:vAlign w:val="center"/>
          </w:tcPr>
          <w:p w:rsidR="00000000" w:rsidDel="00000000" w:rsidP="00000000" w:rsidRDefault="00000000" w:rsidRPr="00000000" w14:paraId="00000133">
            <w:pPr>
              <w:spacing w:after="0" w:before="0" w:lineRule="auto"/>
              <w:jc w:val="center"/>
              <w:rPr>
                <w:color w:val="000000"/>
                <w:sz w:val="20"/>
                <w:szCs w:val="20"/>
              </w:rPr>
            </w:pPr>
            <w:r w:rsidDel="00000000" w:rsidR="00000000" w:rsidRPr="00000000">
              <w:rPr>
                <w:sz w:val="20"/>
                <w:szCs w:val="20"/>
                <w:rtl w:val="0"/>
              </w:rPr>
              <w:t xml:space="preserve">ICD-9 code 714.x</w:t>
            </w:r>
            <w:r w:rsidDel="00000000" w:rsidR="00000000" w:rsidRPr="00000000">
              <w:rPr>
                <w:rtl w:val="0"/>
              </w:rPr>
            </w:r>
          </w:p>
        </w:tc>
        <w:tc>
          <w:tcPr>
            <w:vAlign w:val="center"/>
          </w:tcPr>
          <w:p w:rsidR="00000000" w:rsidDel="00000000" w:rsidP="00000000" w:rsidRDefault="00000000" w:rsidRPr="00000000" w14:paraId="00000134">
            <w:pPr>
              <w:jc w:val="center"/>
              <w:rPr>
                <w:sz w:val="20"/>
                <w:szCs w:val="20"/>
              </w:rPr>
            </w:pPr>
            <w:r w:rsidDel="00000000" w:rsidR="00000000" w:rsidRPr="00000000">
              <w:rPr>
                <w:sz w:val="20"/>
                <w:szCs w:val="20"/>
                <w:rtl w:val="0"/>
              </w:rPr>
              <w:t xml:space="preserve">ICD-9 code 410.x (excluding 410.x2), 430, 431,</w:t>
            </w:r>
          </w:p>
          <w:p w:rsidR="00000000" w:rsidDel="00000000" w:rsidP="00000000" w:rsidRDefault="00000000" w:rsidRPr="00000000" w14:paraId="00000135">
            <w:pPr>
              <w:spacing w:after="0" w:before="0" w:lineRule="auto"/>
              <w:jc w:val="center"/>
              <w:rPr>
                <w:color w:val="000000"/>
                <w:sz w:val="20"/>
                <w:szCs w:val="20"/>
              </w:rPr>
            </w:pPr>
            <w:r w:rsidDel="00000000" w:rsidR="00000000" w:rsidRPr="00000000">
              <w:rPr>
                <w:sz w:val="20"/>
                <w:szCs w:val="20"/>
                <w:rtl w:val="0"/>
              </w:rPr>
              <w:t xml:space="preserve">433.x1, 434.x1, and 436</w:t>
            </w:r>
            <w:r w:rsidDel="00000000" w:rsidR="00000000" w:rsidRPr="00000000">
              <w:rPr>
                <w:rtl w:val="0"/>
              </w:rPr>
            </w:r>
          </w:p>
        </w:tc>
      </w:tr>
      <w:tr>
        <w:trPr>
          <w:cantSplit w:val="0"/>
          <w:trHeight w:val="1455" w:hRule="atLeast"/>
          <w:tblHeader w:val="0"/>
        </w:trPr>
        <w:tc>
          <w:tcPr>
            <w:shd w:fill="auto" w:val="clear"/>
            <w:vAlign w:val="center"/>
          </w:tcPr>
          <w:p w:rsidR="00000000" w:rsidDel="00000000" w:rsidP="00000000" w:rsidRDefault="00000000" w:rsidRPr="00000000" w14:paraId="00000136">
            <w:pPr>
              <w:spacing w:after="0" w:before="0" w:lineRule="auto"/>
              <w:jc w:val="center"/>
              <w:rPr>
                <w:color w:val="000000"/>
                <w:sz w:val="20"/>
                <w:szCs w:val="20"/>
              </w:rPr>
            </w:pPr>
            <w:r w:rsidDel="00000000" w:rsidR="00000000" w:rsidRPr="00000000">
              <w:rPr>
                <w:color w:val="000000"/>
                <w:sz w:val="20"/>
                <w:szCs w:val="20"/>
                <w:rtl w:val="0"/>
              </w:rPr>
              <w:t xml:space="preserve">Kim</w:t>
            </w:r>
          </w:p>
        </w:tc>
        <w:tc>
          <w:tcPr>
            <w:shd w:fill="auto" w:val="clear"/>
            <w:vAlign w:val="center"/>
          </w:tcPr>
          <w:p w:rsidR="00000000" w:rsidDel="00000000" w:rsidP="00000000" w:rsidRDefault="00000000" w:rsidRPr="00000000" w14:paraId="00000137">
            <w:pPr>
              <w:spacing w:after="0" w:before="0" w:lineRule="auto"/>
              <w:jc w:val="center"/>
              <w:rPr>
                <w:color w:val="000000"/>
                <w:sz w:val="20"/>
                <w:szCs w:val="20"/>
              </w:rPr>
            </w:pPr>
            <w:r w:rsidDel="00000000" w:rsidR="00000000" w:rsidRPr="00000000">
              <w:rPr>
                <w:color w:val="000000"/>
                <w:sz w:val="20"/>
                <w:szCs w:val="20"/>
                <w:rtl w:val="0"/>
              </w:rPr>
              <w:t xml:space="preserve">2020</w:t>
            </w:r>
          </w:p>
        </w:tc>
        <w:tc>
          <w:tcPr>
            <w:shd w:fill="auto" w:val="clear"/>
            <w:vAlign w:val="center"/>
          </w:tcPr>
          <w:p w:rsidR="00000000" w:rsidDel="00000000" w:rsidP="00000000" w:rsidRDefault="00000000" w:rsidRPr="00000000" w14:paraId="00000138">
            <w:pPr>
              <w:spacing w:after="0" w:before="0" w:lineRule="auto"/>
              <w:jc w:val="center"/>
              <w:rPr>
                <w:color w:val="000000"/>
                <w:sz w:val="20"/>
                <w:szCs w:val="20"/>
              </w:rPr>
            </w:pPr>
            <w:r w:rsidDel="00000000" w:rsidR="00000000" w:rsidRPr="00000000">
              <w:rPr>
                <w:color w:val="000000"/>
                <w:sz w:val="20"/>
                <w:szCs w:val="20"/>
                <w:rtl w:val="0"/>
              </w:rPr>
              <w:t xml:space="preserve">Population-based cohort 2012-2018.</w:t>
            </w:r>
          </w:p>
        </w:tc>
        <w:tc>
          <w:tcPr>
            <w:shd w:fill="auto" w:val="clear"/>
            <w:vAlign w:val="center"/>
          </w:tcPr>
          <w:p w:rsidR="00000000" w:rsidDel="00000000" w:rsidP="00000000" w:rsidRDefault="00000000" w:rsidRPr="00000000" w14:paraId="00000139">
            <w:pPr>
              <w:spacing w:after="0" w:before="0" w:lineRule="auto"/>
              <w:jc w:val="center"/>
              <w:rPr>
                <w:color w:val="000000"/>
                <w:sz w:val="20"/>
                <w:szCs w:val="20"/>
              </w:rPr>
            </w:pPr>
            <w:r w:rsidDel="00000000" w:rsidR="00000000" w:rsidRPr="00000000">
              <w:rPr>
                <w:color w:val="000000"/>
                <w:sz w:val="20"/>
                <w:szCs w:val="20"/>
                <w:rtl w:val="0"/>
              </w:rPr>
              <w:t xml:space="preserve">Korean College of Rheumatology Biologics &amp; Targeted Therapy (KOBIO) registry</w:t>
            </w:r>
          </w:p>
        </w:tc>
        <w:tc>
          <w:tcPr>
            <w:shd w:fill="auto" w:val="clear"/>
            <w:vAlign w:val="center"/>
          </w:tcPr>
          <w:p w:rsidR="00000000" w:rsidDel="00000000" w:rsidP="00000000" w:rsidRDefault="00000000" w:rsidRPr="00000000" w14:paraId="0000013A">
            <w:pPr>
              <w:spacing w:after="0" w:before="0" w:lineRule="auto"/>
              <w:jc w:val="center"/>
              <w:rPr>
                <w:color w:val="000000"/>
                <w:sz w:val="20"/>
                <w:szCs w:val="20"/>
              </w:rPr>
            </w:pPr>
            <w:r w:rsidDel="00000000" w:rsidR="00000000" w:rsidRPr="00000000">
              <w:rPr>
                <w:color w:val="000000"/>
                <w:sz w:val="20"/>
                <w:szCs w:val="20"/>
                <w:rtl w:val="0"/>
              </w:rPr>
              <w:t xml:space="preserve">bDMARDs </w:t>
            </w:r>
          </w:p>
          <w:p w:rsidR="00000000" w:rsidDel="00000000" w:rsidP="00000000" w:rsidRDefault="00000000" w:rsidRPr="00000000" w14:paraId="0000013B">
            <w:pPr>
              <w:spacing w:after="0" w:before="0" w:lineRule="auto"/>
              <w:jc w:val="center"/>
              <w:rPr>
                <w:color w:val="000000"/>
                <w:sz w:val="20"/>
                <w:szCs w:val="20"/>
              </w:rPr>
            </w:pPr>
            <w:r w:rsidDel="00000000" w:rsidR="00000000" w:rsidRPr="00000000">
              <w:rPr>
                <w:color w:val="000000"/>
                <w:sz w:val="20"/>
                <w:szCs w:val="20"/>
                <w:rtl w:val="0"/>
              </w:rPr>
              <w:t xml:space="preserve">(615)</w:t>
            </w:r>
          </w:p>
        </w:tc>
        <w:tc>
          <w:tcPr>
            <w:shd w:fill="auto" w:val="clear"/>
            <w:vAlign w:val="center"/>
          </w:tcPr>
          <w:p w:rsidR="00000000" w:rsidDel="00000000" w:rsidP="00000000" w:rsidRDefault="00000000" w:rsidRPr="00000000" w14:paraId="0000013C">
            <w:pPr>
              <w:spacing w:after="0" w:before="0" w:lineRule="auto"/>
              <w:jc w:val="center"/>
              <w:rPr>
                <w:color w:val="000000"/>
                <w:sz w:val="20"/>
                <w:szCs w:val="20"/>
              </w:rPr>
            </w:pPr>
            <w:r w:rsidDel="00000000" w:rsidR="00000000" w:rsidRPr="00000000">
              <w:rPr>
                <w:color w:val="000000"/>
                <w:sz w:val="20"/>
                <w:szCs w:val="20"/>
                <w:rtl w:val="0"/>
              </w:rPr>
              <w:t xml:space="preserve">ccsDMARDss (381)</w:t>
            </w:r>
          </w:p>
        </w:tc>
        <w:tc>
          <w:tcPr>
            <w:shd w:fill="auto" w:val="clear"/>
            <w:vAlign w:val="center"/>
          </w:tcPr>
          <w:p w:rsidR="00000000" w:rsidDel="00000000" w:rsidP="00000000" w:rsidRDefault="00000000" w:rsidRPr="00000000" w14:paraId="0000013D">
            <w:pPr>
              <w:spacing w:after="0" w:before="0" w:lineRule="auto"/>
              <w:jc w:val="center"/>
              <w:rPr>
                <w:color w:val="000000"/>
                <w:sz w:val="20"/>
                <w:szCs w:val="20"/>
              </w:rPr>
            </w:pPr>
            <w:r w:rsidDel="00000000" w:rsidR="00000000" w:rsidRPr="00000000">
              <w:rPr>
                <w:color w:val="000000"/>
                <w:sz w:val="20"/>
                <w:szCs w:val="20"/>
                <w:rtl w:val="0"/>
              </w:rPr>
              <w:t xml:space="preserve">56.1</w:t>
            </w:r>
          </w:p>
        </w:tc>
        <w:tc>
          <w:tcPr>
            <w:shd w:fill="auto" w:val="clear"/>
            <w:vAlign w:val="center"/>
          </w:tcPr>
          <w:p w:rsidR="00000000" w:rsidDel="00000000" w:rsidP="00000000" w:rsidRDefault="00000000" w:rsidRPr="00000000" w14:paraId="0000013E">
            <w:pPr>
              <w:spacing w:after="0" w:before="0" w:lineRule="auto"/>
              <w:jc w:val="center"/>
              <w:rPr>
                <w:color w:val="000000"/>
                <w:sz w:val="20"/>
                <w:szCs w:val="20"/>
              </w:rPr>
            </w:pPr>
            <w:r w:rsidDel="00000000" w:rsidR="00000000" w:rsidRPr="00000000">
              <w:rPr>
                <w:color w:val="000000"/>
                <w:sz w:val="20"/>
                <w:szCs w:val="20"/>
                <w:rtl w:val="0"/>
              </w:rPr>
              <w:t xml:space="preserve">-</w:t>
            </w:r>
          </w:p>
        </w:tc>
        <w:tc>
          <w:tcPr>
            <w:vAlign w:val="center"/>
          </w:tcPr>
          <w:p w:rsidR="00000000" w:rsidDel="00000000" w:rsidP="00000000" w:rsidRDefault="00000000" w:rsidRPr="00000000" w14:paraId="0000013F">
            <w:pPr>
              <w:spacing w:after="0" w:before="0" w:lineRule="auto"/>
              <w:jc w:val="center"/>
              <w:rPr>
                <w:color w:val="000000"/>
                <w:sz w:val="20"/>
                <w:szCs w:val="20"/>
              </w:rPr>
            </w:pPr>
            <w:r w:rsidDel="00000000" w:rsidR="00000000" w:rsidRPr="00000000">
              <w:rPr>
                <w:sz w:val="20"/>
                <w:szCs w:val="20"/>
                <w:rtl w:val="0"/>
              </w:rPr>
              <w:t xml:space="preserve">Dyslipidemia and Diabetes mellitus</w:t>
            </w:r>
            <w:r w:rsidDel="00000000" w:rsidR="00000000" w:rsidRPr="00000000">
              <w:rPr>
                <w:rtl w:val="0"/>
              </w:rPr>
            </w:r>
          </w:p>
        </w:tc>
        <w:tc>
          <w:tcPr>
            <w:vAlign w:val="center"/>
          </w:tcPr>
          <w:p w:rsidR="00000000" w:rsidDel="00000000" w:rsidP="00000000" w:rsidRDefault="00000000" w:rsidRPr="00000000" w14:paraId="00000140">
            <w:pPr>
              <w:spacing w:after="0" w:before="0" w:lineRule="auto"/>
              <w:jc w:val="center"/>
              <w:rPr>
                <w:color w:val="000000"/>
                <w:sz w:val="20"/>
                <w:szCs w:val="20"/>
              </w:rPr>
            </w:pPr>
            <w:r w:rsidDel="00000000" w:rsidR="00000000" w:rsidRPr="00000000">
              <w:rPr>
                <w:sz w:val="20"/>
                <w:szCs w:val="20"/>
                <w:rtl w:val="0"/>
              </w:rPr>
              <w:t xml:space="preserve">American College of Rheumatology revised classification criteria </w:t>
            </w:r>
            <w:r w:rsidDel="00000000" w:rsidR="00000000" w:rsidRPr="00000000">
              <w:rPr>
                <w:rtl w:val="0"/>
              </w:rPr>
            </w:r>
          </w:p>
        </w:tc>
        <w:tc>
          <w:tcPr>
            <w:vAlign w:val="center"/>
          </w:tcPr>
          <w:p w:rsidR="00000000" w:rsidDel="00000000" w:rsidP="00000000" w:rsidRDefault="00000000" w:rsidRPr="00000000" w14:paraId="00000141">
            <w:pPr>
              <w:jc w:val="center"/>
              <w:rPr>
                <w:sz w:val="20"/>
                <w:szCs w:val="20"/>
              </w:rPr>
            </w:pPr>
            <w:r w:rsidDel="00000000" w:rsidR="00000000" w:rsidRPr="00000000">
              <w:rPr>
                <w:sz w:val="20"/>
                <w:szCs w:val="20"/>
                <w:rtl w:val="0"/>
              </w:rPr>
              <w:t xml:space="preserve">Sistolic Blood Pressure greater than 140mm Hg and/or Diastolic Blood Pressure greater</w:t>
            </w:r>
          </w:p>
          <w:p w:rsidR="00000000" w:rsidDel="00000000" w:rsidP="00000000" w:rsidRDefault="00000000" w:rsidRPr="00000000" w14:paraId="00000142">
            <w:pPr>
              <w:jc w:val="center"/>
              <w:rPr>
                <w:sz w:val="20"/>
                <w:szCs w:val="20"/>
              </w:rPr>
            </w:pPr>
            <w:r w:rsidDel="00000000" w:rsidR="00000000" w:rsidRPr="00000000">
              <w:rPr>
                <w:sz w:val="20"/>
                <w:szCs w:val="20"/>
                <w:rtl w:val="0"/>
              </w:rPr>
              <w:t xml:space="preserve">than 90mm Hg;</w:t>
            </w:r>
          </w:p>
          <w:p w:rsidR="00000000" w:rsidDel="00000000" w:rsidP="00000000" w:rsidRDefault="00000000" w:rsidRPr="00000000" w14:paraId="00000143">
            <w:pPr>
              <w:jc w:val="center"/>
              <w:rPr>
                <w:sz w:val="20"/>
                <w:szCs w:val="20"/>
              </w:rPr>
            </w:pPr>
            <w:r w:rsidDel="00000000" w:rsidR="00000000" w:rsidRPr="00000000">
              <w:rPr>
                <w:sz w:val="20"/>
                <w:szCs w:val="20"/>
                <w:rtl w:val="0"/>
              </w:rPr>
              <w:t xml:space="preserve">Use of new antihypertensive</w:t>
            </w:r>
          </w:p>
          <w:p w:rsidR="00000000" w:rsidDel="00000000" w:rsidP="00000000" w:rsidRDefault="00000000" w:rsidRPr="00000000" w14:paraId="00000144">
            <w:pPr>
              <w:spacing w:after="0" w:before="0" w:lineRule="auto"/>
              <w:jc w:val="center"/>
              <w:rPr>
                <w:color w:val="000000"/>
                <w:sz w:val="20"/>
                <w:szCs w:val="20"/>
              </w:rPr>
            </w:pPr>
            <w:r w:rsidDel="00000000" w:rsidR="00000000" w:rsidRPr="00000000">
              <w:rPr>
                <w:sz w:val="20"/>
                <w:szCs w:val="20"/>
                <w:rtl w:val="0"/>
              </w:rPr>
              <w:t xml:space="preserve">drugs such as b-blockers, calcium channel blockers, angiotensin converting enzyme inhibitors, or angiotensin II receptor blockers during the follow-up period</w:t>
            </w:r>
            <w:r w:rsidDel="00000000" w:rsidR="00000000" w:rsidRPr="00000000">
              <w:rPr>
                <w:rtl w:val="0"/>
              </w:rPr>
            </w:r>
          </w:p>
        </w:tc>
      </w:tr>
      <w:tr>
        <w:trPr>
          <w:cantSplit w:val="0"/>
          <w:trHeight w:val="2040" w:hRule="atLeast"/>
          <w:tblHeader w:val="0"/>
        </w:trPr>
        <w:tc>
          <w:tcPr>
            <w:shd w:fill="auto" w:val="clear"/>
            <w:vAlign w:val="center"/>
          </w:tcPr>
          <w:p w:rsidR="00000000" w:rsidDel="00000000" w:rsidP="00000000" w:rsidRDefault="00000000" w:rsidRPr="00000000" w14:paraId="00000145">
            <w:pPr>
              <w:spacing w:after="0" w:before="0" w:lineRule="auto"/>
              <w:jc w:val="center"/>
              <w:rPr>
                <w:color w:val="000000"/>
                <w:sz w:val="20"/>
                <w:szCs w:val="20"/>
              </w:rPr>
            </w:pPr>
            <w:r w:rsidDel="00000000" w:rsidR="00000000" w:rsidRPr="00000000">
              <w:rPr>
                <w:color w:val="000000"/>
                <w:sz w:val="20"/>
                <w:szCs w:val="20"/>
                <w:rtl w:val="0"/>
              </w:rPr>
              <w:t xml:space="preserve">Listing</w:t>
            </w:r>
          </w:p>
        </w:tc>
        <w:tc>
          <w:tcPr>
            <w:shd w:fill="auto" w:val="clear"/>
            <w:vAlign w:val="center"/>
          </w:tcPr>
          <w:p w:rsidR="00000000" w:rsidDel="00000000" w:rsidP="00000000" w:rsidRDefault="00000000" w:rsidRPr="00000000" w14:paraId="00000146">
            <w:pPr>
              <w:spacing w:after="0" w:before="0" w:lineRule="auto"/>
              <w:jc w:val="center"/>
              <w:rPr>
                <w:color w:val="000000"/>
                <w:sz w:val="20"/>
                <w:szCs w:val="20"/>
              </w:rPr>
            </w:pPr>
            <w:r w:rsidDel="00000000" w:rsidR="00000000" w:rsidRPr="00000000">
              <w:rPr>
                <w:color w:val="000000"/>
                <w:sz w:val="20"/>
                <w:szCs w:val="20"/>
                <w:rtl w:val="0"/>
              </w:rPr>
              <w:t xml:space="preserve">2015</w:t>
            </w:r>
          </w:p>
        </w:tc>
        <w:tc>
          <w:tcPr>
            <w:shd w:fill="auto" w:val="clear"/>
            <w:vAlign w:val="center"/>
          </w:tcPr>
          <w:p w:rsidR="00000000" w:rsidDel="00000000" w:rsidP="00000000" w:rsidRDefault="00000000" w:rsidRPr="00000000" w14:paraId="00000147">
            <w:pPr>
              <w:spacing w:after="0" w:before="0" w:lineRule="auto"/>
              <w:jc w:val="center"/>
              <w:rPr>
                <w:color w:val="000000"/>
                <w:sz w:val="20"/>
                <w:szCs w:val="20"/>
              </w:rPr>
            </w:pPr>
            <w:r w:rsidDel="00000000" w:rsidR="00000000" w:rsidRPr="00000000">
              <w:rPr>
                <w:color w:val="000000"/>
                <w:sz w:val="20"/>
                <w:szCs w:val="20"/>
                <w:rtl w:val="0"/>
              </w:rPr>
              <w:t xml:space="preserve">Prospective cohort 2001-2011</w:t>
            </w:r>
          </w:p>
        </w:tc>
        <w:tc>
          <w:tcPr>
            <w:shd w:fill="auto" w:val="clear"/>
            <w:vAlign w:val="center"/>
          </w:tcPr>
          <w:p w:rsidR="00000000" w:rsidDel="00000000" w:rsidP="00000000" w:rsidRDefault="00000000" w:rsidRPr="00000000" w14:paraId="00000148">
            <w:pPr>
              <w:spacing w:after="0" w:before="0" w:lineRule="auto"/>
              <w:jc w:val="center"/>
              <w:rPr>
                <w:color w:val="000000"/>
                <w:sz w:val="20"/>
                <w:szCs w:val="20"/>
              </w:rPr>
            </w:pPr>
            <w:r w:rsidDel="00000000" w:rsidR="00000000" w:rsidRPr="00000000">
              <w:rPr>
                <w:color w:val="000000"/>
                <w:sz w:val="20"/>
                <w:szCs w:val="20"/>
                <w:rtl w:val="0"/>
              </w:rPr>
              <w:t xml:space="preserve">RABBIT Register</w:t>
            </w:r>
          </w:p>
        </w:tc>
        <w:tc>
          <w:tcPr>
            <w:shd w:fill="auto" w:val="clear"/>
            <w:vAlign w:val="center"/>
          </w:tcPr>
          <w:p w:rsidR="00000000" w:rsidDel="00000000" w:rsidP="00000000" w:rsidRDefault="00000000" w:rsidRPr="00000000" w14:paraId="00000149">
            <w:pPr>
              <w:spacing w:after="0" w:before="0" w:lineRule="auto"/>
              <w:jc w:val="center"/>
              <w:rPr>
                <w:color w:val="000000"/>
                <w:sz w:val="20"/>
                <w:szCs w:val="20"/>
              </w:rPr>
            </w:pPr>
            <w:r w:rsidDel="00000000" w:rsidR="00000000" w:rsidRPr="00000000">
              <w:rPr>
                <w:color w:val="000000"/>
                <w:sz w:val="20"/>
                <w:szCs w:val="20"/>
                <w:rtl w:val="0"/>
              </w:rPr>
              <w:t xml:space="preserve">csDMARDs </w:t>
              <w:br w:type="textWrapping"/>
              <w:t xml:space="preserve">(928)</w:t>
              <w:br w:type="textWrapping"/>
              <w:t xml:space="preserve">TNFα inhibitors </w:t>
              <w:br w:type="textWrapping"/>
              <w:t xml:space="preserve">(4,649)</w:t>
              <w:br w:type="textWrapping"/>
              <w:t xml:space="preserve">Rituximab </w:t>
              <w:br w:type="textWrapping"/>
              <w:t xml:space="preserve">(703)</w:t>
              <w:br w:type="textWrapping"/>
              <w:t xml:space="preserve">Other biologics </w:t>
              <w:br w:type="textWrapping"/>
              <w:t xml:space="preserve">(568)</w:t>
            </w:r>
          </w:p>
        </w:tc>
        <w:tc>
          <w:tcPr>
            <w:shd w:fill="auto" w:val="clear"/>
            <w:vAlign w:val="center"/>
          </w:tcPr>
          <w:p w:rsidR="00000000" w:rsidDel="00000000" w:rsidP="00000000" w:rsidRDefault="00000000" w:rsidRPr="00000000" w14:paraId="0000014A">
            <w:pPr>
              <w:spacing w:after="0" w:before="0" w:lineRule="auto"/>
              <w:jc w:val="center"/>
              <w:rPr>
                <w:color w:val="000000"/>
                <w:sz w:val="20"/>
                <w:szCs w:val="20"/>
              </w:rPr>
            </w:pPr>
            <w:r w:rsidDel="00000000" w:rsidR="00000000" w:rsidRPr="00000000">
              <w:rPr>
                <w:color w:val="000000"/>
                <w:sz w:val="20"/>
                <w:szCs w:val="20"/>
                <w:rtl w:val="0"/>
              </w:rPr>
              <w:t xml:space="preserve">MTX </w:t>
              <w:br w:type="textWrapping"/>
              <w:t xml:space="preserve">(2,060)</w:t>
            </w:r>
          </w:p>
        </w:tc>
        <w:tc>
          <w:tcPr>
            <w:shd w:fill="auto" w:val="clear"/>
            <w:vAlign w:val="center"/>
          </w:tcPr>
          <w:p w:rsidR="00000000" w:rsidDel="00000000" w:rsidP="00000000" w:rsidRDefault="00000000" w:rsidRPr="00000000" w14:paraId="0000014B">
            <w:pPr>
              <w:spacing w:after="0" w:before="0" w:lineRule="auto"/>
              <w:jc w:val="center"/>
              <w:rPr>
                <w:color w:val="000000"/>
                <w:sz w:val="20"/>
                <w:szCs w:val="20"/>
              </w:rPr>
            </w:pPr>
            <w:r w:rsidDel="00000000" w:rsidR="00000000" w:rsidRPr="00000000">
              <w:rPr>
                <w:color w:val="000000"/>
                <w:sz w:val="20"/>
                <w:szCs w:val="20"/>
                <w:rtl w:val="0"/>
              </w:rPr>
              <w:t xml:space="preserve">55.8</w:t>
            </w:r>
            <w:r w:rsidDel="00000000" w:rsidR="00000000" w:rsidRPr="00000000">
              <w:rPr>
                <w:rFonts w:ascii="Merriweather" w:cs="Merriweather" w:eastAsia="Merriweather" w:hAnsi="Merriweather"/>
                <w:color w:val="000000"/>
                <w:sz w:val="20"/>
                <w:szCs w:val="20"/>
                <w:vertAlign w:val="superscript"/>
                <w:rtl w:val="0"/>
              </w:rPr>
              <w:t xml:space="preserve">ⴕ</w:t>
            </w:r>
            <w:r w:rsidDel="00000000" w:rsidR="00000000" w:rsidRPr="00000000">
              <w:rPr>
                <w:rtl w:val="0"/>
              </w:rPr>
            </w:r>
          </w:p>
        </w:tc>
        <w:tc>
          <w:tcPr>
            <w:shd w:fill="auto" w:val="clear"/>
            <w:vAlign w:val="center"/>
          </w:tcPr>
          <w:p w:rsidR="00000000" w:rsidDel="00000000" w:rsidP="00000000" w:rsidRDefault="00000000" w:rsidRPr="00000000" w14:paraId="0000014C">
            <w:pPr>
              <w:spacing w:after="0" w:before="0" w:lineRule="auto"/>
              <w:jc w:val="center"/>
              <w:rPr>
                <w:color w:val="000000"/>
                <w:sz w:val="20"/>
                <w:szCs w:val="20"/>
              </w:rPr>
            </w:pPr>
            <w:r w:rsidDel="00000000" w:rsidR="00000000" w:rsidRPr="00000000">
              <w:rPr>
                <w:color w:val="000000"/>
                <w:sz w:val="20"/>
                <w:szCs w:val="20"/>
                <w:rtl w:val="0"/>
              </w:rPr>
              <w:t xml:space="preserve">Age, sex, smoking, diabetes, chronic lung disease, chronic renal disease, prior malignancy, osteoporosis, coronary heart disease, DAS28 score, treatment with glucocorticoids, methotrexate, other synthetic disease modifying antirheumatic drugs, rituximab, or other biologics</w:t>
            </w:r>
          </w:p>
        </w:tc>
        <w:tc>
          <w:tcPr>
            <w:vAlign w:val="center"/>
          </w:tcPr>
          <w:p w:rsidR="00000000" w:rsidDel="00000000" w:rsidP="00000000" w:rsidRDefault="00000000" w:rsidRPr="00000000" w14:paraId="0000014D">
            <w:pPr>
              <w:spacing w:after="0" w:before="0" w:lineRule="auto"/>
              <w:jc w:val="center"/>
              <w:rPr>
                <w:color w:val="000000"/>
                <w:sz w:val="20"/>
                <w:szCs w:val="20"/>
              </w:rPr>
            </w:pPr>
            <w:r w:rsidDel="00000000" w:rsidR="00000000" w:rsidRPr="00000000">
              <w:rPr>
                <w:sz w:val="20"/>
                <w:szCs w:val="20"/>
                <w:rtl w:val="0"/>
              </w:rPr>
              <w:t xml:space="preserve">Diabetes, Coronary heart disease, Chronic lung disease, Chronic renal disease, Prior malignancy, and Osteoporosis</w:t>
            </w:r>
            <w:r w:rsidDel="00000000" w:rsidR="00000000" w:rsidRPr="00000000">
              <w:rPr>
                <w:rtl w:val="0"/>
              </w:rPr>
            </w:r>
          </w:p>
        </w:tc>
        <w:tc>
          <w:tcPr>
            <w:vAlign w:val="center"/>
          </w:tcPr>
          <w:p w:rsidR="00000000" w:rsidDel="00000000" w:rsidP="00000000" w:rsidRDefault="00000000" w:rsidRPr="00000000" w14:paraId="0000014E">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4F">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r>
      <w:tr>
        <w:trPr>
          <w:cantSplit w:val="0"/>
          <w:trHeight w:val="1530" w:hRule="atLeast"/>
          <w:tblHeader w:val="0"/>
        </w:trPr>
        <w:tc>
          <w:tcPr>
            <w:shd w:fill="auto" w:val="clear"/>
            <w:vAlign w:val="center"/>
          </w:tcPr>
          <w:p w:rsidR="00000000" w:rsidDel="00000000" w:rsidP="00000000" w:rsidRDefault="00000000" w:rsidRPr="00000000" w14:paraId="00000150">
            <w:pPr>
              <w:spacing w:after="0" w:before="0" w:lineRule="auto"/>
              <w:jc w:val="center"/>
              <w:rPr>
                <w:color w:val="000000"/>
                <w:sz w:val="20"/>
                <w:szCs w:val="20"/>
              </w:rPr>
            </w:pPr>
            <w:r w:rsidDel="00000000" w:rsidR="00000000" w:rsidRPr="00000000">
              <w:rPr>
                <w:color w:val="000000"/>
                <w:sz w:val="20"/>
                <w:szCs w:val="20"/>
                <w:rtl w:val="0"/>
              </w:rPr>
              <w:t xml:space="preserve">Low</w:t>
            </w:r>
          </w:p>
        </w:tc>
        <w:tc>
          <w:tcPr>
            <w:shd w:fill="auto" w:val="clear"/>
            <w:vAlign w:val="center"/>
          </w:tcPr>
          <w:p w:rsidR="00000000" w:rsidDel="00000000" w:rsidP="00000000" w:rsidRDefault="00000000" w:rsidRPr="00000000" w14:paraId="00000151">
            <w:pPr>
              <w:spacing w:after="0" w:before="0" w:lineRule="auto"/>
              <w:jc w:val="center"/>
              <w:rPr>
                <w:color w:val="000000"/>
                <w:sz w:val="20"/>
                <w:szCs w:val="20"/>
              </w:rPr>
            </w:pPr>
            <w:r w:rsidDel="00000000" w:rsidR="00000000" w:rsidRPr="00000000">
              <w:rPr>
                <w:color w:val="000000"/>
                <w:sz w:val="20"/>
                <w:szCs w:val="20"/>
                <w:rtl w:val="0"/>
              </w:rPr>
              <w:t xml:space="preserve">2017</w:t>
            </w:r>
          </w:p>
        </w:tc>
        <w:tc>
          <w:tcPr>
            <w:shd w:fill="auto" w:val="clear"/>
            <w:vAlign w:val="center"/>
          </w:tcPr>
          <w:p w:rsidR="00000000" w:rsidDel="00000000" w:rsidP="00000000" w:rsidRDefault="00000000" w:rsidRPr="00000000" w14:paraId="00000152">
            <w:pPr>
              <w:spacing w:after="0" w:before="0" w:lineRule="auto"/>
              <w:jc w:val="center"/>
              <w:rPr>
                <w:color w:val="000000"/>
                <w:sz w:val="20"/>
                <w:szCs w:val="20"/>
              </w:rPr>
            </w:pPr>
            <w:r w:rsidDel="00000000" w:rsidR="00000000" w:rsidRPr="00000000">
              <w:rPr>
                <w:color w:val="000000"/>
                <w:sz w:val="20"/>
                <w:szCs w:val="20"/>
                <w:rtl w:val="0"/>
              </w:rPr>
              <w:t xml:space="preserve">Population-based cohort 2001-2009</w:t>
            </w:r>
          </w:p>
        </w:tc>
        <w:tc>
          <w:tcPr>
            <w:shd w:fill="auto" w:val="clear"/>
            <w:vAlign w:val="center"/>
          </w:tcPr>
          <w:p w:rsidR="00000000" w:rsidDel="00000000" w:rsidP="00000000" w:rsidRDefault="00000000" w:rsidRPr="00000000" w14:paraId="00000153">
            <w:pPr>
              <w:spacing w:after="0" w:before="0" w:lineRule="auto"/>
              <w:jc w:val="center"/>
              <w:rPr>
                <w:color w:val="000000"/>
                <w:sz w:val="20"/>
                <w:szCs w:val="20"/>
              </w:rPr>
            </w:pPr>
            <w:r w:rsidDel="00000000" w:rsidR="00000000" w:rsidRPr="00000000">
              <w:rPr>
                <w:color w:val="000000"/>
                <w:sz w:val="20"/>
                <w:szCs w:val="20"/>
                <w:rtl w:val="0"/>
              </w:rPr>
              <w:t xml:space="preserve">The British Society for Rheumatology Biologics Register</w:t>
            </w:r>
          </w:p>
        </w:tc>
        <w:tc>
          <w:tcPr>
            <w:shd w:fill="auto" w:val="clear"/>
            <w:vAlign w:val="center"/>
          </w:tcPr>
          <w:p w:rsidR="00000000" w:rsidDel="00000000" w:rsidP="00000000" w:rsidRDefault="00000000" w:rsidRPr="00000000" w14:paraId="00000154">
            <w:pPr>
              <w:spacing w:after="0" w:before="0" w:lineRule="auto"/>
              <w:jc w:val="center"/>
              <w:rPr>
                <w:color w:val="000000"/>
                <w:sz w:val="20"/>
                <w:szCs w:val="20"/>
              </w:rPr>
            </w:pPr>
            <w:r w:rsidDel="00000000" w:rsidR="00000000" w:rsidRPr="00000000">
              <w:rPr>
                <w:color w:val="000000"/>
                <w:sz w:val="20"/>
                <w:szCs w:val="20"/>
                <w:rtl w:val="0"/>
              </w:rPr>
              <w:t xml:space="preserve">TNFα inhibitors</w:t>
              <w:br w:type="textWrapping"/>
              <w:t xml:space="preserve">(11,200)</w:t>
            </w:r>
          </w:p>
        </w:tc>
        <w:tc>
          <w:tcPr>
            <w:shd w:fill="auto" w:val="clear"/>
            <w:vAlign w:val="center"/>
          </w:tcPr>
          <w:p w:rsidR="00000000" w:rsidDel="00000000" w:rsidP="00000000" w:rsidRDefault="00000000" w:rsidRPr="00000000" w14:paraId="00000155">
            <w:pPr>
              <w:spacing w:after="0" w:before="0" w:lineRule="auto"/>
              <w:jc w:val="center"/>
              <w:rPr>
                <w:color w:val="000000"/>
                <w:sz w:val="20"/>
                <w:szCs w:val="20"/>
              </w:rPr>
            </w:pPr>
            <w:r w:rsidDel="00000000" w:rsidR="00000000" w:rsidRPr="00000000">
              <w:rPr>
                <w:color w:val="000000"/>
                <w:sz w:val="20"/>
                <w:szCs w:val="20"/>
                <w:rtl w:val="0"/>
              </w:rPr>
              <w:t xml:space="preserve">csDMARDs</w:t>
              <w:br w:type="textWrapping"/>
              <w:t xml:space="preserve">(3,058)</w:t>
            </w:r>
          </w:p>
        </w:tc>
        <w:tc>
          <w:tcPr>
            <w:shd w:fill="auto" w:val="clear"/>
            <w:vAlign w:val="center"/>
          </w:tcPr>
          <w:p w:rsidR="00000000" w:rsidDel="00000000" w:rsidP="00000000" w:rsidRDefault="00000000" w:rsidRPr="00000000" w14:paraId="00000156">
            <w:pPr>
              <w:spacing w:after="0" w:before="0" w:lineRule="auto"/>
              <w:jc w:val="center"/>
              <w:rPr>
                <w:color w:val="000000"/>
                <w:sz w:val="20"/>
                <w:szCs w:val="20"/>
              </w:rPr>
            </w:pPr>
            <w:r w:rsidDel="00000000" w:rsidR="00000000" w:rsidRPr="00000000">
              <w:rPr>
                <w:color w:val="000000"/>
                <w:sz w:val="20"/>
                <w:szCs w:val="20"/>
                <w:rtl w:val="0"/>
              </w:rPr>
              <w:t xml:space="preserve">TNFα inhibitors: 55.6</w:t>
              <w:br w:type="textWrapping"/>
              <w:t xml:space="preserve">csDMARDs: 59.5</w:t>
            </w:r>
          </w:p>
        </w:tc>
        <w:tc>
          <w:tcPr>
            <w:shd w:fill="auto" w:val="clear"/>
            <w:vAlign w:val="center"/>
          </w:tcPr>
          <w:p w:rsidR="00000000" w:rsidDel="00000000" w:rsidP="00000000" w:rsidRDefault="00000000" w:rsidRPr="00000000" w14:paraId="00000157">
            <w:pPr>
              <w:spacing w:after="0" w:before="0" w:lineRule="auto"/>
              <w:jc w:val="center"/>
              <w:rPr>
                <w:color w:val="000000"/>
                <w:sz w:val="20"/>
                <w:szCs w:val="20"/>
              </w:rPr>
            </w:pPr>
            <w:r w:rsidDel="00000000" w:rsidR="00000000" w:rsidRPr="00000000">
              <w:rPr>
                <w:color w:val="000000"/>
                <w:sz w:val="20"/>
                <w:szCs w:val="20"/>
                <w:rtl w:val="0"/>
              </w:rPr>
              <w:t xml:space="preserve">Age, gender, DAS28 score, disease duration, health assessment questionnaire score, use of four or more csDMARDss prior to study registration, time of recruitment, hypertension, diabetes, chronic lung disease, smoking, antiplatelet therapy, NSAID/COX-2 inhibitor use, glucocorticoid use, and statin use.</w:t>
            </w:r>
          </w:p>
        </w:tc>
        <w:tc>
          <w:tcPr>
            <w:vAlign w:val="center"/>
          </w:tcPr>
          <w:p w:rsidR="00000000" w:rsidDel="00000000" w:rsidP="00000000" w:rsidRDefault="00000000" w:rsidRPr="00000000" w14:paraId="00000158">
            <w:pPr>
              <w:jc w:val="center"/>
              <w:rPr>
                <w:sz w:val="20"/>
                <w:szCs w:val="20"/>
              </w:rPr>
            </w:pPr>
            <w:r w:rsidDel="00000000" w:rsidR="00000000" w:rsidRPr="00000000">
              <w:rPr>
                <w:sz w:val="20"/>
                <w:szCs w:val="20"/>
                <w:rtl w:val="0"/>
              </w:rPr>
              <w:t xml:space="preserve">Hypertension, Diabetes, and Chronic lung disease</w:t>
            </w:r>
          </w:p>
          <w:p w:rsidR="00000000" w:rsidDel="00000000" w:rsidP="00000000" w:rsidRDefault="00000000" w:rsidRPr="00000000" w14:paraId="00000159">
            <w:pPr>
              <w:spacing w:after="0" w:before="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5A">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5B">
            <w:pPr>
              <w:jc w:val="center"/>
              <w:rPr>
                <w:sz w:val="20"/>
                <w:szCs w:val="20"/>
              </w:rPr>
            </w:pPr>
            <w:r w:rsidDel="00000000" w:rsidR="00000000" w:rsidRPr="00000000">
              <w:rPr>
                <w:sz w:val="20"/>
                <w:szCs w:val="20"/>
                <w:rtl w:val="0"/>
              </w:rPr>
              <w:t xml:space="preserve">History of</w:t>
            </w:r>
          </w:p>
          <w:p w:rsidR="00000000" w:rsidDel="00000000" w:rsidP="00000000" w:rsidRDefault="00000000" w:rsidRPr="00000000" w14:paraId="0000015C">
            <w:pPr>
              <w:jc w:val="center"/>
              <w:rPr>
                <w:sz w:val="20"/>
                <w:szCs w:val="20"/>
              </w:rPr>
            </w:pPr>
            <w:r w:rsidDel="00000000" w:rsidR="00000000" w:rsidRPr="00000000">
              <w:rPr>
                <w:sz w:val="20"/>
                <w:szCs w:val="20"/>
                <w:rtl w:val="0"/>
              </w:rPr>
              <w:t xml:space="preserve">MI or angina (physicians), information on hospitalisations</w:t>
            </w:r>
          </w:p>
          <w:p w:rsidR="00000000" w:rsidDel="00000000" w:rsidP="00000000" w:rsidRDefault="00000000" w:rsidRPr="00000000" w14:paraId="0000015D">
            <w:pPr>
              <w:jc w:val="center"/>
              <w:rPr>
                <w:sz w:val="20"/>
                <w:szCs w:val="20"/>
              </w:rPr>
            </w:pPr>
            <w:r w:rsidDel="00000000" w:rsidR="00000000" w:rsidRPr="00000000">
              <w:rPr>
                <w:sz w:val="20"/>
                <w:szCs w:val="20"/>
                <w:rtl w:val="0"/>
              </w:rPr>
              <w:t xml:space="preserve">via questionnaires every 6 months (patients), all reports of MI, additional clinical data (discharge</w:t>
            </w:r>
          </w:p>
          <w:p w:rsidR="00000000" w:rsidDel="00000000" w:rsidP="00000000" w:rsidRDefault="00000000" w:rsidRPr="00000000" w14:paraId="0000015E">
            <w:pPr>
              <w:spacing w:after="0" w:before="0" w:lineRule="auto"/>
              <w:jc w:val="center"/>
              <w:rPr>
                <w:color w:val="000000"/>
                <w:sz w:val="20"/>
                <w:szCs w:val="20"/>
              </w:rPr>
            </w:pPr>
            <w:r w:rsidDel="00000000" w:rsidR="00000000" w:rsidRPr="00000000">
              <w:rPr>
                <w:sz w:val="20"/>
                <w:szCs w:val="20"/>
                <w:rtl w:val="0"/>
              </w:rPr>
              <w:t xml:space="preserve">summaries, ECG, cardiac enzymes, pathology reports), and causes of death were coded from ICD-10</w:t>
            </w:r>
            <w:r w:rsidDel="00000000" w:rsidR="00000000" w:rsidRPr="00000000">
              <w:rPr>
                <w:rtl w:val="0"/>
              </w:rPr>
            </w:r>
          </w:p>
        </w:tc>
      </w:tr>
      <w:tr>
        <w:trPr>
          <w:cantSplit w:val="0"/>
          <w:trHeight w:val="765" w:hRule="atLeast"/>
          <w:tblHeader w:val="0"/>
        </w:trPr>
        <w:tc>
          <w:tcPr>
            <w:shd w:fill="auto" w:val="clear"/>
            <w:vAlign w:val="center"/>
          </w:tcPr>
          <w:p w:rsidR="00000000" w:rsidDel="00000000" w:rsidP="00000000" w:rsidRDefault="00000000" w:rsidRPr="00000000" w14:paraId="0000015F">
            <w:pPr>
              <w:spacing w:after="0" w:before="0" w:lineRule="auto"/>
              <w:jc w:val="center"/>
              <w:rPr>
                <w:color w:val="000000"/>
                <w:sz w:val="20"/>
                <w:szCs w:val="20"/>
              </w:rPr>
            </w:pPr>
            <w:r w:rsidDel="00000000" w:rsidR="00000000" w:rsidRPr="00000000">
              <w:rPr>
                <w:color w:val="000000"/>
                <w:sz w:val="20"/>
                <w:szCs w:val="20"/>
                <w:rtl w:val="0"/>
              </w:rPr>
              <w:t xml:space="preserve">Meissner</w:t>
            </w:r>
          </w:p>
        </w:tc>
        <w:tc>
          <w:tcPr>
            <w:shd w:fill="auto" w:val="clear"/>
            <w:vAlign w:val="center"/>
          </w:tcPr>
          <w:p w:rsidR="00000000" w:rsidDel="00000000" w:rsidP="00000000" w:rsidRDefault="00000000" w:rsidRPr="00000000" w14:paraId="00000160">
            <w:pPr>
              <w:spacing w:after="0" w:before="0" w:lineRule="auto"/>
              <w:jc w:val="center"/>
              <w:rPr>
                <w:color w:val="000000"/>
                <w:sz w:val="20"/>
                <w:szCs w:val="20"/>
              </w:rPr>
            </w:pPr>
            <w:r w:rsidDel="00000000" w:rsidR="00000000" w:rsidRPr="00000000">
              <w:rPr>
                <w:color w:val="000000"/>
                <w:sz w:val="20"/>
                <w:szCs w:val="20"/>
                <w:rtl w:val="0"/>
              </w:rPr>
              <w:t xml:space="preserve">2017</w:t>
            </w:r>
          </w:p>
        </w:tc>
        <w:tc>
          <w:tcPr>
            <w:shd w:fill="auto" w:val="clear"/>
            <w:vAlign w:val="center"/>
          </w:tcPr>
          <w:p w:rsidR="00000000" w:rsidDel="00000000" w:rsidP="00000000" w:rsidRDefault="00000000" w:rsidRPr="00000000" w14:paraId="00000161">
            <w:pPr>
              <w:spacing w:after="0" w:before="0" w:lineRule="auto"/>
              <w:jc w:val="center"/>
              <w:rPr>
                <w:color w:val="000000"/>
                <w:sz w:val="20"/>
                <w:szCs w:val="20"/>
              </w:rPr>
            </w:pPr>
            <w:r w:rsidDel="00000000" w:rsidR="00000000" w:rsidRPr="00000000">
              <w:rPr>
                <w:color w:val="000000"/>
                <w:sz w:val="20"/>
                <w:szCs w:val="20"/>
                <w:rtl w:val="0"/>
              </w:rPr>
              <w:t xml:space="preserve">Prospective cohort 2001-2015</w:t>
            </w:r>
          </w:p>
        </w:tc>
        <w:tc>
          <w:tcPr>
            <w:shd w:fill="auto" w:val="clear"/>
            <w:vAlign w:val="center"/>
          </w:tcPr>
          <w:p w:rsidR="00000000" w:rsidDel="00000000" w:rsidP="00000000" w:rsidRDefault="00000000" w:rsidRPr="00000000" w14:paraId="00000162">
            <w:pPr>
              <w:spacing w:after="0" w:before="0" w:lineRule="auto"/>
              <w:jc w:val="center"/>
              <w:rPr>
                <w:color w:val="000000"/>
                <w:sz w:val="20"/>
                <w:szCs w:val="20"/>
              </w:rPr>
            </w:pPr>
            <w:r w:rsidDel="00000000" w:rsidR="00000000" w:rsidRPr="00000000">
              <w:rPr>
                <w:color w:val="000000"/>
                <w:sz w:val="20"/>
                <w:szCs w:val="20"/>
                <w:rtl w:val="0"/>
              </w:rPr>
              <w:t xml:space="preserve">RABBIT Register</w:t>
            </w:r>
          </w:p>
        </w:tc>
        <w:tc>
          <w:tcPr>
            <w:shd w:fill="auto" w:val="clear"/>
            <w:vAlign w:val="center"/>
          </w:tcPr>
          <w:p w:rsidR="00000000" w:rsidDel="00000000" w:rsidP="00000000" w:rsidRDefault="00000000" w:rsidRPr="00000000" w14:paraId="00000163">
            <w:pPr>
              <w:spacing w:after="0" w:before="0" w:lineRule="auto"/>
              <w:jc w:val="center"/>
              <w:rPr>
                <w:color w:val="000000"/>
                <w:sz w:val="20"/>
                <w:szCs w:val="20"/>
              </w:rPr>
            </w:pPr>
            <w:r w:rsidDel="00000000" w:rsidR="00000000" w:rsidRPr="00000000">
              <w:rPr>
                <w:color w:val="000000"/>
                <w:sz w:val="20"/>
                <w:szCs w:val="20"/>
                <w:rtl w:val="0"/>
              </w:rPr>
              <w:t xml:space="preserve">TNFα inhibitors </w:t>
              <w:br w:type="textWrapping"/>
              <w:t xml:space="preserve">(238)</w:t>
            </w:r>
          </w:p>
        </w:tc>
        <w:tc>
          <w:tcPr>
            <w:shd w:fill="auto" w:val="clear"/>
            <w:vAlign w:val="center"/>
          </w:tcPr>
          <w:p w:rsidR="00000000" w:rsidDel="00000000" w:rsidP="00000000" w:rsidRDefault="00000000" w:rsidRPr="00000000" w14:paraId="00000164">
            <w:pPr>
              <w:spacing w:after="0" w:before="0" w:lineRule="auto"/>
              <w:jc w:val="center"/>
              <w:rPr>
                <w:color w:val="000000"/>
                <w:sz w:val="20"/>
                <w:szCs w:val="20"/>
              </w:rPr>
            </w:pPr>
            <w:r w:rsidDel="00000000" w:rsidR="00000000" w:rsidRPr="00000000">
              <w:rPr>
                <w:color w:val="000000"/>
                <w:sz w:val="20"/>
                <w:szCs w:val="20"/>
                <w:rtl w:val="0"/>
              </w:rPr>
              <w:t xml:space="preserve">Other bDMARD and csDMARDs </w:t>
              <w:br w:type="textWrapping"/>
              <w:t xml:space="preserve">(251)</w:t>
            </w:r>
          </w:p>
        </w:tc>
        <w:tc>
          <w:tcPr>
            <w:shd w:fill="auto" w:val="clear"/>
            <w:vAlign w:val="center"/>
          </w:tcPr>
          <w:p w:rsidR="00000000" w:rsidDel="00000000" w:rsidP="00000000" w:rsidRDefault="00000000" w:rsidRPr="00000000" w14:paraId="00000165">
            <w:pPr>
              <w:spacing w:after="0" w:before="0" w:lineRule="auto"/>
              <w:jc w:val="center"/>
              <w:rPr>
                <w:color w:val="000000"/>
                <w:sz w:val="20"/>
                <w:szCs w:val="20"/>
              </w:rPr>
            </w:pPr>
            <w:r w:rsidDel="00000000" w:rsidR="00000000" w:rsidRPr="00000000">
              <w:rPr>
                <w:color w:val="000000"/>
                <w:sz w:val="20"/>
                <w:szCs w:val="20"/>
                <w:rtl w:val="0"/>
              </w:rPr>
              <w:t xml:space="preserve">Cases: 63.4</w:t>
              <w:br w:type="textWrapping"/>
              <w:t xml:space="preserve">Controls: 62.6</w:t>
            </w:r>
          </w:p>
        </w:tc>
        <w:tc>
          <w:tcPr>
            <w:shd w:fill="auto" w:val="clear"/>
            <w:vAlign w:val="center"/>
          </w:tcPr>
          <w:p w:rsidR="00000000" w:rsidDel="00000000" w:rsidP="00000000" w:rsidRDefault="00000000" w:rsidRPr="00000000" w14:paraId="00000166">
            <w:pPr>
              <w:spacing w:after="0" w:before="0" w:lineRule="auto"/>
              <w:jc w:val="center"/>
              <w:rPr>
                <w:color w:val="000000"/>
                <w:sz w:val="20"/>
                <w:szCs w:val="20"/>
              </w:rPr>
            </w:pPr>
            <w:r w:rsidDel="00000000" w:rsidR="00000000" w:rsidRPr="00000000">
              <w:rPr>
                <w:color w:val="000000"/>
                <w:sz w:val="20"/>
                <w:szCs w:val="20"/>
                <w:rtl w:val="0"/>
              </w:rPr>
              <w:t xml:space="preserve">Age, gender, hypertension, coronary heart disease, heart failure, diabetes, smoking, and enrolment episode</w:t>
            </w:r>
          </w:p>
        </w:tc>
        <w:tc>
          <w:tcPr>
            <w:vAlign w:val="center"/>
          </w:tcPr>
          <w:p w:rsidR="00000000" w:rsidDel="00000000" w:rsidP="00000000" w:rsidRDefault="00000000" w:rsidRPr="00000000" w14:paraId="00000167">
            <w:pPr>
              <w:spacing w:after="0" w:before="0" w:lineRule="auto"/>
              <w:jc w:val="center"/>
              <w:rPr>
                <w:color w:val="000000"/>
                <w:sz w:val="20"/>
                <w:szCs w:val="20"/>
              </w:rPr>
            </w:pPr>
            <w:r w:rsidDel="00000000" w:rsidR="00000000" w:rsidRPr="00000000">
              <w:rPr>
                <w:sz w:val="20"/>
                <w:szCs w:val="20"/>
                <w:rtl w:val="0"/>
              </w:rPr>
              <w:t xml:space="preserve">Hypertension, Coronary heart disease, and Diabetes mellitus</w:t>
            </w:r>
            <w:r w:rsidDel="00000000" w:rsidR="00000000" w:rsidRPr="00000000">
              <w:rPr>
                <w:rtl w:val="0"/>
              </w:rPr>
            </w:r>
          </w:p>
        </w:tc>
        <w:tc>
          <w:tcPr>
            <w:vAlign w:val="center"/>
          </w:tcPr>
          <w:p w:rsidR="00000000" w:rsidDel="00000000" w:rsidP="00000000" w:rsidRDefault="00000000" w:rsidRPr="00000000" w14:paraId="00000168">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69">
            <w:pPr>
              <w:jc w:val="center"/>
              <w:rPr>
                <w:sz w:val="20"/>
                <w:szCs w:val="20"/>
              </w:rPr>
            </w:pPr>
            <w:r w:rsidDel="00000000" w:rsidR="00000000" w:rsidRPr="00000000">
              <w:rPr>
                <w:sz w:val="20"/>
                <w:szCs w:val="20"/>
                <w:rtl w:val="0"/>
              </w:rPr>
              <w:t xml:space="preserve">International Council for</w:t>
            </w:r>
          </w:p>
          <w:p w:rsidR="00000000" w:rsidDel="00000000" w:rsidP="00000000" w:rsidRDefault="00000000" w:rsidRPr="00000000" w14:paraId="0000016A">
            <w:pPr>
              <w:spacing w:after="0" w:before="0" w:lineRule="auto"/>
              <w:jc w:val="center"/>
              <w:rPr>
                <w:color w:val="000000"/>
                <w:sz w:val="20"/>
                <w:szCs w:val="20"/>
              </w:rPr>
            </w:pPr>
            <w:r w:rsidDel="00000000" w:rsidR="00000000" w:rsidRPr="00000000">
              <w:rPr>
                <w:sz w:val="20"/>
                <w:szCs w:val="20"/>
                <w:rtl w:val="0"/>
              </w:rPr>
              <w:t xml:space="preserve">Harmonisation (ICH)</w:t>
            </w:r>
            <w:r w:rsidDel="00000000" w:rsidR="00000000" w:rsidRPr="00000000">
              <w:rPr>
                <w:rtl w:val="0"/>
              </w:rPr>
            </w:r>
          </w:p>
        </w:tc>
      </w:tr>
      <w:tr>
        <w:trPr>
          <w:cantSplit w:val="0"/>
          <w:trHeight w:val="1275" w:hRule="atLeast"/>
          <w:tblHeader w:val="0"/>
        </w:trPr>
        <w:tc>
          <w:tcPr>
            <w:shd w:fill="auto" w:val="clear"/>
            <w:vAlign w:val="center"/>
          </w:tcPr>
          <w:p w:rsidR="00000000" w:rsidDel="00000000" w:rsidP="00000000" w:rsidRDefault="00000000" w:rsidRPr="00000000" w14:paraId="0000016B">
            <w:pPr>
              <w:spacing w:after="0" w:before="0" w:lineRule="auto"/>
              <w:jc w:val="center"/>
              <w:rPr>
                <w:color w:val="000000"/>
                <w:sz w:val="20"/>
                <w:szCs w:val="20"/>
              </w:rPr>
            </w:pPr>
            <w:r w:rsidDel="00000000" w:rsidR="00000000" w:rsidRPr="00000000">
              <w:rPr>
                <w:color w:val="000000"/>
                <w:sz w:val="20"/>
                <w:szCs w:val="20"/>
                <w:rtl w:val="0"/>
              </w:rPr>
              <w:t xml:space="preserve">Mercer</w:t>
            </w:r>
          </w:p>
        </w:tc>
        <w:tc>
          <w:tcPr>
            <w:shd w:fill="auto" w:val="clear"/>
            <w:vAlign w:val="center"/>
          </w:tcPr>
          <w:p w:rsidR="00000000" w:rsidDel="00000000" w:rsidP="00000000" w:rsidRDefault="00000000" w:rsidRPr="00000000" w14:paraId="0000016C">
            <w:pPr>
              <w:spacing w:after="0" w:before="0" w:lineRule="auto"/>
              <w:jc w:val="center"/>
              <w:rPr>
                <w:color w:val="000000"/>
                <w:sz w:val="20"/>
                <w:szCs w:val="20"/>
              </w:rPr>
            </w:pPr>
            <w:r w:rsidDel="00000000" w:rsidR="00000000" w:rsidRPr="00000000">
              <w:rPr>
                <w:color w:val="000000"/>
                <w:sz w:val="20"/>
                <w:szCs w:val="20"/>
                <w:rtl w:val="0"/>
              </w:rPr>
              <w:t xml:space="preserve">2015</w:t>
            </w:r>
          </w:p>
        </w:tc>
        <w:tc>
          <w:tcPr>
            <w:shd w:fill="auto" w:val="clear"/>
            <w:vAlign w:val="center"/>
          </w:tcPr>
          <w:p w:rsidR="00000000" w:rsidDel="00000000" w:rsidP="00000000" w:rsidRDefault="00000000" w:rsidRPr="00000000" w14:paraId="0000016D">
            <w:pPr>
              <w:spacing w:after="0" w:before="0" w:lineRule="auto"/>
              <w:jc w:val="center"/>
              <w:rPr>
                <w:color w:val="000000"/>
                <w:sz w:val="20"/>
                <w:szCs w:val="20"/>
              </w:rPr>
            </w:pPr>
            <w:r w:rsidDel="00000000" w:rsidR="00000000" w:rsidRPr="00000000">
              <w:rPr>
                <w:color w:val="000000"/>
                <w:sz w:val="20"/>
                <w:szCs w:val="20"/>
                <w:rtl w:val="0"/>
              </w:rPr>
              <w:t xml:space="preserve">Population-based cohort 2001-2011</w:t>
            </w:r>
          </w:p>
        </w:tc>
        <w:tc>
          <w:tcPr>
            <w:shd w:fill="auto" w:val="clear"/>
            <w:vAlign w:val="center"/>
          </w:tcPr>
          <w:p w:rsidR="00000000" w:rsidDel="00000000" w:rsidP="00000000" w:rsidRDefault="00000000" w:rsidRPr="00000000" w14:paraId="0000016E">
            <w:pPr>
              <w:spacing w:after="0" w:before="0" w:lineRule="auto"/>
              <w:jc w:val="center"/>
              <w:rPr>
                <w:color w:val="000000"/>
                <w:sz w:val="20"/>
                <w:szCs w:val="20"/>
              </w:rPr>
            </w:pPr>
            <w:r w:rsidDel="00000000" w:rsidR="00000000" w:rsidRPr="00000000">
              <w:rPr>
                <w:color w:val="000000"/>
                <w:sz w:val="20"/>
                <w:szCs w:val="20"/>
                <w:rtl w:val="0"/>
              </w:rPr>
              <w:t xml:space="preserve">The British Society for Rheumatology Biologics Register</w:t>
            </w:r>
          </w:p>
        </w:tc>
        <w:tc>
          <w:tcPr>
            <w:shd w:fill="auto" w:val="clear"/>
            <w:vAlign w:val="center"/>
          </w:tcPr>
          <w:p w:rsidR="00000000" w:rsidDel="00000000" w:rsidP="00000000" w:rsidRDefault="00000000" w:rsidRPr="00000000" w14:paraId="0000016F">
            <w:pPr>
              <w:spacing w:after="0" w:before="0" w:lineRule="auto"/>
              <w:jc w:val="center"/>
              <w:rPr>
                <w:color w:val="000000"/>
                <w:sz w:val="20"/>
                <w:szCs w:val="20"/>
              </w:rPr>
            </w:pPr>
            <w:r w:rsidDel="00000000" w:rsidR="00000000" w:rsidRPr="00000000">
              <w:rPr>
                <w:color w:val="000000"/>
                <w:sz w:val="20"/>
                <w:szCs w:val="20"/>
                <w:rtl w:val="0"/>
              </w:rPr>
              <w:t xml:space="preserve">TNFα inhibitors</w:t>
              <w:br w:type="textWrapping"/>
              <w:t xml:space="preserve">(11,767)</w:t>
            </w:r>
          </w:p>
        </w:tc>
        <w:tc>
          <w:tcPr>
            <w:shd w:fill="auto" w:val="clear"/>
            <w:vAlign w:val="center"/>
          </w:tcPr>
          <w:p w:rsidR="00000000" w:rsidDel="00000000" w:rsidP="00000000" w:rsidRDefault="00000000" w:rsidRPr="00000000" w14:paraId="00000170">
            <w:pPr>
              <w:spacing w:after="0" w:before="0" w:lineRule="auto"/>
              <w:jc w:val="center"/>
              <w:rPr>
                <w:color w:val="000000"/>
                <w:sz w:val="20"/>
                <w:szCs w:val="20"/>
              </w:rPr>
            </w:pPr>
            <w:r w:rsidDel="00000000" w:rsidR="00000000" w:rsidRPr="00000000">
              <w:rPr>
                <w:color w:val="000000"/>
                <w:sz w:val="20"/>
                <w:szCs w:val="20"/>
                <w:rtl w:val="0"/>
              </w:rPr>
              <w:t xml:space="preserve">csDMARDs</w:t>
              <w:br w:type="textWrapping"/>
              <w:t xml:space="preserve">(3,249)</w:t>
            </w:r>
          </w:p>
        </w:tc>
        <w:tc>
          <w:tcPr>
            <w:shd w:fill="auto" w:val="clear"/>
            <w:vAlign w:val="center"/>
          </w:tcPr>
          <w:p w:rsidR="00000000" w:rsidDel="00000000" w:rsidP="00000000" w:rsidRDefault="00000000" w:rsidRPr="00000000" w14:paraId="00000171">
            <w:pPr>
              <w:spacing w:after="0" w:before="0" w:lineRule="auto"/>
              <w:jc w:val="center"/>
              <w:rPr>
                <w:color w:val="000000"/>
                <w:sz w:val="20"/>
                <w:szCs w:val="20"/>
              </w:rPr>
            </w:pPr>
            <w:r w:rsidDel="00000000" w:rsidR="00000000" w:rsidRPr="00000000">
              <w:rPr>
                <w:color w:val="000000"/>
                <w:sz w:val="20"/>
                <w:szCs w:val="20"/>
                <w:rtl w:val="0"/>
              </w:rPr>
              <w:t xml:space="preserve">TNFα inhibitors: 56.0</w:t>
              <w:br w:type="textWrapping"/>
              <w:t xml:space="preserve">csDMARDs: 60.0</w:t>
            </w:r>
          </w:p>
        </w:tc>
        <w:tc>
          <w:tcPr>
            <w:shd w:fill="auto" w:val="clear"/>
            <w:vAlign w:val="center"/>
          </w:tcPr>
          <w:p w:rsidR="00000000" w:rsidDel="00000000" w:rsidP="00000000" w:rsidRDefault="00000000" w:rsidRPr="00000000" w14:paraId="00000172">
            <w:pPr>
              <w:spacing w:after="0" w:before="0" w:lineRule="auto"/>
              <w:jc w:val="center"/>
              <w:rPr>
                <w:color w:val="000000"/>
                <w:sz w:val="20"/>
                <w:szCs w:val="20"/>
              </w:rPr>
            </w:pPr>
            <w:r w:rsidDel="00000000" w:rsidR="00000000" w:rsidRPr="00000000">
              <w:rPr>
                <w:color w:val="000000"/>
                <w:sz w:val="20"/>
                <w:szCs w:val="20"/>
                <w:rtl w:val="0"/>
              </w:rPr>
              <w:t xml:space="preserve">Age, sex, smoking history, ethnicity, comorbidity, DAS28 score, HAQ score, RA duration, number of previous csDMARDss, exposure to glucocorticoids at baseline, prior exposure to azathioprine, prior exposure to cyclophosphamide, and registration date</w:t>
            </w:r>
          </w:p>
        </w:tc>
        <w:tc>
          <w:tcPr>
            <w:vAlign w:val="center"/>
          </w:tcPr>
          <w:p w:rsidR="00000000" w:rsidDel="00000000" w:rsidP="00000000" w:rsidRDefault="00000000" w:rsidRPr="00000000" w14:paraId="00000173">
            <w:pPr>
              <w:spacing w:after="0" w:before="0" w:lineRule="auto"/>
              <w:jc w:val="center"/>
              <w:rPr>
                <w:color w:val="000000"/>
                <w:sz w:val="20"/>
                <w:szCs w:val="20"/>
              </w:rPr>
            </w:pPr>
            <w:r w:rsidDel="00000000" w:rsidR="00000000" w:rsidRPr="00000000">
              <w:rPr>
                <w:sz w:val="20"/>
                <w:szCs w:val="20"/>
                <w:rtl w:val="0"/>
              </w:rPr>
              <w:t xml:space="preserve">Hypertension, ischaemic heart disease, stroke, asthma, bronchitis or emphysema, diabetes mellitus, depression, renal disease, and liver disease</w:t>
            </w:r>
            <w:r w:rsidDel="00000000" w:rsidR="00000000" w:rsidRPr="00000000">
              <w:rPr>
                <w:rtl w:val="0"/>
              </w:rPr>
            </w:r>
          </w:p>
        </w:tc>
        <w:tc>
          <w:tcPr>
            <w:vAlign w:val="center"/>
          </w:tcPr>
          <w:p w:rsidR="00000000" w:rsidDel="00000000" w:rsidP="00000000" w:rsidRDefault="00000000" w:rsidRPr="00000000" w14:paraId="00000174">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75">
            <w:pPr>
              <w:jc w:val="center"/>
              <w:rPr>
                <w:sz w:val="20"/>
                <w:szCs w:val="20"/>
              </w:rPr>
            </w:pPr>
            <w:r w:rsidDel="00000000" w:rsidR="00000000" w:rsidRPr="00000000">
              <w:rPr>
                <w:sz w:val="20"/>
                <w:szCs w:val="20"/>
                <w:rtl w:val="0"/>
              </w:rPr>
              <w:t xml:space="preserve">Nurse completed</w:t>
            </w:r>
          </w:p>
          <w:p w:rsidR="00000000" w:rsidDel="00000000" w:rsidP="00000000" w:rsidRDefault="00000000" w:rsidRPr="00000000" w14:paraId="00000176">
            <w:pPr>
              <w:spacing w:after="0" w:before="0" w:lineRule="auto"/>
              <w:jc w:val="center"/>
              <w:rPr>
                <w:color w:val="000000"/>
                <w:sz w:val="20"/>
                <w:szCs w:val="20"/>
              </w:rPr>
            </w:pPr>
            <w:r w:rsidDel="00000000" w:rsidR="00000000" w:rsidRPr="00000000">
              <w:rPr>
                <w:sz w:val="20"/>
                <w:szCs w:val="20"/>
                <w:rtl w:val="0"/>
              </w:rPr>
              <w:t xml:space="preserve">Questionnaires, 6-monthly patient health diaries, and ICD-10</w:t>
            </w:r>
            <w:r w:rsidDel="00000000" w:rsidR="00000000" w:rsidRPr="00000000">
              <w:rPr>
                <w:rtl w:val="0"/>
              </w:rPr>
            </w:r>
          </w:p>
        </w:tc>
      </w:tr>
      <w:tr>
        <w:trPr>
          <w:cantSplit w:val="0"/>
          <w:trHeight w:val="1020" w:hRule="atLeast"/>
          <w:tblHeader w:val="0"/>
        </w:trPr>
        <w:tc>
          <w:tcPr>
            <w:shd w:fill="auto" w:val="clear"/>
            <w:vAlign w:val="center"/>
          </w:tcPr>
          <w:p w:rsidR="00000000" w:rsidDel="00000000" w:rsidP="00000000" w:rsidRDefault="00000000" w:rsidRPr="00000000" w14:paraId="00000177">
            <w:pPr>
              <w:spacing w:after="0" w:before="0" w:lineRule="auto"/>
              <w:jc w:val="center"/>
              <w:rPr>
                <w:color w:val="000000"/>
                <w:sz w:val="20"/>
                <w:szCs w:val="20"/>
              </w:rPr>
            </w:pPr>
            <w:r w:rsidDel="00000000" w:rsidR="00000000" w:rsidRPr="00000000">
              <w:rPr>
                <w:color w:val="000000"/>
                <w:sz w:val="20"/>
                <w:szCs w:val="20"/>
                <w:rtl w:val="0"/>
              </w:rPr>
              <w:t xml:space="preserve">Mercer</w:t>
            </w:r>
          </w:p>
        </w:tc>
        <w:tc>
          <w:tcPr>
            <w:shd w:fill="auto" w:val="clear"/>
            <w:vAlign w:val="center"/>
          </w:tcPr>
          <w:p w:rsidR="00000000" w:rsidDel="00000000" w:rsidP="00000000" w:rsidRDefault="00000000" w:rsidRPr="00000000" w14:paraId="00000178">
            <w:pPr>
              <w:spacing w:after="0" w:before="0" w:lineRule="auto"/>
              <w:jc w:val="center"/>
              <w:rPr>
                <w:color w:val="000000"/>
                <w:sz w:val="20"/>
                <w:szCs w:val="20"/>
              </w:rPr>
            </w:pPr>
            <w:r w:rsidDel="00000000" w:rsidR="00000000" w:rsidRPr="00000000">
              <w:rPr>
                <w:color w:val="000000"/>
                <w:sz w:val="20"/>
                <w:szCs w:val="20"/>
                <w:rtl w:val="0"/>
              </w:rPr>
              <w:t xml:space="preserve">2017</w:t>
            </w:r>
          </w:p>
        </w:tc>
        <w:tc>
          <w:tcPr>
            <w:shd w:fill="auto" w:val="clear"/>
            <w:vAlign w:val="center"/>
          </w:tcPr>
          <w:p w:rsidR="00000000" w:rsidDel="00000000" w:rsidP="00000000" w:rsidRDefault="00000000" w:rsidRPr="00000000" w14:paraId="00000179">
            <w:pPr>
              <w:spacing w:after="0" w:before="0" w:lineRule="auto"/>
              <w:jc w:val="center"/>
              <w:rPr>
                <w:color w:val="000000"/>
                <w:sz w:val="20"/>
                <w:szCs w:val="20"/>
              </w:rPr>
            </w:pPr>
            <w:r w:rsidDel="00000000" w:rsidR="00000000" w:rsidRPr="00000000">
              <w:rPr>
                <w:color w:val="000000"/>
                <w:sz w:val="20"/>
                <w:szCs w:val="20"/>
                <w:rtl w:val="0"/>
              </w:rPr>
              <w:t xml:space="preserve">Population-based cohort 2001-2013</w:t>
            </w:r>
          </w:p>
        </w:tc>
        <w:tc>
          <w:tcPr>
            <w:shd w:fill="auto" w:val="clear"/>
            <w:vAlign w:val="center"/>
          </w:tcPr>
          <w:p w:rsidR="00000000" w:rsidDel="00000000" w:rsidP="00000000" w:rsidRDefault="00000000" w:rsidRPr="00000000" w14:paraId="0000017A">
            <w:pPr>
              <w:spacing w:after="0" w:before="0" w:lineRule="auto"/>
              <w:jc w:val="center"/>
              <w:rPr>
                <w:color w:val="000000"/>
                <w:sz w:val="20"/>
                <w:szCs w:val="20"/>
              </w:rPr>
            </w:pPr>
            <w:r w:rsidDel="00000000" w:rsidR="00000000" w:rsidRPr="00000000">
              <w:rPr>
                <w:color w:val="000000"/>
                <w:sz w:val="20"/>
                <w:szCs w:val="20"/>
                <w:rtl w:val="0"/>
              </w:rPr>
              <w:t xml:space="preserve">The British Society for Rheumatology Biologics Register</w:t>
            </w:r>
          </w:p>
        </w:tc>
        <w:tc>
          <w:tcPr>
            <w:shd w:fill="auto" w:val="clear"/>
            <w:vAlign w:val="center"/>
          </w:tcPr>
          <w:p w:rsidR="00000000" w:rsidDel="00000000" w:rsidP="00000000" w:rsidRDefault="00000000" w:rsidRPr="00000000" w14:paraId="0000017B">
            <w:pPr>
              <w:spacing w:after="0" w:before="0" w:lineRule="auto"/>
              <w:jc w:val="center"/>
              <w:rPr>
                <w:color w:val="000000"/>
                <w:sz w:val="20"/>
                <w:szCs w:val="20"/>
              </w:rPr>
            </w:pPr>
            <w:r w:rsidDel="00000000" w:rsidR="00000000" w:rsidRPr="00000000">
              <w:rPr>
                <w:color w:val="000000"/>
                <w:sz w:val="20"/>
                <w:szCs w:val="20"/>
                <w:rtl w:val="0"/>
              </w:rPr>
              <w:t xml:space="preserve">TNFα inhibitors </w:t>
              <w:br w:type="textWrapping"/>
              <w:t xml:space="preserve">(11,931)</w:t>
            </w:r>
          </w:p>
        </w:tc>
        <w:tc>
          <w:tcPr>
            <w:shd w:fill="auto" w:val="clear"/>
            <w:vAlign w:val="center"/>
          </w:tcPr>
          <w:p w:rsidR="00000000" w:rsidDel="00000000" w:rsidP="00000000" w:rsidRDefault="00000000" w:rsidRPr="00000000" w14:paraId="0000017C">
            <w:pPr>
              <w:spacing w:after="0" w:before="0" w:lineRule="auto"/>
              <w:jc w:val="center"/>
              <w:rPr>
                <w:color w:val="000000"/>
                <w:sz w:val="20"/>
                <w:szCs w:val="20"/>
              </w:rPr>
            </w:pPr>
            <w:r w:rsidDel="00000000" w:rsidR="00000000" w:rsidRPr="00000000">
              <w:rPr>
                <w:color w:val="000000"/>
                <w:sz w:val="20"/>
                <w:szCs w:val="20"/>
                <w:rtl w:val="0"/>
              </w:rPr>
              <w:t xml:space="preserve">csDMARDs </w:t>
              <w:br w:type="textWrapping"/>
              <w:t xml:space="preserve">(3,367)</w:t>
            </w:r>
          </w:p>
        </w:tc>
        <w:tc>
          <w:tcPr>
            <w:shd w:fill="auto" w:val="clear"/>
            <w:vAlign w:val="center"/>
          </w:tcPr>
          <w:p w:rsidR="00000000" w:rsidDel="00000000" w:rsidP="00000000" w:rsidRDefault="00000000" w:rsidRPr="00000000" w14:paraId="0000017D">
            <w:pPr>
              <w:spacing w:after="0" w:before="0" w:lineRule="auto"/>
              <w:jc w:val="center"/>
              <w:rPr>
                <w:color w:val="000000"/>
                <w:sz w:val="20"/>
                <w:szCs w:val="20"/>
              </w:rPr>
            </w:pPr>
            <w:r w:rsidDel="00000000" w:rsidR="00000000" w:rsidRPr="00000000">
              <w:rPr>
                <w:color w:val="000000"/>
                <w:sz w:val="20"/>
                <w:szCs w:val="20"/>
                <w:rtl w:val="0"/>
              </w:rPr>
              <w:t xml:space="preserve">TNFα inhibitors: 56.0</w:t>
              <w:br w:type="textWrapping"/>
              <w:t xml:space="preserve">csDMARDs: 60.0</w:t>
            </w:r>
          </w:p>
        </w:tc>
        <w:tc>
          <w:tcPr>
            <w:shd w:fill="auto" w:val="clear"/>
            <w:vAlign w:val="center"/>
          </w:tcPr>
          <w:p w:rsidR="00000000" w:rsidDel="00000000" w:rsidP="00000000" w:rsidRDefault="00000000" w:rsidRPr="00000000" w14:paraId="0000017E">
            <w:pPr>
              <w:spacing w:after="0" w:before="0" w:lineRule="auto"/>
              <w:jc w:val="center"/>
              <w:rPr>
                <w:color w:val="000000"/>
                <w:sz w:val="20"/>
                <w:szCs w:val="20"/>
              </w:rPr>
            </w:pPr>
            <w:r w:rsidDel="00000000" w:rsidR="00000000" w:rsidRPr="00000000">
              <w:rPr>
                <w:color w:val="000000"/>
                <w:sz w:val="20"/>
                <w:szCs w:val="20"/>
                <w:rtl w:val="0"/>
              </w:rPr>
              <w:t xml:space="preserve">Age, sex, smoking status, ethnicity, prior cancer (excluding LPM or MPM), comorbidity, DAS28 score, HAQ score, RA duration, number of previous csDMARDss, current exposure to corticosteroids, and date of registration</w:t>
            </w:r>
          </w:p>
        </w:tc>
        <w:tc>
          <w:tcPr>
            <w:vAlign w:val="center"/>
          </w:tcPr>
          <w:p w:rsidR="00000000" w:rsidDel="00000000" w:rsidP="00000000" w:rsidRDefault="00000000" w:rsidRPr="00000000" w14:paraId="0000017F">
            <w:pPr>
              <w:spacing w:after="0" w:before="0" w:lineRule="auto"/>
              <w:jc w:val="center"/>
              <w:rPr>
                <w:color w:val="000000"/>
                <w:sz w:val="20"/>
                <w:szCs w:val="20"/>
              </w:rPr>
            </w:pPr>
            <w:r w:rsidDel="00000000" w:rsidR="00000000" w:rsidRPr="00000000">
              <w:rPr>
                <w:sz w:val="20"/>
                <w:szCs w:val="20"/>
                <w:rtl w:val="0"/>
              </w:rPr>
              <w:t xml:space="preserve">Hypertension, ischaemic heart disease, stroke, lung disease, diabetes mellitus, depression, renal disease, and liver disease</w:t>
            </w:r>
            <w:r w:rsidDel="00000000" w:rsidR="00000000" w:rsidRPr="00000000">
              <w:rPr>
                <w:rtl w:val="0"/>
              </w:rPr>
            </w:r>
          </w:p>
        </w:tc>
        <w:tc>
          <w:tcPr>
            <w:vAlign w:val="center"/>
          </w:tcPr>
          <w:p w:rsidR="00000000" w:rsidDel="00000000" w:rsidP="00000000" w:rsidRDefault="00000000" w:rsidRPr="00000000" w14:paraId="00000180">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81">
            <w:pPr>
              <w:spacing w:after="0" w:before="0" w:lineRule="auto"/>
              <w:jc w:val="center"/>
              <w:rPr>
                <w:color w:val="000000"/>
                <w:sz w:val="20"/>
                <w:szCs w:val="20"/>
              </w:rPr>
            </w:pPr>
            <w:r w:rsidDel="00000000" w:rsidR="00000000" w:rsidRPr="00000000">
              <w:rPr>
                <w:sz w:val="20"/>
                <w:szCs w:val="20"/>
                <w:rtl w:val="0"/>
              </w:rPr>
              <w:t xml:space="preserve">Histology reports and ICD-10 codes</w:t>
            </w:r>
            <w:r w:rsidDel="00000000" w:rsidR="00000000" w:rsidRPr="00000000">
              <w:rPr>
                <w:rtl w:val="0"/>
              </w:rPr>
            </w:r>
          </w:p>
        </w:tc>
      </w:tr>
      <w:tr>
        <w:trPr>
          <w:cantSplit w:val="0"/>
          <w:trHeight w:val="1530" w:hRule="atLeast"/>
          <w:tblHeader w:val="0"/>
        </w:trPr>
        <w:tc>
          <w:tcPr>
            <w:shd w:fill="auto" w:val="clear"/>
            <w:vAlign w:val="center"/>
          </w:tcPr>
          <w:p w:rsidR="00000000" w:rsidDel="00000000" w:rsidP="00000000" w:rsidRDefault="00000000" w:rsidRPr="00000000" w14:paraId="00000182">
            <w:pPr>
              <w:spacing w:after="0" w:before="0" w:lineRule="auto"/>
              <w:jc w:val="center"/>
              <w:rPr>
                <w:color w:val="000000"/>
                <w:sz w:val="20"/>
                <w:szCs w:val="20"/>
              </w:rPr>
            </w:pPr>
            <w:r w:rsidDel="00000000" w:rsidR="00000000" w:rsidRPr="00000000">
              <w:rPr>
                <w:color w:val="000000"/>
                <w:sz w:val="20"/>
                <w:szCs w:val="20"/>
                <w:rtl w:val="0"/>
              </w:rPr>
              <w:t xml:space="preserve">Ozen</w:t>
            </w:r>
          </w:p>
        </w:tc>
        <w:tc>
          <w:tcPr>
            <w:shd w:fill="auto" w:val="clear"/>
            <w:vAlign w:val="center"/>
          </w:tcPr>
          <w:p w:rsidR="00000000" w:rsidDel="00000000" w:rsidP="00000000" w:rsidRDefault="00000000" w:rsidRPr="00000000" w14:paraId="00000183">
            <w:pPr>
              <w:spacing w:after="0" w:before="0" w:lineRule="auto"/>
              <w:jc w:val="center"/>
              <w:rPr>
                <w:color w:val="000000"/>
                <w:sz w:val="20"/>
                <w:szCs w:val="20"/>
              </w:rPr>
            </w:pPr>
            <w:r w:rsidDel="00000000" w:rsidR="00000000" w:rsidRPr="00000000">
              <w:rPr>
                <w:color w:val="000000"/>
                <w:sz w:val="20"/>
                <w:szCs w:val="20"/>
                <w:rtl w:val="0"/>
              </w:rPr>
              <w:t xml:space="preserve">2021</w:t>
            </w:r>
          </w:p>
        </w:tc>
        <w:tc>
          <w:tcPr>
            <w:shd w:fill="auto" w:val="clear"/>
            <w:vAlign w:val="center"/>
          </w:tcPr>
          <w:p w:rsidR="00000000" w:rsidDel="00000000" w:rsidP="00000000" w:rsidRDefault="00000000" w:rsidRPr="00000000" w14:paraId="00000184">
            <w:pPr>
              <w:spacing w:after="0" w:before="0" w:lineRule="auto"/>
              <w:jc w:val="center"/>
              <w:rPr>
                <w:color w:val="000000"/>
                <w:sz w:val="20"/>
                <w:szCs w:val="20"/>
              </w:rPr>
            </w:pPr>
            <w:r w:rsidDel="00000000" w:rsidR="00000000" w:rsidRPr="00000000">
              <w:rPr>
                <w:color w:val="000000"/>
                <w:sz w:val="20"/>
                <w:szCs w:val="20"/>
                <w:rtl w:val="0"/>
              </w:rPr>
              <w:t xml:space="preserve">Prospective cohort</w:t>
              <w:br w:type="textWrapping"/>
              <w:t xml:space="preserve">1998-2017.</w:t>
            </w:r>
          </w:p>
        </w:tc>
        <w:tc>
          <w:tcPr>
            <w:shd w:fill="auto" w:val="clear"/>
            <w:vAlign w:val="center"/>
          </w:tcPr>
          <w:p w:rsidR="00000000" w:rsidDel="00000000" w:rsidP="00000000" w:rsidRDefault="00000000" w:rsidRPr="00000000" w14:paraId="00000185">
            <w:pPr>
              <w:spacing w:after="0" w:before="0" w:lineRule="auto"/>
              <w:jc w:val="center"/>
              <w:rPr>
                <w:color w:val="000000"/>
                <w:sz w:val="20"/>
                <w:szCs w:val="20"/>
              </w:rPr>
            </w:pPr>
            <w:r w:rsidDel="00000000" w:rsidR="00000000" w:rsidRPr="00000000">
              <w:rPr>
                <w:color w:val="000000"/>
                <w:sz w:val="20"/>
                <w:szCs w:val="20"/>
                <w:rtl w:val="0"/>
              </w:rPr>
              <w:t xml:space="preserve">The National Databank for Rheumatic Diseases (FORWARD)</w:t>
            </w:r>
          </w:p>
        </w:tc>
        <w:tc>
          <w:tcPr>
            <w:shd w:fill="auto" w:val="clear"/>
            <w:vAlign w:val="center"/>
          </w:tcPr>
          <w:p w:rsidR="00000000" w:rsidDel="00000000" w:rsidP="00000000" w:rsidRDefault="00000000" w:rsidRPr="00000000" w14:paraId="00000186">
            <w:pPr>
              <w:spacing w:after="0" w:before="0" w:lineRule="auto"/>
              <w:jc w:val="center"/>
              <w:rPr>
                <w:color w:val="000000"/>
                <w:sz w:val="20"/>
                <w:szCs w:val="20"/>
              </w:rPr>
            </w:pPr>
            <w:r w:rsidDel="00000000" w:rsidR="00000000" w:rsidRPr="00000000">
              <w:rPr>
                <w:color w:val="000000"/>
                <w:sz w:val="20"/>
                <w:szCs w:val="20"/>
                <w:rtl w:val="0"/>
              </w:rPr>
              <w:t xml:space="preserve">TNFα inhibitors </w:t>
              <w:br w:type="textWrapping"/>
              <w:t xml:space="preserve">(7,724)</w:t>
              <w:br w:type="textWrapping"/>
              <w:br w:type="textWrapping"/>
              <w:t xml:space="preserve">non-TNFα inhibitors</w:t>
              <w:br w:type="textWrapping"/>
              <w:t xml:space="preserve">(2,574)</w:t>
            </w:r>
          </w:p>
        </w:tc>
        <w:tc>
          <w:tcPr>
            <w:shd w:fill="auto" w:val="clear"/>
            <w:vAlign w:val="center"/>
          </w:tcPr>
          <w:p w:rsidR="00000000" w:rsidDel="00000000" w:rsidP="00000000" w:rsidRDefault="00000000" w:rsidRPr="00000000" w14:paraId="00000187">
            <w:pPr>
              <w:spacing w:after="0" w:before="0" w:lineRule="auto"/>
              <w:jc w:val="center"/>
              <w:rPr>
                <w:color w:val="000000"/>
                <w:sz w:val="20"/>
                <w:szCs w:val="20"/>
              </w:rPr>
            </w:pPr>
            <w:r w:rsidDel="00000000" w:rsidR="00000000" w:rsidRPr="00000000">
              <w:rPr>
                <w:color w:val="000000"/>
                <w:sz w:val="20"/>
                <w:szCs w:val="20"/>
                <w:rtl w:val="0"/>
              </w:rPr>
              <w:t xml:space="preserve">csDMARDs </w:t>
              <w:br w:type="textWrapping"/>
              <w:t xml:space="preserve">(15,541)</w:t>
            </w:r>
          </w:p>
        </w:tc>
        <w:tc>
          <w:tcPr>
            <w:shd w:fill="auto" w:val="clear"/>
            <w:vAlign w:val="center"/>
          </w:tcPr>
          <w:p w:rsidR="00000000" w:rsidDel="00000000" w:rsidP="00000000" w:rsidRDefault="00000000" w:rsidRPr="00000000" w14:paraId="00000188">
            <w:pPr>
              <w:spacing w:after="0" w:before="0" w:lineRule="auto"/>
              <w:jc w:val="center"/>
              <w:rPr>
                <w:color w:val="000000"/>
                <w:sz w:val="20"/>
                <w:szCs w:val="20"/>
              </w:rPr>
            </w:pPr>
            <w:r w:rsidDel="00000000" w:rsidR="00000000" w:rsidRPr="00000000">
              <w:rPr>
                <w:color w:val="000000"/>
                <w:sz w:val="20"/>
                <w:szCs w:val="20"/>
                <w:rtl w:val="0"/>
              </w:rPr>
              <w:t xml:space="preserve">58.6</w:t>
            </w:r>
          </w:p>
        </w:tc>
        <w:tc>
          <w:tcPr>
            <w:shd w:fill="auto" w:val="clear"/>
            <w:vAlign w:val="center"/>
          </w:tcPr>
          <w:p w:rsidR="00000000" w:rsidDel="00000000" w:rsidP="00000000" w:rsidRDefault="00000000" w:rsidRPr="00000000" w14:paraId="00000189">
            <w:pPr>
              <w:spacing w:after="0" w:before="0" w:lineRule="auto"/>
              <w:jc w:val="center"/>
              <w:rPr>
                <w:color w:val="000000"/>
                <w:sz w:val="20"/>
                <w:szCs w:val="20"/>
              </w:rPr>
            </w:pPr>
            <w:r w:rsidDel="00000000" w:rsidR="00000000" w:rsidRPr="00000000">
              <w:rPr>
                <w:color w:val="000000"/>
                <w:sz w:val="20"/>
                <w:szCs w:val="20"/>
                <w:rtl w:val="0"/>
              </w:rPr>
              <w:t xml:space="preserve">Age, sex, disease duration, socioeconomic status (employment and education level, insurance, location of residency), ethnicity, smoking, hypertension, diabetes, comorbidity index, BMI, HAQ, NSAIDs, statins, prior count of csDMARDs and bDMARDs, prior CVD history and year of entry</w:t>
            </w:r>
          </w:p>
        </w:tc>
        <w:tc>
          <w:tcPr>
            <w:vAlign w:val="center"/>
          </w:tcPr>
          <w:p w:rsidR="00000000" w:rsidDel="00000000" w:rsidP="00000000" w:rsidRDefault="00000000" w:rsidRPr="00000000" w14:paraId="0000018A">
            <w:pPr>
              <w:spacing w:after="0" w:before="0" w:lineRule="auto"/>
              <w:jc w:val="center"/>
              <w:rPr>
                <w:color w:val="000000"/>
                <w:sz w:val="20"/>
                <w:szCs w:val="20"/>
              </w:rPr>
            </w:pPr>
            <w:r w:rsidDel="00000000" w:rsidR="00000000" w:rsidRPr="00000000">
              <w:rPr>
                <w:sz w:val="20"/>
                <w:szCs w:val="20"/>
                <w:rtl w:val="0"/>
              </w:rPr>
              <w:t xml:space="preserve">Diabetes, Hypertension, and Pulmonary disease</w:t>
            </w:r>
            <w:r w:rsidDel="00000000" w:rsidR="00000000" w:rsidRPr="00000000">
              <w:rPr>
                <w:rtl w:val="0"/>
              </w:rPr>
            </w:r>
          </w:p>
        </w:tc>
        <w:tc>
          <w:tcPr>
            <w:vAlign w:val="center"/>
          </w:tcPr>
          <w:p w:rsidR="00000000" w:rsidDel="00000000" w:rsidP="00000000" w:rsidRDefault="00000000" w:rsidRPr="00000000" w14:paraId="0000018B">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8C">
            <w:pPr>
              <w:spacing w:after="0" w:before="0" w:lineRule="auto"/>
              <w:jc w:val="center"/>
              <w:rPr>
                <w:color w:val="000000"/>
                <w:sz w:val="20"/>
                <w:szCs w:val="20"/>
              </w:rPr>
            </w:pPr>
            <w:r w:rsidDel="00000000" w:rsidR="00000000" w:rsidRPr="00000000">
              <w:rPr>
                <w:sz w:val="20"/>
                <w:szCs w:val="20"/>
                <w:rtl w:val="0"/>
              </w:rPr>
              <w:t xml:space="preserve">ICD-9/10: 410, I21, I22, 433, 434, I63, 428, I50</w:t>
            </w:r>
            <w:r w:rsidDel="00000000" w:rsidR="00000000" w:rsidRPr="00000000">
              <w:rPr>
                <w:rtl w:val="0"/>
              </w:rPr>
            </w:r>
          </w:p>
        </w:tc>
      </w:tr>
      <w:tr>
        <w:trPr>
          <w:cantSplit w:val="0"/>
          <w:trHeight w:val="1020" w:hRule="atLeast"/>
          <w:tblHeader w:val="0"/>
        </w:trPr>
        <w:tc>
          <w:tcPr>
            <w:shd w:fill="auto" w:val="clear"/>
            <w:vAlign w:val="center"/>
          </w:tcPr>
          <w:p w:rsidR="00000000" w:rsidDel="00000000" w:rsidP="00000000" w:rsidRDefault="00000000" w:rsidRPr="00000000" w14:paraId="0000018D">
            <w:pPr>
              <w:spacing w:after="0" w:before="0" w:lineRule="auto"/>
              <w:jc w:val="center"/>
              <w:rPr>
                <w:color w:val="000000"/>
                <w:sz w:val="20"/>
                <w:szCs w:val="20"/>
              </w:rPr>
            </w:pPr>
            <w:r w:rsidDel="00000000" w:rsidR="00000000" w:rsidRPr="00000000">
              <w:rPr>
                <w:color w:val="000000"/>
                <w:sz w:val="20"/>
                <w:szCs w:val="20"/>
                <w:rtl w:val="0"/>
              </w:rPr>
              <w:t xml:space="preserve">Patel</w:t>
            </w:r>
          </w:p>
        </w:tc>
        <w:tc>
          <w:tcPr>
            <w:shd w:fill="auto" w:val="clear"/>
            <w:vAlign w:val="center"/>
          </w:tcPr>
          <w:p w:rsidR="00000000" w:rsidDel="00000000" w:rsidP="00000000" w:rsidRDefault="00000000" w:rsidRPr="00000000" w14:paraId="0000018E">
            <w:pPr>
              <w:spacing w:after="0" w:before="0" w:lineRule="auto"/>
              <w:jc w:val="center"/>
              <w:rPr>
                <w:color w:val="000000"/>
                <w:sz w:val="20"/>
                <w:szCs w:val="20"/>
              </w:rPr>
            </w:pPr>
            <w:r w:rsidDel="00000000" w:rsidR="00000000" w:rsidRPr="00000000">
              <w:rPr>
                <w:color w:val="000000"/>
                <w:sz w:val="20"/>
                <w:szCs w:val="20"/>
                <w:rtl w:val="0"/>
              </w:rPr>
              <w:t xml:space="preserve">2021</w:t>
            </w:r>
          </w:p>
        </w:tc>
        <w:tc>
          <w:tcPr>
            <w:shd w:fill="auto" w:val="clear"/>
            <w:vAlign w:val="center"/>
          </w:tcPr>
          <w:p w:rsidR="00000000" w:rsidDel="00000000" w:rsidP="00000000" w:rsidRDefault="00000000" w:rsidRPr="00000000" w14:paraId="0000018F">
            <w:pPr>
              <w:spacing w:after="0" w:before="0" w:lineRule="auto"/>
              <w:jc w:val="center"/>
              <w:rPr>
                <w:color w:val="000000"/>
                <w:sz w:val="20"/>
                <w:szCs w:val="20"/>
              </w:rPr>
            </w:pPr>
            <w:r w:rsidDel="00000000" w:rsidR="00000000" w:rsidRPr="00000000">
              <w:rPr>
                <w:color w:val="000000"/>
                <w:sz w:val="20"/>
                <w:szCs w:val="20"/>
                <w:rtl w:val="0"/>
              </w:rPr>
              <w:t xml:space="preserve">Retrospective cohort </w:t>
              <w:br w:type="textWrapping"/>
              <w:t xml:space="preserve">2009-2017</w:t>
            </w:r>
          </w:p>
        </w:tc>
        <w:tc>
          <w:tcPr>
            <w:shd w:fill="auto" w:val="clear"/>
            <w:vAlign w:val="center"/>
          </w:tcPr>
          <w:p w:rsidR="00000000" w:rsidDel="00000000" w:rsidP="00000000" w:rsidRDefault="00000000" w:rsidRPr="00000000" w14:paraId="00000190">
            <w:pPr>
              <w:spacing w:after="0" w:before="0" w:lineRule="auto"/>
              <w:jc w:val="center"/>
              <w:rPr>
                <w:color w:val="000000"/>
                <w:sz w:val="20"/>
                <w:szCs w:val="20"/>
              </w:rPr>
            </w:pPr>
            <w:r w:rsidDel="00000000" w:rsidR="00000000" w:rsidRPr="00000000">
              <w:rPr>
                <w:color w:val="000000"/>
                <w:sz w:val="20"/>
                <w:szCs w:val="20"/>
                <w:rtl w:val="0"/>
              </w:rPr>
              <w:t xml:space="preserve">Medicare</w:t>
            </w:r>
          </w:p>
        </w:tc>
        <w:tc>
          <w:tcPr>
            <w:shd w:fill="auto" w:val="clear"/>
            <w:vAlign w:val="center"/>
          </w:tcPr>
          <w:p w:rsidR="00000000" w:rsidDel="00000000" w:rsidP="00000000" w:rsidRDefault="00000000" w:rsidRPr="00000000" w14:paraId="00000191">
            <w:pPr>
              <w:spacing w:after="0" w:before="0" w:lineRule="auto"/>
              <w:jc w:val="center"/>
              <w:rPr>
                <w:color w:val="000000"/>
                <w:sz w:val="20"/>
                <w:szCs w:val="20"/>
              </w:rPr>
            </w:pPr>
            <w:r w:rsidDel="00000000" w:rsidR="00000000" w:rsidRPr="00000000">
              <w:rPr>
                <w:color w:val="000000"/>
                <w:sz w:val="20"/>
                <w:szCs w:val="20"/>
                <w:rtl w:val="0"/>
              </w:rPr>
              <w:t xml:space="preserve">Abatacept </w:t>
              <w:br w:type="textWrapping"/>
              <w:t xml:space="preserve">(6,303)</w:t>
            </w:r>
          </w:p>
        </w:tc>
        <w:tc>
          <w:tcPr>
            <w:shd w:fill="auto" w:val="clear"/>
            <w:vAlign w:val="center"/>
          </w:tcPr>
          <w:p w:rsidR="00000000" w:rsidDel="00000000" w:rsidP="00000000" w:rsidRDefault="00000000" w:rsidRPr="00000000" w14:paraId="00000192">
            <w:pPr>
              <w:spacing w:after="0" w:before="0" w:lineRule="auto"/>
              <w:jc w:val="center"/>
              <w:rPr>
                <w:color w:val="000000"/>
                <w:sz w:val="20"/>
                <w:szCs w:val="20"/>
              </w:rPr>
            </w:pPr>
            <w:r w:rsidDel="00000000" w:rsidR="00000000" w:rsidRPr="00000000">
              <w:rPr>
                <w:color w:val="000000"/>
                <w:sz w:val="20"/>
                <w:szCs w:val="20"/>
                <w:rtl w:val="0"/>
              </w:rPr>
              <w:t xml:space="preserve">TNFi </w:t>
              <w:br w:type="textWrapping"/>
              <w:t xml:space="preserve">(18,032)</w:t>
              <w:br w:type="textWrapping"/>
              <w:t xml:space="preserve">Other non-TNFi</w:t>
              <w:br w:type="textWrapping"/>
              <w:t xml:space="preserve">(6,104)</w:t>
            </w:r>
          </w:p>
        </w:tc>
        <w:tc>
          <w:tcPr>
            <w:shd w:fill="auto" w:val="clear"/>
            <w:vAlign w:val="center"/>
          </w:tcPr>
          <w:p w:rsidR="00000000" w:rsidDel="00000000" w:rsidP="00000000" w:rsidRDefault="00000000" w:rsidRPr="00000000" w14:paraId="00000193">
            <w:pPr>
              <w:spacing w:after="0" w:before="0" w:lineRule="auto"/>
              <w:jc w:val="center"/>
              <w:rPr>
                <w:color w:val="000000"/>
                <w:sz w:val="20"/>
                <w:szCs w:val="20"/>
              </w:rPr>
            </w:pPr>
            <w:r w:rsidDel="00000000" w:rsidR="00000000" w:rsidRPr="00000000">
              <w:rPr>
                <w:color w:val="000000"/>
                <w:sz w:val="20"/>
                <w:szCs w:val="20"/>
                <w:rtl w:val="0"/>
              </w:rPr>
              <w:t xml:space="preserve">Abatacept: 73.6</w:t>
              <w:br w:type="textWrapping"/>
              <w:t xml:space="preserve">TNFi: 72.8</w:t>
              <w:br w:type="textWrapping"/>
              <w:t xml:space="preserve">Other non-TNFi: 73.1</w:t>
            </w:r>
          </w:p>
        </w:tc>
        <w:tc>
          <w:tcPr>
            <w:shd w:fill="auto" w:val="clear"/>
            <w:vAlign w:val="center"/>
          </w:tcPr>
          <w:p w:rsidR="00000000" w:rsidDel="00000000" w:rsidP="00000000" w:rsidRDefault="00000000" w:rsidRPr="00000000" w14:paraId="00000194">
            <w:pPr>
              <w:spacing w:after="0" w:before="0" w:lineRule="auto"/>
              <w:jc w:val="center"/>
              <w:rPr>
                <w:color w:val="000000"/>
                <w:sz w:val="20"/>
                <w:szCs w:val="20"/>
              </w:rPr>
            </w:pPr>
            <w:r w:rsidDel="00000000" w:rsidR="00000000" w:rsidRPr="00000000">
              <w:rPr>
                <w:color w:val="000000"/>
                <w:sz w:val="20"/>
                <w:szCs w:val="20"/>
                <w:rtl w:val="0"/>
              </w:rPr>
              <w:t xml:space="preserve">Demographic and clinical characteristics</w:t>
            </w:r>
          </w:p>
        </w:tc>
        <w:tc>
          <w:tcPr>
            <w:vAlign w:val="center"/>
          </w:tcPr>
          <w:p w:rsidR="00000000" w:rsidDel="00000000" w:rsidP="00000000" w:rsidRDefault="00000000" w:rsidRPr="00000000" w14:paraId="00000195">
            <w:pPr>
              <w:jc w:val="center"/>
              <w:rPr>
                <w:sz w:val="20"/>
                <w:szCs w:val="20"/>
              </w:rPr>
            </w:pPr>
            <w:r w:rsidDel="00000000" w:rsidR="00000000" w:rsidRPr="00000000">
              <w:rPr>
                <w:sz w:val="20"/>
                <w:szCs w:val="20"/>
                <w:rtl w:val="0"/>
              </w:rPr>
              <w:t xml:space="preserve">Congestive heart failure, Hypertension, Chronic obstructive</w:t>
            </w:r>
          </w:p>
          <w:p w:rsidR="00000000" w:rsidDel="00000000" w:rsidP="00000000" w:rsidRDefault="00000000" w:rsidRPr="00000000" w14:paraId="00000196">
            <w:pPr>
              <w:spacing w:after="0" w:before="0" w:lineRule="auto"/>
              <w:jc w:val="center"/>
              <w:rPr>
                <w:color w:val="000000"/>
                <w:sz w:val="20"/>
                <w:szCs w:val="20"/>
              </w:rPr>
            </w:pPr>
            <w:r w:rsidDel="00000000" w:rsidR="00000000" w:rsidRPr="00000000">
              <w:rPr>
                <w:sz w:val="20"/>
                <w:szCs w:val="20"/>
                <w:rtl w:val="0"/>
              </w:rPr>
              <w:t xml:space="preserve">pulmonary disease, Chronic liver disease, Neutropenia, Renal disease, and Diabetes</w:t>
            </w:r>
            <w:r w:rsidDel="00000000" w:rsidR="00000000" w:rsidRPr="00000000">
              <w:rPr>
                <w:rtl w:val="0"/>
              </w:rPr>
            </w:r>
          </w:p>
        </w:tc>
        <w:tc>
          <w:tcPr>
            <w:vAlign w:val="center"/>
          </w:tcPr>
          <w:p w:rsidR="00000000" w:rsidDel="00000000" w:rsidP="00000000" w:rsidRDefault="00000000" w:rsidRPr="00000000" w14:paraId="00000197">
            <w:pPr>
              <w:spacing w:after="0" w:before="0" w:lineRule="auto"/>
              <w:jc w:val="center"/>
              <w:rPr>
                <w:color w:val="000000"/>
                <w:sz w:val="20"/>
                <w:szCs w:val="20"/>
              </w:rPr>
            </w:pPr>
            <w:r w:rsidDel="00000000" w:rsidR="00000000" w:rsidRPr="00000000">
              <w:rPr>
                <w:sz w:val="20"/>
                <w:szCs w:val="20"/>
                <w:rtl w:val="0"/>
              </w:rPr>
              <w:t xml:space="preserve">ICD-9 and 10</w:t>
            </w:r>
            <w:r w:rsidDel="00000000" w:rsidR="00000000" w:rsidRPr="00000000">
              <w:rPr>
                <w:rtl w:val="0"/>
              </w:rPr>
            </w:r>
          </w:p>
        </w:tc>
        <w:tc>
          <w:tcPr>
            <w:vAlign w:val="center"/>
          </w:tcPr>
          <w:p w:rsidR="00000000" w:rsidDel="00000000" w:rsidP="00000000" w:rsidRDefault="00000000" w:rsidRPr="00000000" w14:paraId="00000198">
            <w:pPr>
              <w:jc w:val="center"/>
              <w:rPr>
                <w:sz w:val="20"/>
                <w:szCs w:val="20"/>
              </w:rPr>
            </w:pPr>
            <w:r w:rsidDel="00000000" w:rsidR="00000000" w:rsidRPr="00000000">
              <w:rPr>
                <w:sz w:val="20"/>
                <w:szCs w:val="20"/>
                <w:rtl w:val="0"/>
              </w:rPr>
              <w:t xml:space="preserve">Inpatient medical services diagnosis codes</w:t>
            </w:r>
          </w:p>
          <w:p w:rsidR="00000000" w:rsidDel="00000000" w:rsidP="00000000" w:rsidRDefault="00000000" w:rsidRPr="00000000" w14:paraId="00000199">
            <w:pPr>
              <w:spacing w:after="0" w:before="0" w:lineRule="auto"/>
              <w:jc w:val="center"/>
              <w:rPr>
                <w:color w:val="000000"/>
                <w:sz w:val="20"/>
                <w:szCs w:val="20"/>
              </w:rPr>
            </w:pPr>
            <w:r w:rsidDel="00000000" w:rsidR="00000000" w:rsidRPr="00000000">
              <w:rPr>
                <w:sz w:val="20"/>
                <w:szCs w:val="20"/>
                <w:rtl w:val="0"/>
              </w:rPr>
              <w:t xml:space="preserve">in any position for all types of infections</w:t>
            </w:r>
            <w:r w:rsidDel="00000000" w:rsidR="00000000" w:rsidRPr="00000000">
              <w:rPr>
                <w:rtl w:val="0"/>
              </w:rPr>
            </w:r>
          </w:p>
        </w:tc>
      </w:tr>
      <w:tr>
        <w:trPr>
          <w:cantSplit w:val="0"/>
          <w:trHeight w:val="2550" w:hRule="atLeast"/>
          <w:tblHeader w:val="0"/>
        </w:trPr>
        <w:tc>
          <w:tcPr>
            <w:shd w:fill="auto" w:val="clear"/>
            <w:vAlign w:val="center"/>
          </w:tcPr>
          <w:p w:rsidR="00000000" w:rsidDel="00000000" w:rsidP="00000000" w:rsidRDefault="00000000" w:rsidRPr="00000000" w14:paraId="0000019A">
            <w:pPr>
              <w:spacing w:after="0" w:before="0" w:lineRule="auto"/>
              <w:jc w:val="center"/>
              <w:rPr>
                <w:color w:val="000000"/>
                <w:sz w:val="20"/>
                <w:szCs w:val="20"/>
              </w:rPr>
            </w:pPr>
            <w:r w:rsidDel="00000000" w:rsidR="00000000" w:rsidRPr="00000000">
              <w:rPr>
                <w:color w:val="000000"/>
                <w:sz w:val="20"/>
                <w:szCs w:val="20"/>
                <w:rtl w:val="0"/>
              </w:rPr>
              <w:t xml:space="preserve">Pawar</w:t>
            </w:r>
          </w:p>
        </w:tc>
        <w:tc>
          <w:tcPr>
            <w:shd w:fill="auto" w:val="clear"/>
            <w:vAlign w:val="center"/>
          </w:tcPr>
          <w:p w:rsidR="00000000" w:rsidDel="00000000" w:rsidP="00000000" w:rsidRDefault="00000000" w:rsidRPr="00000000" w14:paraId="0000019B">
            <w:pPr>
              <w:spacing w:after="0" w:before="0" w:lineRule="auto"/>
              <w:jc w:val="center"/>
              <w:rPr>
                <w:color w:val="000000"/>
                <w:sz w:val="20"/>
                <w:szCs w:val="20"/>
              </w:rPr>
            </w:pPr>
            <w:r w:rsidDel="00000000" w:rsidR="00000000" w:rsidRPr="00000000">
              <w:rPr>
                <w:color w:val="000000"/>
                <w:sz w:val="20"/>
                <w:szCs w:val="20"/>
                <w:rtl w:val="0"/>
              </w:rPr>
              <w:t xml:space="preserve">2019</w:t>
            </w:r>
          </w:p>
        </w:tc>
        <w:tc>
          <w:tcPr>
            <w:shd w:fill="auto" w:val="clear"/>
            <w:vAlign w:val="center"/>
          </w:tcPr>
          <w:p w:rsidR="00000000" w:rsidDel="00000000" w:rsidP="00000000" w:rsidRDefault="00000000" w:rsidRPr="00000000" w14:paraId="0000019C">
            <w:pPr>
              <w:spacing w:after="0" w:before="0" w:lineRule="auto"/>
              <w:jc w:val="center"/>
              <w:rPr>
                <w:color w:val="000000"/>
                <w:sz w:val="20"/>
                <w:szCs w:val="20"/>
              </w:rPr>
            </w:pPr>
            <w:r w:rsidDel="00000000" w:rsidR="00000000" w:rsidRPr="00000000">
              <w:rPr>
                <w:color w:val="000000"/>
                <w:sz w:val="20"/>
                <w:szCs w:val="20"/>
                <w:rtl w:val="0"/>
              </w:rPr>
              <w:t xml:space="preserve">Retrospective cohort</w:t>
            </w:r>
          </w:p>
        </w:tc>
        <w:tc>
          <w:tcPr>
            <w:shd w:fill="auto" w:val="clear"/>
            <w:vAlign w:val="center"/>
          </w:tcPr>
          <w:p w:rsidR="00000000" w:rsidDel="00000000" w:rsidP="00000000" w:rsidRDefault="00000000" w:rsidRPr="00000000" w14:paraId="0000019D">
            <w:pPr>
              <w:spacing w:after="0" w:before="0" w:lineRule="auto"/>
              <w:jc w:val="center"/>
              <w:rPr>
                <w:color w:val="000000"/>
                <w:sz w:val="20"/>
                <w:szCs w:val="20"/>
              </w:rPr>
            </w:pPr>
            <w:r w:rsidDel="00000000" w:rsidR="00000000" w:rsidRPr="00000000">
              <w:rPr>
                <w:color w:val="000000"/>
                <w:sz w:val="20"/>
                <w:szCs w:val="20"/>
                <w:rtl w:val="0"/>
              </w:rPr>
              <w:t xml:space="preserve">Medicare (2010-2015), IMS PharMetrics (2011-2015), and Truven MarketScan (2011-2015)</w:t>
            </w:r>
          </w:p>
        </w:tc>
        <w:tc>
          <w:tcPr>
            <w:shd w:fill="auto" w:val="clear"/>
            <w:vAlign w:val="center"/>
          </w:tcPr>
          <w:p w:rsidR="00000000" w:rsidDel="00000000" w:rsidP="00000000" w:rsidRDefault="00000000" w:rsidRPr="00000000" w14:paraId="0000019E">
            <w:pPr>
              <w:spacing w:after="0" w:before="0" w:lineRule="auto"/>
              <w:jc w:val="center"/>
              <w:rPr>
                <w:color w:val="000000"/>
                <w:sz w:val="20"/>
                <w:szCs w:val="20"/>
              </w:rPr>
            </w:pPr>
            <w:r w:rsidDel="00000000" w:rsidR="00000000" w:rsidRPr="00000000">
              <w:rPr>
                <w:color w:val="000000"/>
                <w:sz w:val="20"/>
                <w:szCs w:val="20"/>
                <w:u w:val="single"/>
                <w:rtl w:val="0"/>
              </w:rPr>
              <w:t xml:space="preserve">Tocilizumab</w:t>
            </w:r>
            <w:r w:rsidDel="00000000" w:rsidR="00000000" w:rsidRPr="00000000">
              <w:rPr>
                <w:color w:val="000000"/>
                <w:sz w:val="20"/>
                <w:szCs w:val="20"/>
                <w:rtl w:val="0"/>
              </w:rPr>
              <w:t xml:space="preserve"> </w:t>
              <w:br w:type="textWrapping"/>
              <w:t xml:space="preserve">Medicare:</w:t>
              <w:br w:type="textWrapping"/>
              <w:t xml:space="preserve">(5,827) </w:t>
              <w:br w:type="textWrapping"/>
              <w:t xml:space="preserve">IMS PharMetrics:</w:t>
              <w:br w:type="textWrapping"/>
              <w:t xml:space="preserve">(4,642)</w:t>
              <w:br w:type="textWrapping"/>
              <w:t xml:space="preserve">Truven ‘MarketScan’TnFi:</w:t>
              <w:br w:type="textWrapping"/>
              <w:t xml:space="preserve">(5,605)</w:t>
            </w:r>
          </w:p>
        </w:tc>
        <w:tc>
          <w:tcPr>
            <w:shd w:fill="auto" w:val="clear"/>
            <w:vAlign w:val="center"/>
          </w:tcPr>
          <w:p w:rsidR="00000000" w:rsidDel="00000000" w:rsidP="00000000" w:rsidRDefault="00000000" w:rsidRPr="00000000" w14:paraId="0000019F">
            <w:pPr>
              <w:spacing w:after="0" w:before="0" w:lineRule="auto"/>
              <w:jc w:val="center"/>
              <w:rPr>
                <w:color w:val="000000"/>
                <w:sz w:val="20"/>
                <w:szCs w:val="20"/>
              </w:rPr>
            </w:pPr>
            <w:r w:rsidDel="00000000" w:rsidR="00000000" w:rsidRPr="00000000">
              <w:rPr>
                <w:color w:val="000000"/>
                <w:sz w:val="20"/>
                <w:szCs w:val="20"/>
                <w:u w:val="single"/>
                <w:rtl w:val="0"/>
              </w:rPr>
              <w:t xml:space="preserve">Abatacept </w:t>
            </w:r>
            <w:r w:rsidDel="00000000" w:rsidR="00000000" w:rsidRPr="00000000">
              <w:rPr>
                <w:color w:val="000000"/>
                <w:sz w:val="20"/>
                <w:szCs w:val="20"/>
                <w:rtl w:val="0"/>
              </w:rPr>
              <w:br w:type="textWrapping"/>
              <w:t xml:space="preserve">Medicare:</w:t>
              <w:br w:type="textWrapping"/>
              <w:t xml:space="preserve">(10,716)</w:t>
              <w:br w:type="textWrapping"/>
              <w:br w:type="textWrapping"/>
              <w:t xml:space="preserve">IMS ‘PharMetrics’:</w:t>
              <w:br w:type="textWrapping"/>
              <w:t xml:space="preserve">(10,333)</w:t>
              <w:br w:type="textWrapping"/>
              <w:br w:type="textWrapping"/>
              <w:t xml:space="preserve">Truven ‘MarketScan’TnFi:</w:t>
              <w:br w:type="textWrapping"/>
              <w:t xml:space="preserve">(12,060)</w:t>
            </w:r>
          </w:p>
        </w:tc>
        <w:tc>
          <w:tcPr>
            <w:shd w:fill="auto" w:val="clear"/>
            <w:vAlign w:val="center"/>
          </w:tcPr>
          <w:p w:rsidR="00000000" w:rsidDel="00000000" w:rsidP="00000000" w:rsidRDefault="00000000" w:rsidRPr="00000000" w14:paraId="000001A0">
            <w:pPr>
              <w:spacing w:after="0" w:before="0" w:lineRule="auto"/>
              <w:jc w:val="center"/>
              <w:rPr>
                <w:color w:val="000000"/>
                <w:sz w:val="20"/>
                <w:szCs w:val="20"/>
              </w:rPr>
            </w:pPr>
            <w:r w:rsidDel="00000000" w:rsidR="00000000" w:rsidRPr="00000000">
              <w:rPr>
                <w:color w:val="000000"/>
                <w:sz w:val="20"/>
                <w:szCs w:val="20"/>
                <w:rtl w:val="0"/>
              </w:rPr>
              <w:t xml:space="preserve">Medicare: 72.0 </w:t>
              <w:br w:type="textWrapping"/>
              <w:t xml:space="preserve">IMS: 51.0 </w:t>
              <w:br w:type="textWrapping"/>
              <w:t xml:space="preserve">MarketScan: 53.0</w:t>
            </w:r>
          </w:p>
        </w:tc>
        <w:tc>
          <w:tcPr>
            <w:shd w:fill="auto" w:val="clear"/>
            <w:vAlign w:val="center"/>
          </w:tcPr>
          <w:p w:rsidR="00000000" w:rsidDel="00000000" w:rsidP="00000000" w:rsidRDefault="00000000" w:rsidRPr="00000000" w14:paraId="000001A1">
            <w:pPr>
              <w:spacing w:after="0" w:before="0" w:lineRule="auto"/>
              <w:jc w:val="center"/>
              <w:rPr>
                <w:color w:val="000000"/>
                <w:sz w:val="20"/>
                <w:szCs w:val="20"/>
              </w:rPr>
            </w:pPr>
            <w:r w:rsidDel="00000000" w:rsidR="00000000" w:rsidRPr="00000000">
              <w:rPr>
                <w:color w:val="000000"/>
                <w:sz w:val="20"/>
                <w:szCs w:val="20"/>
                <w:rtl w:val="0"/>
              </w:rPr>
              <w:t xml:space="preserve">Index year, demographics, comorbid conditions, combined comorbidity index, claim-based index of RA severity index, use of DMARDs and other prescription drugs, vaccination, and history of any invasive procedures or surgery; Markers of healthcare utilisation intensity, including receipt of cancer screening tests and physician orders of outpatient laboratory tests for acute phase reactants.</w:t>
            </w:r>
          </w:p>
        </w:tc>
        <w:tc>
          <w:tcPr>
            <w:vAlign w:val="center"/>
          </w:tcPr>
          <w:p w:rsidR="00000000" w:rsidDel="00000000" w:rsidP="00000000" w:rsidRDefault="00000000" w:rsidRPr="00000000" w14:paraId="000001A2">
            <w:pPr>
              <w:jc w:val="center"/>
              <w:rPr>
                <w:sz w:val="20"/>
                <w:szCs w:val="20"/>
              </w:rPr>
            </w:pPr>
            <w:r w:rsidDel="00000000" w:rsidR="00000000" w:rsidRPr="00000000">
              <w:rPr>
                <w:sz w:val="20"/>
                <w:szCs w:val="20"/>
                <w:rtl w:val="0"/>
              </w:rPr>
              <w:t xml:space="preserve">Atrial fibrillation, Coronary artery disease, Heart failure, Stroke/transient ischaemic attack, peripheral vascular disease,</w:t>
            </w:r>
          </w:p>
          <w:p w:rsidR="00000000" w:rsidDel="00000000" w:rsidP="00000000" w:rsidRDefault="00000000" w:rsidRPr="00000000" w14:paraId="000001A3">
            <w:pPr>
              <w:jc w:val="center"/>
              <w:rPr>
                <w:sz w:val="20"/>
                <w:szCs w:val="20"/>
              </w:rPr>
            </w:pPr>
            <w:r w:rsidDel="00000000" w:rsidR="00000000" w:rsidRPr="00000000">
              <w:rPr>
                <w:sz w:val="20"/>
                <w:szCs w:val="20"/>
                <w:rtl w:val="0"/>
              </w:rPr>
              <w:t xml:space="preserve">Hypertension, Diabetes, Hyperlipidaemia, chronic</w:t>
            </w:r>
          </w:p>
          <w:p w:rsidR="00000000" w:rsidDel="00000000" w:rsidP="00000000" w:rsidRDefault="00000000" w:rsidRPr="00000000" w14:paraId="000001A4">
            <w:pPr>
              <w:spacing w:after="0" w:before="0" w:lineRule="auto"/>
              <w:jc w:val="center"/>
              <w:rPr>
                <w:color w:val="000000"/>
                <w:sz w:val="20"/>
                <w:szCs w:val="20"/>
              </w:rPr>
            </w:pPr>
            <w:r w:rsidDel="00000000" w:rsidR="00000000" w:rsidRPr="00000000">
              <w:rPr>
                <w:sz w:val="20"/>
                <w:szCs w:val="20"/>
                <w:rtl w:val="0"/>
              </w:rPr>
              <w:t xml:space="preserve">kidney disease</w:t>
            </w:r>
            <w:r w:rsidDel="00000000" w:rsidR="00000000" w:rsidRPr="00000000">
              <w:rPr>
                <w:rtl w:val="0"/>
              </w:rPr>
            </w:r>
          </w:p>
        </w:tc>
        <w:tc>
          <w:tcPr>
            <w:vAlign w:val="center"/>
          </w:tcPr>
          <w:p w:rsidR="00000000" w:rsidDel="00000000" w:rsidP="00000000" w:rsidRDefault="00000000" w:rsidRPr="00000000" w14:paraId="000001A5">
            <w:pPr>
              <w:spacing w:after="0" w:before="0" w:lineRule="auto"/>
              <w:jc w:val="center"/>
              <w:rPr>
                <w:color w:val="000000"/>
                <w:sz w:val="20"/>
                <w:szCs w:val="20"/>
              </w:rPr>
            </w:pPr>
            <w:r w:rsidDel="00000000" w:rsidR="00000000" w:rsidRPr="00000000">
              <w:rPr>
                <w:sz w:val="20"/>
                <w:szCs w:val="20"/>
                <w:rtl w:val="0"/>
              </w:rPr>
              <w:t xml:space="preserve">ICD-9 and 10</w:t>
            </w:r>
            <w:r w:rsidDel="00000000" w:rsidR="00000000" w:rsidRPr="00000000">
              <w:rPr>
                <w:rtl w:val="0"/>
              </w:rPr>
            </w:r>
          </w:p>
        </w:tc>
        <w:tc>
          <w:tcPr>
            <w:vAlign w:val="center"/>
          </w:tcPr>
          <w:p w:rsidR="00000000" w:rsidDel="00000000" w:rsidP="00000000" w:rsidRDefault="00000000" w:rsidRPr="00000000" w14:paraId="000001A6">
            <w:pPr>
              <w:jc w:val="center"/>
              <w:rPr>
                <w:sz w:val="20"/>
                <w:szCs w:val="20"/>
              </w:rPr>
            </w:pPr>
            <w:r w:rsidDel="00000000" w:rsidR="00000000" w:rsidRPr="00000000">
              <w:rPr>
                <w:sz w:val="20"/>
                <w:szCs w:val="20"/>
                <w:rtl w:val="0"/>
              </w:rPr>
              <w:t xml:space="preserve">Principal discharge diagnosis</w:t>
            </w:r>
          </w:p>
          <w:p w:rsidR="00000000" w:rsidDel="00000000" w:rsidP="00000000" w:rsidRDefault="00000000" w:rsidRPr="00000000" w14:paraId="000001A7">
            <w:pPr>
              <w:spacing w:after="0" w:before="0" w:lineRule="auto"/>
              <w:jc w:val="center"/>
              <w:rPr>
                <w:color w:val="000000"/>
                <w:sz w:val="20"/>
                <w:szCs w:val="20"/>
              </w:rPr>
            </w:pPr>
            <w:r w:rsidDel="00000000" w:rsidR="00000000" w:rsidRPr="00000000">
              <w:rPr>
                <w:rtl w:val="0"/>
              </w:rPr>
            </w:r>
          </w:p>
        </w:tc>
      </w:tr>
      <w:tr>
        <w:trPr>
          <w:cantSplit w:val="0"/>
          <w:trHeight w:val="1275" w:hRule="atLeast"/>
          <w:tblHeader w:val="0"/>
        </w:trPr>
        <w:tc>
          <w:tcPr>
            <w:shd w:fill="auto" w:val="clear"/>
            <w:vAlign w:val="center"/>
          </w:tcPr>
          <w:p w:rsidR="00000000" w:rsidDel="00000000" w:rsidP="00000000" w:rsidRDefault="00000000" w:rsidRPr="00000000" w14:paraId="000001A8">
            <w:pPr>
              <w:spacing w:after="0" w:before="0" w:lineRule="auto"/>
              <w:jc w:val="center"/>
              <w:rPr>
                <w:color w:val="000000"/>
                <w:sz w:val="20"/>
                <w:szCs w:val="20"/>
              </w:rPr>
            </w:pPr>
            <w:r w:rsidDel="00000000" w:rsidR="00000000" w:rsidRPr="00000000">
              <w:rPr>
                <w:color w:val="000000"/>
                <w:sz w:val="20"/>
                <w:szCs w:val="20"/>
                <w:rtl w:val="0"/>
              </w:rPr>
              <w:t xml:space="preserve">Pawar</w:t>
            </w:r>
          </w:p>
        </w:tc>
        <w:tc>
          <w:tcPr>
            <w:shd w:fill="auto" w:val="clear"/>
            <w:vAlign w:val="center"/>
          </w:tcPr>
          <w:p w:rsidR="00000000" w:rsidDel="00000000" w:rsidP="00000000" w:rsidRDefault="00000000" w:rsidRPr="00000000" w14:paraId="000001A9">
            <w:pPr>
              <w:spacing w:after="0" w:before="0" w:lineRule="auto"/>
              <w:jc w:val="center"/>
              <w:rPr>
                <w:color w:val="000000"/>
                <w:sz w:val="20"/>
                <w:szCs w:val="20"/>
              </w:rPr>
            </w:pPr>
            <w:r w:rsidDel="00000000" w:rsidR="00000000" w:rsidRPr="00000000">
              <w:rPr>
                <w:color w:val="000000"/>
                <w:sz w:val="20"/>
                <w:szCs w:val="20"/>
                <w:rtl w:val="0"/>
              </w:rPr>
              <w:t xml:space="preserve">2020</w:t>
            </w:r>
          </w:p>
        </w:tc>
        <w:tc>
          <w:tcPr>
            <w:shd w:fill="auto" w:val="clear"/>
            <w:vAlign w:val="center"/>
          </w:tcPr>
          <w:p w:rsidR="00000000" w:rsidDel="00000000" w:rsidP="00000000" w:rsidRDefault="00000000" w:rsidRPr="00000000" w14:paraId="000001AA">
            <w:pPr>
              <w:spacing w:after="0" w:before="0" w:lineRule="auto"/>
              <w:jc w:val="center"/>
              <w:rPr>
                <w:color w:val="000000"/>
                <w:sz w:val="20"/>
                <w:szCs w:val="20"/>
              </w:rPr>
            </w:pPr>
            <w:r w:rsidDel="00000000" w:rsidR="00000000" w:rsidRPr="00000000">
              <w:rPr>
                <w:color w:val="000000"/>
                <w:sz w:val="20"/>
                <w:szCs w:val="20"/>
                <w:rtl w:val="0"/>
              </w:rPr>
              <w:t xml:space="preserve">Retrospective cohort</w:t>
            </w:r>
          </w:p>
        </w:tc>
        <w:tc>
          <w:tcPr>
            <w:shd w:fill="auto" w:val="clear"/>
            <w:vAlign w:val="center"/>
          </w:tcPr>
          <w:p w:rsidR="00000000" w:rsidDel="00000000" w:rsidP="00000000" w:rsidRDefault="00000000" w:rsidRPr="00000000" w14:paraId="000001AB">
            <w:pPr>
              <w:spacing w:after="0" w:before="0" w:lineRule="auto"/>
              <w:jc w:val="center"/>
              <w:rPr>
                <w:color w:val="000000"/>
                <w:sz w:val="20"/>
                <w:szCs w:val="20"/>
              </w:rPr>
            </w:pPr>
            <w:r w:rsidDel="00000000" w:rsidR="00000000" w:rsidRPr="00000000">
              <w:rPr>
                <w:color w:val="000000"/>
                <w:sz w:val="20"/>
                <w:szCs w:val="20"/>
                <w:rtl w:val="0"/>
              </w:rPr>
              <w:t xml:space="preserve">Medicare (2012-2015)</w:t>
              <w:br w:type="textWrapping"/>
              <w:t xml:space="preserve">Optum Clinformatics (2012-2018)</w:t>
              <w:br w:type="textWrapping"/>
              <w:t xml:space="preserve">IBM MarketScan (2012-2017)</w:t>
            </w:r>
          </w:p>
        </w:tc>
        <w:tc>
          <w:tcPr>
            <w:shd w:fill="auto" w:val="clear"/>
            <w:vAlign w:val="center"/>
          </w:tcPr>
          <w:p w:rsidR="00000000" w:rsidDel="00000000" w:rsidP="00000000" w:rsidRDefault="00000000" w:rsidRPr="00000000" w14:paraId="000001AC">
            <w:pPr>
              <w:spacing w:after="0" w:before="0" w:lineRule="auto"/>
              <w:jc w:val="center"/>
              <w:rPr>
                <w:color w:val="000000"/>
                <w:sz w:val="20"/>
                <w:szCs w:val="20"/>
              </w:rPr>
            </w:pPr>
            <w:r w:rsidDel="00000000" w:rsidR="00000000" w:rsidRPr="00000000">
              <w:rPr>
                <w:color w:val="000000"/>
                <w:sz w:val="20"/>
                <w:szCs w:val="20"/>
                <w:rtl w:val="0"/>
              </w:rPr>
              <w:t xml:space="preserve">Tofacitinib</w:t>
              <w:br w:type="textWrapping"/>
              <w:t xml:space="preserve">(6,278)</w:t>
            </w:r>
          </w:p>
        </w:tc>
        <w:tc>
          <w:tcPr>
            <w:shd w:fill="auto" w:val="clear"/>
            <w:vAlign w:val="center"/>
          </w:tcPr>
          <w:p w:rsidR="00000000" w:rsidDel="00000000" w:rsidP="00000000" w:rsidRDefault="00000000" w:rsidRPr="00000000" w14:paraId="000001AD">
            <w:pPr>
              <w:spacing w:after="0" w:before="0" w:lineRule="auto"/>
              <w:jc w:val="center"/>
              <w:rPr>
                <w:color w:val="000000"/>
                <w:sz w:val="20"/>
                <w:szCs w:val="20"/>
              </w:rPr>
            </w:pPr>
            <w:r w:rsidDel="00000000" w:rsidR="00000000" w:rsidRPr="00000000">
              <w:rPr>
                <w:color w:val="000000"/>
                <w:sz w:val="20"/>
                <w:szCs w:val="20"/>
                <w:rtl w:val="0"/>
              </w:rPr>
              <w:t xml:space="preserve">bDMARDs</w:t>
              <w:br w:type="textWrapping"/>
              <w:t xml:space="preserve">(124,440)</w:t>
            </w:r>
          </w:p>
        </w:tc>
        <w:tc>
          <w:tcPr>
            <w:shd w:fill="auto" w:val="clear"/>
            <w:vAlign w:val="center"/>
          </w:tcPr>
          <w:p w:rsidR="00000000" w:rsidDel="00000000" w:rsidP="00000000" w:rsidRDefault="00000000" w:rsidRPr="00000000" w14:paraId="000001AE">
            <w:pPr>
              <w:spacing w:after="0" w:before="0" w:lineRule="auto"/>
              <w:jc w:val="center"/>
              <w:rPr>
                <w:color w:val="000000"/>
                <w:sz w:val="20"/>
                <w:szCs w:val="20"/>
              </w:rPr>
            </w:pPr>
            <w:r w:rsidDel="00000000" w:rsidR="00000000" w:rsidRPr="00000000">
              <w:rPr>
                <w:color w:val="000000"/>
                <w:sz w:val="20"/>
                <w:szCs w:val="20"/>
                <w:rtl w:val="0"/>
              </w:rPr>
              <w:t xml:space="preserve">Medicare: 72.0</w:t>
              <w:br w:type="textWrapping"/>
              <w:t xml:space="preserve">Optum: 54.0</w:t>
              <w:br w:type="textWrapping"/>
              <w:t xml:space="preserve">MarketScan: 52.0</w:t>
            </w:r>
          </w:p>
        </w:tc>
        <w:tc>
          <w:tcPr>
            <w:shd w:fill="auto" w:val="clear"/>
            <w:vAlign w:val="center"/>
          </w:tcPr>
          <w:p w:rsidR="00000000" w:rsidDel="00000000" w:rsidP="00000000" w:rsidRDefault="00000000" w:rsidRPr="00000000" w14:paraId="000001AF">
            <w:pPr>
              <w:spacing w:after="0" w:before="0" w:lineRule="auto"/>
              <w:jc w:val="center"/>
              <w:rPr>
                <w:color w:val="000000"/>
                <w:sz w:val="20"/>
                <w:szCs w:val="20"/>
              </w:rPr>
            </w:pPr>
            <w:r w:rsidDel="00000000" w:rsidR="00000000" w:rsidRPr="00000000">
              <w:rPr>
                <w:color w:val="000000"/>
                <w:sz w:val="20"/>
                <w:szCs w:val="20"/>
                <w:rtl w:val="0"/>
              </w:rPr>
              <w:t xml:space="preserve">-</w:t>
            </w:r>
          </w:p>
        </w:tc>
        <w:tc>
          <w:tcPr>
            <w:vAlign w:val="center"/>
          </w:tcPr>
          <w:p w:rsidR="00000000" w:rsidDel="00000000" w:rsidP="00000000" w:rsidRDefault="00000000" w:rsidRPr="00000000" w14:paraId="000001B0">
            <w:pPr>
              <w:jc w:val="center"/>
              <w:rPr>
                <w:sz w:val="20"/>
                <w:szCs w:val="20"/>
              </w:rPr>
            </w:pPr>
            <w:r w:rsidDel="00000000" w:rsidR="00000000" w:rsidRPr="00000000">
              <w:rPr>
                <w:sz w:val="20"/>
                <w:szCs w:val="20"/>
                <w:rtl w:val="0"/>
              </w:rPr>
              <w:t xml:space="preserve">Coronary artery disease, Hypertension, Diabetes, Hyperlipidaemia,  Heart failure, Renal dialysis or chronic</w:t>
            </w:r>
          </w:p>
          <w:p w:rsidR="00000000" w:rsidDel="00000000" w:rsidP="00000000" w:rsidRDefault="00000000" w:rsidRPr="00000000" w14:paraId="000001B1">
            <w:pPr>
              <w:jc w:val="center"/>
              <w:rPr>
                <w:sz w:val="20"/>
                <w:szCs w:val="20"/>
              </w:rPr>
            </w:pPr>
            <w:r w:rsidDel="00000000" w:rsidR="00000000" w:rsidRPr="00000000">
              <w:rPr>
                <w:sz w:val="20"/>
                <w:szCs w:val="20"/>
                <w:rtl w:val="0"/>
              </w:rPr>
              <w:t xml:space="preserve">kidney disease, Chronic liver disease,</w:t>
            </w:r>
          </w:p>
          <w:p w:rsidR="00000000" w:rsidDel="00000000" w:rsidP="00000000" w:rsidRDefault="00000000" w:rsidRPr="00000000" w14:paraId="000001B2">
            <w:pPr>
              <w:jc w:val="center"/>
              <w:rPr>
                <w:sz w:val="20"/>
                <w:szCs w:val="20"/>
              </w:rPr>
            </w:pPr>
            <w:r w:rsidDel="00000000" w:rsidR="00000000" w:rsidRPr="00000000">
              <w:rPr>
                <w:sz w:val="20"/>
                <w:szCs w:val="20"/>
                <w:rtl w:val="0"/>
              </w:rPr>
              <w:t xml:space="preserve">Asthma, and Chronic obstructive</w:t>
            </w:r>
          </w:p>
          <w:p w:rsidR="00000000" w:rsidDel="00000000" w:rsidP="00000000" w:rsidRDefault="00000000" w:rsidRPr="00000000" w14:paraId="000001B3">
            <w:pPr>
              <w:spacing w:after="0" w:before="0" w:lineRule="auto"/>
              <w:jc w:val="center"/>
              <w:rPr>
                <w:color w:val="000000"/>
                <w:sz w:val="20"/>
                <w:szCs w:val="20"/>
              </w:rPr>
            </w:pPr>
            <w:r w:rsidDel="00000000" w:rsidR="00000000" w:rsidRPr="00000000">
              <w:rPr>
                <w:sz w:val="20"/>
                <w:szCs w:val="20"/>
                <w:rtl w:val="0"/>
              </w:rPr>
              <w:t xml:space="preserve">pulmonary disease</w:t>
            </w:r>
            <w:r w:rsidDel="00000000" w:rsidR="00000000" w:rsidRPr="00000000">
              <w:rPr>
                <w:rtl w:val="0"/>
              </w:rPr>
            </w:r>
          </w:p>
        </w:tc>
        <w:tc>
          <w:tcPr>
            <w:vAlign w:val="center"/>
          </w:tcPr>
          <w:p w:rsidR="00000000" w:rsidDel="00000000" w:rsidP="00000000" w:rsidRDefault="00000000" w:rsidRPr="00000000" w14:paraId="000001B4">
            <w:pPr>
              <w:spacing w:after="0" w:before="0" w:lineRule="auto"/>
              <w:jc w:val="center"/>
              <w:rPr>
                <w:color w:val="000000"/>
                <w:sz w:val="20"/>
                <w:szCs w:val="20"/>
              </w:rPr>
            </w:pPr>
            <w:r w:rsidDel="00000000" w:rsidR="00000000" w:rsidRPr="00000000">
              <w:rPr>
                <w:sz w:val="20"/>
                <w:szCs w:val="20"/>
                <w:rtl w:val="0"/>
              </w:rPr>
              <w:t xml:space="preserve">ICD-9 and 10</w:t>
            </w:r>
            <w:r w:rsidDel="00000000" w:rsidR="00000000" w:rsidRPr="00000000">
              <w:rPr>
                <w:rtl w:val="0"/>
              </w:rPr>
            </w:r>
          </w:p>
        </w:tc>
        <w:tc>
          <w:tcPr>
            <w:vAlign w:val="center"/>
          </w:tcPr>
          <w:p w:rsidR="00000000" w:rsidDel="00000000" w:rsidP="00000000" w:rsidRDefault="00000000" w:rsidRPr="00000000" w14:paraId="000001B5">
            <w:pPr>
              <w:spacing w:after="0" w:before="0" w:lineRule="auto"/>
              <w:jc w:val="center"/>
              <w:rPr>
                <w:color w:val="000000"/>
                <w:sz w:val="20"/>
                <w:szCs w:val="20"/>
              </w:rPr>
            </w:pPr>
            <w:r w:rsidDel="00000000" w:rsidR="00000000" w:rsidRPr="00000000">
              <w:rPr>
                <w:sz w:val="20"/>
                <w:szCs w:val="20"/>
                <w:rtl w:val="0"/>
              </w:rPr>
              <w:t xml:space="preserve">ICD-9 and 10</w:t>
            </w:r>
            <w:r w:rsidDel="00000000" w:rsidR="00000000" w:rsidRPr="00000000">
              <w:rPr>
                <w:rtl w:val="0"/>
              </w:rPr>
            </w:r>
          </w:p>
        </w:tc>
      </w:tr>
      <w:tr>
        <w:trPr>
          <w:cantSplit w:val="0"/>
          <w:trHeight w:val="510" w:hRule="atLeast"/>
          <w:tblHeader w:val="0"/>
        </w:trPr>
        <w:tc>
          <w:tcPr>
            <w:shd w:fill="auto" w:val="clear"/>
            <w:vAlign w:val="center"/>
          </w:tcPr>
          <w:p w:rsidR="00000000" w:rsidDel="00000000" w:rsidP="00000000" w:rsidRDefault="00000000" w:rsidRPr="00000000" w14:paraId="000001B6">
            <w:pPr>
              <w:spacing w:after="0" w:before="0" w:lineRule="auto"/>
              <w:jc w:val="center"/>
              <w:rPr>
                <w:color w:val="000000"/>
                <w:sz w:val="20"/>
                <w:szCs w:val="20"/>
              </w:rPr>
            </w:pPr>
            <w:r w:rsidDel="00000000" w:rsidR="00000000" w:rsidRPr="00000000">
              <w:rPr>
                <w:color w:val="000000"/>
                <w:sz w:val="20"/>
                <w:szCs w:val="20"/>
                <w:rtl w:val="0"/>
              </w:rPr>
              <w:t xml:space="preserve">Pettipher and Benitha</w:t>
            </w:r>
          </w:p>
        </w:tc>
        <w:tc>
          <w:tcPr>
            <w:shd w:fill="auto" w:val="clear"/>
            <w:vAlign w:val="center"/>
          </w:tcPr>
          <w:p w:rsidR="00000000" w:rsidDel="00000000" w:rsidP="00000000" w:rsidRDefault="00000000" w:rsidRPr="00000000" w14:paraId="000001B7">
            <w:pPr>
              <w:spacing w:after="0" w:before="0" w:lineRule="auto"/>
              <w:jc w:val="center"/>
              <w:rPr>
                <w:color w:val="000000"/>
                <w:sz w:val="20"/>
                <w:szCs w:val="20"/>
              </w:rPr>
            </w:pPr>
            <w:r w:rsidDel="00000000" w:rsidR="00000000" w:rsidRPr="00000000">
              <w:rPr>
                <w:color w:val="000000"/>
                <w:sz w:val="20"/>
                <w:szCs w:val="20"/>
                <w:rtl w:val="0"/>
              </w:rPr>
              <w:t xml:space="preserve">2019</w:t>
            </w:r>
          </w:p>
        </w:tc>
        <w:tc>
          <w:tcPr>
            <w:shd w:fill="auto" w:val="clear"/>
            <w:vAlign w:val="center"/>
          </w:tcPr>
          <w:p w:rsidR="00000000" w:rsidDel="00000000" w:rsidP="00000000" w:rsidRDefault="00000000" w:rsidRPr="00000000" w14:paraId="000001B8">
            <w:pPr>
              <w:spacing w:after="0" w:before="0" w:lineRule="auto"/>
              <w:jc w:val="center"/>
              <w:rPr>
                <w:color w:val="000000"/>
                <w:sz w:val="20"/>
                <w:szCs w:val="20"/>
              </w:rPr>
            </w:pPr>
            <w:r w:rsidDel="00000000" w:rsidR="00000000" w:rsidRPr="00000000">
              <w:rPr>
                <w:color w:val="000000"/>
                <w:sz w:val="20"/>
                <w:szCs w:val="20"/>
                <w:rtl w:val="0"/>
              </w:rPr>
              <w:t xml:space="preserve">Population-based cohort</w:t>
              <w:br w:type="textWrapping"/>
              <w:t xml:space="preserve">2008-2017</w:t>
            </w:r>
          </w:p>
        </w:tc>
        <w:tc>
          <w:tcPr>
            <w:shd w:fill="auto" w:val="clear"/>
            <w:vAlign w:val="center"/>
          </w:tcPr>
          <w:p w:rsidR="00000000" w:rsidDel="00000000" w:rsidP="00000000" w:rsidRDefault="00000000" w:rsidRPr="00000000" w14:paraId="000001B9">
            <w:pPr>
              <w:spacing w:after="0" w:before="0" w:lineRule="auto"/>
              <w:jc w:val="center"/>
              <w:rPr>
                <w:color w:val="000000"/>
                <w:sz w:val="20"/>
                <w:szCs w:val="20"/>
              </w:rPr>
            </w:pPr>
            <w:r w:rsidDel="00000000" w:rsidR="00000000" w:rsidRPr="00000000">
              <w:rPr>
                <w:color w:val="000000"/>
                <w:sz w:val="20"/>
                <w:szCs w:val="20"/>
                <w:rtl w:val="0"/>
              </w:rPr>
              <w:t xml:space="preserve">South African Biologics Registry (SABIO)</w:t>
            </w:r>
          </w:p>
        </w:tc>
        <w:tc>
          <w:tcPr>
            <w:shd w:fill="auto" w:val="clear"/>
            <w:vAlign w:val="center"/>
          </w:tcPr>
          <w:p w:rsidR="00000000" w:rsidDel="00000000" w:rsidP="00000000" w:rsidRDefault="00000000" w:rsidRPr="00000000" w14:paraId="000001BA">
            <w:pPr>
              <w:spacing w:after="0" w:before="0" w:lineRule="auto"/>
              <w:jc w:val="center"/>
              <w:rPr>
                <w:color w:val="000000"/>
                <w:sz w:val="20"/>
                <w:szCs w:val="20"/>
              </w:rPr>
            </w:pPr>
            <w:r w:rsidDel="00000000" w:rsidR="00000000" w:rsidRPr="00000000">
              <w:rPr>
                <w:color w:val="000000"/>
                <w:sz w:val="20"/>
                <w:szCs w:val="20"/>
                <w:rtl w:val="0"/>
              </w:rPr>
              <w:t xml:space="preserve">1,587</w:t>
            </w:r>
          </w:p>
        </w:tc>
        <w:tc>
          <w:tcPr>
            <w:shd w:fill="auto" w:val="clear"/>
            <w:vAlign w:val="center"/>
          </w:tcPr>
          <w:p w:rsidR="00000000" w:rsidDel="00000000" w:rsidP="00000000" w:rsidRDefault="00000000" w:rsidRPr="00000000" w14:paraId="000001BB">
            <w:pPr>
              <w:spacing w:after="0" w:before="0" w:lineRule="auto"/>
              <w:jc w:val="center"/>
              <w:rPr>
                <w:color w:val="000000"/>
                <w:sz w:val="20"/>
                <w:szCs w:val="20"/>
              </w:rPr>
            </w:pPr>
            <w:r w:rsidDel="00000000" w:rsidR="00000000" w:rsidRPr="00000000">
              <w:rPr>
                <w:color w:val="000000"/>
                <w:sz w:val="20"/>
                <w:szCs w:val="20"/>
                <w:rtl w:val="0"/>
              </w:rPr>
              <w:t xml:space="preserve">152</w:t>
            </w:r>
          </w:p>
        </w:tc>
        <w:tc>
          <w:tcPr>
            <w:shd w:fill="auto" w:val="clear"/>
            <w:vAlign w:val="center"/>
          </w:tcPr>
          <w:p w:rsidR="00000000" w:rsidDel="00000000" w:rsidP="00000000" w:rsidRDefault="00000000" w:rsidRPr="00000000" w14:paraId="000001BC">
            <w:pPr>
              <w:spacing w:after="0" w:before="0" w:lineRule="auto"/>
              <w:jc w:val="center"/>
              <w:rPr>
                <w:color w:val="000000"/>
                <w:sz w:val="20"/>
                <w:szCs w:val="20"/>
              </w:rPr>
            </w:pPr>
            <w:r w:rsidDel="00000000" w:rsidR="00000000" w:rsidRPr="00000000">
              <w:rPr>
                <w:color w:val="000000"/>
                <w:sz w:val="20"/>
                <w:szCs w:val="20"/>
                <w:rtl w:val="0"/>
              </w:rPr>
              <w:t xml:space="preserve">Biologic exposed: 52.0</w:t>
              <w:br w:type="textWrapping"/>
              <w:t xml:space="preserve">Biologic naïve: 50.7</w:t>
            </w:r>
          </w:p>
        </w:tc>
        <w:tc>
          <w:tcPr>
            <w:shd w:fill="auto" w:val="clear"/>
            <w:vAlign w:val="center"/>
          </w:tcPr>
          <w:p w:rsidR="00000000" w:rsidDel="00000000" w:rsidP="00000000" w:rsidRDefault="00000000" w:rsidRPr="00000000" w14:paraId="000001BD">
            <w:pPr>
              <w:spacing w:after="0" w:before="0" w:lineRule="auto"/>
              <w:jc w:val="center"/>
              <w:rPr>
                <w:color w:val="000000"/>
                <w:sz w:val="20"/>
                <w:szCs w:val="20"/>
              </w:rPr>
            </w:pPr>
            <w:r w:rsidDel="00000000" w:rsidR="00000000" w:rsidRPr="00000000">
              <w:rPr>
                <w:color w:val="000000"/>
                <w:sz w:val="20"/>
                <w:szCs w:val="20"/>
                <w:rtl w:val="0"/>
              </w:rPr>
              <w:t xml:space="preserve">Gender, disease category, race, region, comorbidities, age</w:t>
            </w:r>
          </w:p>
        </w:tc>
        <w:tc>
          <w:tcPr>
            <w:vAlign w:val="center"/>
          </w:tcPr>
          <w:p w:rsidR="00000000" w:rsidDel="00000000" w:rsidP="00000000" w:rsidRDefault="00000000" w:rsidRPr="00000000" w14:paraId="000001BE">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BF">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C0">
            <w:pPr>
              <w:jc w:val="center"/>
              <w:rPr>
                <w:sz w:val="20"/>
                <w:szCs w:val="20"/>
              </w:rPr>
            </w:pPr>
            <w:r w:rsidDel="00000000" w:rsidR="00000000" w:rsidRPr="00000000">
              <w:rPr>
                <w:sz w:val="20"/>
                <w:szCs w:val="20"/>
                <w:rtl w:val="0"/>
              </w:rPr>
              <w:t xml:space="preserve">Culture, Gen Probe PCR, smear acid fast</w:t>
            </w:r>
          </w:p>
          <w:p w:rsidR="00000000" w:rsidDel="00000000" w:rsidP="00000000" w:rsidRDefault="00000000" w:rsidRPr="00000000" w14:paraId="000001C1">
            <w:pPr>
              <w:spacing w:after="0" w:before="0" w:lineRule="auto"/>
              <w:jc w:val="center"/>
              <w:rPr>
                <w:color w:val="000000"/>
                <w:sz w:val="20"/>
                <w:szCs w:val="20"/>
              </w:rPr>
            </w:pPr>
            <w:r w:rsidDel="00000000" w:rsidR="00000000" w:rsidRPr="00000000">
              <w:rPr>
                <w:sz w:val="20"/>
                <w:szCs w:val="20"/>
                <w:rtl w:val="0"/>
              </w:rPr>
              <w:t xml:space="preserve">bacilli (AFB), histological or radiographic confirmation or clinical suspicion</w:t>
            </w:r>
            <w:r w:rsidDel="00000000" w:rsidR="00000000" w:rsidRPr="00000000">
              <w:rPr>
                <w:rtl w:val="0"/>
              </w:rPr>
            </w:r>
          </w:p>
        </w:tc>
      </w:tr>
      <w:tr>
        <w:trPr>
          <w:cantSplit w:val="0"/>
          <w:trHeight w:val="1920" w:hRule="atLeast"/>
          <w:tblHeader w:val="0"/>
        </w:trPr>
        <w:tc>
          <w:tcPr>
            <w:shd w:fill="auto" w:val="clear"/>
            <w:vAlign w:val="center"/>
          </w:tcPr>
          <w:p w:rsidR="00000000" w:rsidDel="00000000" w:rsidP="00000000" w:rsidRDefault="00000000" w:rsidRPr="00000000" w14:paraId="000001C2">
            <w:pPr>
              <w:spacing w:after="0" w:before="0" w:lineRule="auto"/>
              <w:jc w:val="center"/>
              <w:rPr>
                <w:color w:val="000000"/>
                <w:sz w:val="20"/>
                <w:szCs w:val="20"/>
              </w:rPr>
            </w:pPr>
            <w:r w:rsidDel="00000000" w:rsidR="00000000" w:rsidRPr="00000000">
              <w:rPr>
                <w:color w:val="000000"/>
                <w:sz w:val="20"/>
                <w:szCs w:val="20"/>
                <w:rtl w:val="0"/>
              </w:rPr>
              <w:t xml:space="preserve">Raaschou</w:t>
            </w:r>
          </w:p>
        </w:tc>
        <w:tc>
          <w:tcPr>
            <w:shd w:fill="auto" w:val="clear"/>
            <w:vAlign w:val="center"/>
          </w:tcPr>
          <w:p w:rsidR="00000000" w:rsidDel="00000000" w:rsidP="00000000" w:rsidRDefault="00000000" w:rsidRPr="00000000" w14:paraId="000001C3">
            <w:pPr>
              <w:spacing w:after="0" w:before="0" w:lineRule="auto"/>
              <w:jc w:val="center"/>
              <w:rPr>
                <w:color w:val="000000"/>
                <w:sz w:val="20"/>
                <w:szCs w:val="20"/>
              </w:rPr>
            </w:pPr>
            <w:r w:rsidDel="00000000" w:rsidR="00000000" w:rsidRPr="00000000">
              <w:rPr>
                <w:color w:val="000000"/>
                <w:sz w:val="20"/>
                <w:szCs w:val="20"/>
                <w:rtl w:val="0"/>
              </w:rPr>
              <w:t xml:space="preserve">2014</w:t>
            </w:r>
          </w:p>
        </w:tc>
        <w:tc>
          <w:tcPr>
            <w:shd w:fill="auto" w:val="clear"/>
            <w:vAlign w:val="center"/>
          </w:tcPr>
          <w:p w:rsidR="00000000" w:rsidDel="00000000" w:rsidP="00000000" w:rsidRDefault="00000000" w:rsidRPr="00000000" w14:paraId="000001C4">
            <w:pPr>
              <w:spacing w:after="0" w:before="0" w:lineRule="auto"/>
              <w:jc w:val="center"/>
              <w:rPr>
                <w:color w:val="000000"/>
                <w:sz w:val="20"/>
                <w:szCs w:val="20"/>
              </w:rPr>
            </w:pPr>
            <w:r w:rsidDel="00000000" w:rsidR="00000000" w:rsidRPr="00000000">
              <w:rPr>
                <w:color w:val="000000"/>
                <w:sz w:val="20"/>
                <w:szCs w:val="20"/>
                <w:rtl w:val="0"/>
              </w:rPr>
              <w:t xml:space="preserve">Population-based cohort</w:t>
              <w:br w:type="textWrapping"/>
              <w:t xml:space="preserve">2001-2010</w:t>
            </w:r>
          </w:p>
        </w:tc>
        <w:tc>
          <w:tcPr>
            <w:shd w:fill="auto" w:val="clear"/>
            <w:vAlign w:val="center"/>
          </w:tcPr>
          <w:p w:rsidR="00000000" w:rsidDel="00000000" w:rsidP="00000000" w:rsidRDefault="00000000" w:rsidRPr="00000000" w14:paraId="000001C5">
            <w:pPr>
              <w:spacing w:after="0" w:before="0" w:lineRule="auto"/>
              <w:jc w:val="center"/>
              <w:rPr>
                <w:color w:val="000000"/>
                <w:sz w:val="20"/>
                <w:szCs w:val="20"/>
              </w:rPr>
            </w:pPr>
            <w:r w:rsidDel="00000000" w:rsidR="00000000" w:rsidRPr="00000000">
              <w:rPr>
                <w:color w:val="000000"/>
                <w:sz w:val="20"/>
                <w:szCs w:val="20"/>
                <w:rtl w:val="0"/>
              </w:rPr>
              <w:t xml:space="preserve">Swedish biologics register (ARTIS)</w:t>
            </w:r>
          </w:p>
        </w:tc>
        <w:tc>
          <w:tcPr>
            <w:shd w:fill="auto" w:val="clear"/>
            <w:vAlign w:val="center"/>
          </w:tcPr>
          <w:p w:rsidR="00000000" w:rsidDel="00000000" w:rsidP="00000000" w:rsidRDefault="00000000" w:rsidRPr="00000000" w14:paraId="000001C6">
            <w:pPr>
              <w:spacing w:after="0" w:before="0" w:lineRule="auto"/>
              <w:jc w:val="center"/>
              <w:rPr>
                <w:color w:val="000000"/>
                <w:sz w:val="20"/>
                <w:szCs w:val="20"/>
              </w:rPr>
            </w:pPr>
            <w:r w:rsidDel="00000000" w:rsidR="00000000" w:rsidRPr="00000000">
              <w:rPr>
                <w:color w:val="000000"/>
                <w:sz w:val="20"/>
                <w:szCs w:val="20"/>
                <w:rtl w:val="0"/>
              </w:rPr>
              <w:t xml:space="preserve">TNFi-treated </w:t>
              <w:br w:type="textWrapping"/>
              <w:t xml:space="preserve">(120)</w:t>
            </w:r>
          </w:p>
        </w:tc>
        <w:tc>
          <w:tcPr>
            <w:shd w:fill="auto" w:val="clear"/>
            <w:vAlign w:val="center"/>
          </w:tcPr>
          <w:p w:rsidR="00000000" w:rsidDel="00000000" w:rsidP="00000000" w:rsidRDefault="00000000" w:rsidRPr="00000000" w14:paraId="000001C7">
            <w:pPr>
              <w:spacing w:after="0" w:before="0" w:lineRule="auto"/>
              <w:jc w:val="center"/>
              <w:rPr>
                <w:color w:val="000000"/>
                <w:sz w:val="20"/>
                <w:szCs w:val="20"/>
              </w:rPr>
            </w:pPr>
            <w:r w:rsidDel="00000000" w:rsidR="00000000" w:rsidRPr="00000000">
              <w:rPr>
                <w:color w:val="000000"/>
                <w:sz w:val="20"/>
                <w:szCs w:val="20"/>
                <w:rtl w:val="0"/>
              </w:rPr>
              <w:t xml:space="preserve">Biologics-naive</w:t>
              <w:br w:type="textWrapping"/>
              <w:t xml:space="preserve">(120)</w:t>
            </w:r>
          </w:p>
        </w:tc>
        <w:tc>
          <w:tcPr>
            <w:shd w:fill="auto" w:val="clear"/>
            <w:vAlign w:val="center"/>
          </w:tcPr>
          <w:p w:rsidR="00000000" w:rsidDel="00000000" w:rsidP="00000000" w:rsidRDefault="00000000" w:rsidRPr="00000000" w14:paraId="000001C8">
            <w:pPr>
              <w:spacing w:after="0" w:before="0" w:lineRule="auto"/>
              <w:jc w:val="center"/>
              <w:rPr>
                <w:color w:val="000000"/>
                <w:sz w:val="20"/>
                <w:szCs w:val="20"/>
              </w:rPr>
            </w:pPr>
            <w:r w:rsidDel="00000000" w:rsidR="00000000" w:rsidRPr="00000000">
              <w:rPr>
                <w:color w:val="000000"/>
                <w:sz w:val="20"/>
                <w:szCs w:val="20"/>
                <w:rtl w:val="0"/>
              </w:rPr>
              <w:t xml:space="preserve">Biologics-naive</w:t>
              <w:br w:type="textWrapping"/>
              <w:t xml:space="preserve">67 (11)</w:t>
              <w:br w:type="textWrapping"/>
              <w:t xml:space="preserve">TNFi-treated</w:t>
              <w:br w:type="textWrapping"/>
              <w:t xml:space="preserve">66 (11)</w:t>
            </w:r>
          </w:p>
        </w:tc>
        <w:tc>
          <w:tcPr>
            <w:shd w:fill="auto" w:val="clear"/>
            <w:vAlign w:val="center"/>
          </w:tcPr>
          <w:p w:rsidR="00000000" w:rsidDel="00000000" w:rsidP="00000000" w:rsidRDefault="00000000" w:rsidRPr="00000000" w14:paraId="000001C9">
            <w:pPr>
              <w:spacing w:after="0" w:before="0" w:lineRule="auto"/>
              <w:jc w:val="center"/>
              <w:rPr>
                <w:color w:val="000000"/>
                <w:sz w:val="20"/>
                <w:szCs w:val="20"/>
              </w:rPr>
            </w:pPr>
            <w:r w:rsidDel="00000000" w:rsidR="00000000" w:rsidRPr="00000000">
              <w:rPr>
                <w:color w:val="000000"/>
                <w:sz w:val="20"/>
                <w:szCs w:val="20"/>
                <w:rtl w:val="0"/>
              </w:rPr>
              <w:t xml:space="preserve">Age at diagnosis, year of diagnosis, county of residency and stage at diagnosis of index cancer</w:t>
            </w:r>
          </w:p>
        </w:tc>
        <w:tc>
          <w:tcPr>
            <w:vAlign w:val="center"/>
          </w:tcPr>
          <w:p w:rsidR="00000000" w:rsidDel="00000000" w:rsidP="00000000" w:rsidRDefault="00000000" w:rsidRPr="00000000" w14:paraId="000001CA">
            <w:pPr>
              <w:spacing w:after="0" w:before="0" w:lineRule="auto"/>
              <w:jc w:val="center"/>
              <w:rPr>
                <w:color w:val="000000"/>
                <w:sz w:val="20"/>
                <w:szCs w:val="20"/>
              </w:rPr>
            </w:pPr>
            <w:r w:rsidDel="00000000" w:rsidR="00000000" w:rsidRPr="00000000">
              <w:rPr>
                <w:sz w:val="20"/>
                <w:szCs w:val="20"/>
                <w:rtl w:val="0"/>
              </w:rPr>
              <w:t xml:space="preserve">Chronic obstructive pulmonary disease, Diabetes mellitus, and Ischaemic heart disease</w:t>
            </w:r>
            <w:r w:rsidDel="00000000" w:rsidR="00000000" w:rsidRPr="00000000">
              <w:rPr>
                <w:rtl w:val="0"/>
              </w:rPr>
            </w:r>
          </w:p>
        </w:tc>
        <w:tc>
          <w:tcPr>
            <w:vAlign w:val="center"/>
          </w:tcPr>
          <w:p w:rsidR="00000000" w:rsidDel="00000000" w:rsidP="00000000" w:rsidRDefault="00000000" w:rsidRPr="00000000" w14:paraId="000001CB">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CC">
            <w:pPr>
              <w:spacing w:after="0" w:before="0" w:lineRule="auto"/>
              <w:jc w:val="center"/>
              <w:rPr>
                <w:color w:val="000000"/>
                <w:sz w:val="20"/>
                <w:szCs w:val="20"/>
              </w:rPr>
            </w:pPr>
            <w:r w:rsidDel="00000000" w:rsidR="00000000" w:rsidRPr="00000000">
              <w:rPr>
                <w:sz w:val="20"/>
                <w:szCs w:val="20"/>
                <w:rtl w:val="0"/>
              </w:rPr>
              <w:t xml:space="preserve">ICD7 through 10 and ICD-O classifications</w:t>
            </w:r>
            <w:r w:rsidDel="00000000" w:rsidR="00000000" w:rsidRPr="00000000">
              <w:rPr>
                <w:rtl w:val="0"/>
              </w:rPr>
            </w:r>
          </w:p>
        </w:tc>
      </w:tr>
      <w:tr>
        <w:trPr>
          <w:cantSplit w:val="0"/>
          <w:trHeight w:val="1920" w:hRule="atLeast"/>
          <w:tblHeader w:val="0"/>
        </w:trPr>
        <w:tc>
          <w:tcPr>
            <w:shd w:fill="auto" w:val="clear"/>
            <w:vAlign w:val="center"/>
          </w:tcPr>
          <w:p w:rsidR="00000000" w:rsidDel="00000000" w:rsidP="00000000" w:rsidRDefault="00000000" w:rsidRPr="00000000" w14:paraId="000001CD">
            <w:pPr>
              <w:spacing w:after="0" w:before="0" w:lineRule="auto"/>
              <w:jc w:val="center"/>
              <w:rPr>
                <w:color w:val="000000"/>
                <w:sz w:val="20"/>
                <w:szCs w:val="20"/>
              </w:rPr>
            </w:pPr>
            <w:r w:rsidDel="00000000" w:rsidR="00000000" w:rsidRPr="00000000">
              <w:rPr>
                <w:color w:val="000000"/>
                <w:sz w:val="20"/>
                <w:szCs w:val="20"/>
                <w:rtl w:val="0"/>
              </w:rPr>
              <w:t xml:space="preserve">Rahman</w:t>
            </w:r>
          </w:p>
        </w:tc>
        <w:tc>
          <w:tcPr>
            <w:shd w:fill="auto" w:val="clear"/>
            <w:vAlign w:val="center"/>
          </w:tcPr>
          <w:p w:rsidR="00000000" w:rsidDel="00000000" w:rsidP="00000000" w:rsidRDefault="00000000" w:rsidRPr="00000000" w14:paraId="000001CE">
            <w:pPr>
              <w:spacing w:after="0" w:before="0" w:lineRule="auto"/>
              <w:jc w:val="center"/>
              <w:rPr>
                <w:color w:val="000000"/>
                <w:sz w:val="20"/>
                <w:szCs w:val="20"/>
              </w:rPr>
            </w:pPr>
            <w:r w:rsidDel="00000000" w:rsidR="00000000" w:rsidRPr="00000000">
              <w:rPr>
                <w:color w:val="000000"/>
                <w:sz w:val="20"/>
                <w:szCs w:val="20"/>
                <w:rtl w:val="0"/>
              </w:rPr>
              <w:t xml:space="preserve">2020</w:t>
            </w:r>
          </w:p>
        </w:tc>
        <w:tc>
          <w:tcPr>
            <w:shd w:fill="auto" w:val="clear"/>
            <w:vAlign w:val="center"/>
          </w:tcPr>
          <w:p w:rsidR="00000000" w:rsidDel="00000000" w:rsidP="00000000" w:rsidRDefault="00000000" w:rsidRPr="00000000" w14:paraId="000001CF">
            <w:pPr>
              <w:spacing w:after="0" w:before="0" w:lineRule="auto"/>
              <w:jc w:val="center"/>
              <w:rPr>
                <w:color w:val="000000"/>
                <w:sz w:val="20"/>
                <w:szCs w:val="20"/>
              </w:rPr>
            </w:pPr>
            <w:r w:rsidDel="00000000" w:rsidR="00000000" w:rsidRPr="00000000">
              <w:rPr>
                <w:color w:val="000000"/>
                <w:sz w:val="20"/>
                <w:szCs w:val="20"/>
                <w:rtl w:val="0"/>
              </w:rPr>
              <w:t xml:space="preserve">Prospective cohort</w:t>
              <w:br w:type="textWrapping"/>
              <w:t xml:space="preserve">2002-2017</w:t>
            </w:r>
          </w:p>
        </w:tc>
        <w:tc>
          <w:tcPr>
            <w:shd w:fill="auto" w:val="clear"/>
            <w:vAlign w:val="center"/>
          </w:tcPr>
          <w:p w:rsidR="00000000" w:rsidDel="00000000" w:rsidP="00000000" w:rsidRDefault="00000000" w:rsidRPr="00000000" w14:paraId="000001D0">
            <w:pPr>
              <w:spacing w:after="0" w:before="0" w:lineRule="auto"/>
              <w:jc w:val="center"/>
              <w:rPr>
                <w:color w:val="000000"/>
                <w:sz w:val="20"/>
                <w:szCs w:val="20"/>
              </w:rPr>
            </w:pPr>
            <w:r w:rsidDel="00000000" w:rsidR="00000000" w:rsidRPr="00000000">
              <w:rPr>
                <w:color w:val="000000"/>
                <w:sz w:val="20"/>
                <w:szCs w:val="20"/>
                <w:rtl w:val="0"/>
              </w:rPr>
              <w:t xml:space="preserve">The Biologic Treatment Registry Across Canada (BioTRAC)</w:t>
            </w:r>
          </w:p>
        </w:tc>
        <w:tc>
          <w:tcPr>
            <w:shd w:fill="auto" w:val="clear"/>
            <w:vAlign w:val="center"/>
          </w:tcPr>
          <w:p w:rsidR="00000000" w:rsidDel="00000000" w:rsidP="00000000" w:rsidRDefault="00000000" w:rsidRPr="00000000" w14:paraId="000001D1">
            <w:pPr>
              <w:spacing w:after="0" w:before="0" w:lineRule="auto"/>
              <w:jc w:val="center"/>
              <w:rPr>
                <w:color w:val="000000"/>
                <w:sz w:val="20"/>
                <w:szCs w:val="20"/>
              </w:rPr>
            </w:pPr>
            <w:r w:rsidDel="00000000" w:rsidR="00000000" w:rsidRPr="00000000">
              <w:rPr>
                <w:color w:val="000000"/>
                <w:sz w:val="20"/>
                <w:szCs w:val="20"/>
                <w:rtl w:val="0"/>
              </w:rPr>
              <w:t xml:space="preserve">Golimumab</w:t>
              <w:br w:type="textWrapping"/>
              <w:t xml:space="preserve">(687)</w:t>
            </w:r>
          </w:p>
        </w:tc>
        <w:tc>
          <w:tcPr>
            <w:shd w:fill="auto" w:val="clear"/>
            <w:vAlign w:val="center"/>
          </w:tcPr>
          <w:p w:rsidR="00000000" w:rsidDel="00000000" w:rsidP="00000000" w:rsidRDefault="00000000" w:rsidRPr="00000000" w14:paraId="000001D2">
            <w:pPr>
              <w:spacing w:after="0" w:before="0" w:lineRule="auto"/>
              <w:jc w:val="center"/>
              <w:rPr>
                <w:color w:val="000000"/>
                <w:sz w:val="20"/>
                <w:szCs w:val="20"/>
              </w:rPr>
            </w:pPr>
            <w:r w:rsidDel="00000000" w:rsidR="00000000" w:rsidRPr="00000000">
              <w:rPr>
                <w:color w:val="000000"/>
                <w:sz w:val="20"/>
                <w:szCs w:val="20"/>
                <w:rtl w:val="0"/>
              </w:rPr>
              <w:t xml:space="preserve">Infliximab</w:t>
              <w:br w:type="textWrapping"/>
              <w:t xml:space="preserve">(890)</w:t>
            </w:r>
          </w:p>
        </w:tc>
        <w:tc>
          <w:tcPr>
            <w:shd w:fill="auto" w:val="clear"/>
            <w:vAlign w:val="center"/>
          </w:tcPr>
          <w:p w:rsidR="00000000" w:rsidDel="00000000" w:rsidP="00000000" w:rsidRDefault="00000000" w:rsidRPr="00000000" w14:paraId="000001D3">
            <w:pPr>
              <w:spacing w:after="0" w:before="0" w:lineRule="auto"/>
              <w:jc w:val="center"/>
              <w:rPr>
                <w:color w:val="000000"/>
                <w:sz w:val="20"/>
                <w:szCs w:val="20"/>
              </w:rPr>
            </w:pPr>
            <w:r w:rsidDel="00000000" w:rsidR="00000000" w:rsidRPr="00000000">
              <w:rPr>
                <w:color w:val="000000"/>
                <w:sz w:val="20"/>
                <w:szCs w:val="20"/>
                <w:rtl w:val="0"/>
              </w:rPr>
              <w:t xml:space="preserve">55.8–57.7</w:t>
            </w:r>
          </w:p>
        </w:tc>
        <w:tc>
          <w:tcPr>
            <w:shd w:fill="auto" w:val="clear"/>
            <w:vAlign w:val="center"/>
          </w:tcPr>
          <w:p w:rsidR="00000000" w:rsidDel="00000000" w:rsidP="00000000" w:rsidRDefault="00000000" w:rsidRPr="00000000" w14:paraId="000001D4">
            <w:pPr>
              <w:spacing w:after="0" w:before="0" w:lineRule="auto"/>
              <w:jc w:val="center"/>
              <w:rPr>
                <w:color w:val="000000"/>
                <w:sz w:val="20"/>
                <w:szCs w:val="20"/>
              </w:rPr>
            </w:pPr>
            <w:r w:rsidDel="00000000" w:rsidR="00000000" w:rsidRPr="00000000">
              <w:rPr>
                <w:color w:val="000000"/>
                <w:sz w:val="20"/>
                <w:szCs w:val="20"/>
                <w:rtl w:val="0"/>
              </w:rPr>
              <w:t xml:space="preserve">-</w:t>
            </w:r>
          </w:p>
        </w:tc>
        <w:tc>
          <w:tcPr>
            <w:vAlign w:val="center"/>
          </w:tcPr>
          <w:p w:rsidR="00000000" w:rsidDel="00000000" w:rsidP="00000000" w:rsidRDefault="00000000" w:rsidRPr="00000000" w14:paraId="000001D5">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6">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7">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r>
      <w:tr>
        <w:trPr>
          <w:cantSplit w:val="0"/>
          <w:trHeight w:val="3015" w:hRule="atLeast"/>
          <w:tblHeader w:val="0"/>
        </w:trPr>
        <w:tc>
          <w:tcPr>
            <w:shd w:fill="auto" w:val="clear"/>
            <w:vAlign w:val="center"/>
          </w:tcPr>
          <w:p w:rsidR="00000000" w:rsidDel="00000000" w:rsidP="00000000" w:rsidRDefault="00000000" w:rsidRPr="00000000" w14:paraId="000001D8">
            <w:pPr>
              <w:spacing w:after="0" w:before="0" w:lineRule="auto"/>
              <w:jc w:val="center"/>
              <w:rPr>
                <w:color w:val="000000"/>
                <w:sz w:val="20"/>
                <w:szCs w:val="20"/>
              </w:rPr>
            </w:pPr>
            <w:r w:rsidDel="00000000" w:rsidR="00000000" w:rsidRPr="00000000">
              <w:rPr>
                <w:color w:val="000000"/>
                <w:sz w:val="20"/>
                <w:szCs w:val="20"/>
                <w:rtl w:val="0"/>
              </w:rPr>
              <w:t xml:space="preserve">Richter</w:t>
            </w:r>
          </w:p>
        </w:tc>
        <w:tc>
          <w:tcPr>
            <w:shd w:fill="auto" w:val="clear"/>
            <w:vAlign w:val="center"/>
          </w:tcPr>
          <w:p w:rsidR="00000000" w:rsidDel="00000000" w:rsidP="00000000" w:rsidRDefault="00000000" w:rsidRPr="00000000" w14:paraId="000001D9">
            <w:pPr>
              <w:spacing w:after="0" w:before="0" w:lineRule="auto"/>
              <w:jc w:val="center"/>
              <w:rPr>
                <w:color w:val="000000"/>
                <w:sz w:val="20"/>
                <w:szCs w:val="20"/>
              </w:rPr>
            </w:pPr>
            <w:r w:rsidDel="00000000" w:rsidR="00000000" w:rsidRPr="00000000">
              <w:rPr>
                <w:color w:val="000000"/>
                <w:sz w:val="20"/>
                <w:szCs w:val="20"/>
                <w:rtl w:val="0"/>
              </w:rPr>
              <w:t xml:space="preserve">2016</w:t>
            </w:r>
          </w:p>
        </w:tc>
        <w:tc>
          <w:tcPr>
            <w:shd w:fill="auto" w:val="clear"/>
            <w:vAlign w:val="center"/>
          </w:tcPr>
          <w:p w:rsidR="00000000" w:rsidDel="00000000" w:rsidP="00000000" w:rsidRDefault="00000000" w:rsidRPr="00000000" w14:paraId="000001DA">
            <w:pPr>
              <w:spacing w:after="0" w:before="0" w:lineRule="auto"/>
              <w:jc w:val="center"/>
              <w:rPr>
                <w:color w:val="000000"/>
                <w:sz w:val="20"/>
                <w:szCs w:val="20"/>
              </w:rPr>
            </w:pPr>
            <w:r w:rsidDel="00000000" w:rsidR="00000000" w:rsidRPr="00000000">
              <w:rPr>
                <w:color w:val="000000"/>
                <w:sz w:val="20"/>
                <w:szCs w:val="20"/>
                <w:rtl w:val="0"/>
              </w:rPr>
              <w:t xml:space="preserve">Prospective cohort</w:t>
              <w:br w:type="textWrapping"/>
              <w:t xml:space="preserve">2001-2013</w:t>
            </w:r>
          </w:p>
        </w:tc>
        <w:tc>
          <w:tcPr>
            <w:shd w:fill="auto" w:val="clear"/>
            <w:vAlign w:val="center"/>
          </w:tcPr>
          <w:p w:rsidR="00000000" w:rsidDel="00000000" w:rsidP="00000000" w:rsidRDefault="00000000" w:rsidRPr="00000000" w14:paraId="000001DB">
            <w:pPr>
              <w:spacing w:after="0" w:before="0" w:lineRule="auto"/>
              <w:jc w:val="center"/>
              <w:rPr>
                <w:color w:val="000000"/>
                <w:sz w:val="20"/>
                <w:szCs w:val="20"/>
              </w:rPr>
            </w:pPr>
            <w:r w:rsidDel="00000000" w:rsidR="00000000" w:rsidRPr="00000000">
              <w:rPr>
                <w:color w:val="000000"/>
                <w:sz w:val="20"/>
                <w:szCs w:val="20"/>
                <w:rtl w:val="0"/>
              </w:rPr>
              <w:t xml:space="preserve">RABBIT biologics register</w:t>
            </w:r>
          </w:p>
        </w:tc>
        <w:tc>
          <w:tcPr>
            <w:shd w:fill="auto" w:val="clear"/>
            <w:vAlign w:val="center"/>
          </w:tcPr>
          <w:p w:rsidR="00000000" w:rsidDel="00000000" w:rsidP="00000000" w:rsidRDefault="00000000" w:rsidRPr="00000000" w14:paraId="000001DC">
            <w:pPr>
              <w:spacing w:after="0" w:before="0" w:lineRule="auto"/>
              <w:jc w:val="center"/>
              <w:rPr>
                <w:color w:val="000000"/>
                <w:sz w:val="20"/>
                <w:szCs w:val="20"/>
              </w:rPr>
            </w:pPr>
            <w:r w:rsidDel="00000000" w:rsidR="00000000" w:rsidRPr="00000000">
              <w:rPr>
                <w:color w:val="000000"/>
                <w:sz w:val="20"/>
                <w:szCs w:val="20"/>
                <w:rtl w:val="0"/>
              </w:rPr>
              <w:t xml:space="preserve">TNFi</w:t>
              <w:br w:type="textWrapping"/>
              <w:t xml:space="preserve">(370)</w:t>
            </w:r>
          </w:p>
        </w:tc>
        <w:tc>
          <w:tcPr>
            <w:shd w:fill="auto" w:val="clear"/>
            <w:vAlign w:val="center"/>
          </w:tcPr>
          <w:p w:rsidR="00000000" w:rsidDel="00000000" w:rsidP="00000000" w:rsidRDefault="00000000" w:rsidRPr="00000000" w14:paraId="000001DD">
            <w:pPr>
              <w:spacing w:after="0" w:before="0" w:lineRule="auto"/>
              <w:jc w:val="center"/>
              <w:rPr>
                <w:color w:val="000000"/>
                <w:sz w:val="20"/>
                <w:szCs w:val="20"/>
              </w:rPr>
            </w:pPr>
            <w:r w:rsidDel="00000000" w:rsidR="00000000" w:rsidRPr="00000000">
              <w:rPr>
                <w:color w:val="000000"/>
                <w:sz w:val="20"/>
                <w:szCs w:val="20"/>
                <w:rtl w:val="0"/>
              </w:rPr>
              <w:t xml:space="preserve">Other bDMARDS (159)</w:t>
              <w:br w:type="textWrapping"/>
              <w:br w:type="textWrapping"/>
              <w:t xml:space="preserve">ccsDMARDsS </w:t>
              <w:br w:type="textWrapping"/>
              <w:t xml:space="preserve">(388)</w:t>
            </w:r>
          </w:p>
        </w:tc>
        <w:tc>
          <w:tcPr>
            <w:shd w:fill="auto" w:val="clear"/>
            <w:vAlign w:val="center"/>
          </w:tcPr>
          <w:p w:rsidR="00000000" w:rsidDel="00000000" w:rsidP="00000000" w:rsidRDefault="00000000" w:rsidRPr="00000000" w14:paraId="000001DE">
            <w:pPr>
              <w:spacing w:after="0" w:before="0" w:lineRule="auto"/>
              <w:jc w:val="center"/>
              <w:rPr>
                <w:color w:val="000000"/>
                <w:sz w:val="20"/>
                <w:szCs w:val="20"/>
              </w:rPr>
            </w:pPr>
            <w:r w:rsidDel="00000000" w:rsidR="00000000" w:rsidRPr="00000000">
              <w:rPr>
                <w:color w:val="000000"/>
                <w:sz w:val="20"/>
                <w:szCs w:val="20"/>
                <w:rtl w:val="0"/>
              </w:rPr>
              <w:t xml:space="preserve">59-68.2</w:t>
            </w:r>
          </w:p>
        </w:tc>
        <w:tc>
          <w:tcPr>
            <w:shd w:fill="auto" w:val="clear"/>
            <w:vAlign w:val="center"/>
          </w:tcPr>
          <w:p w:rsidR="00000000" w:rsidDel="00000000" w:rsidP="00000000" w:rsidRDefault="00000000" w:rsidRPr="00000000" w14:paraId="000001DF">
            <w:pPr>
              <w:spacing w:after="0" w:before="0" w:lineRule="auto"/>
              <w:jc w:val="center"/>
              <w:rPr>
                <w:color w:val="000000"/>
                <w:sz w:val="20"/>
                <w:szCs w:val="20"/>
              </w:rPr>
            </w:pPr>
            <w:r w:rsidDel="00000000" w:rsidR="00000000" w:rsidRPr="00000000">
              <w:rPr>
                <w:color w:val="000000"/>
                <w:sz w:val="20"/>
                <w:szCs w:val="20"/>
                <w:rtl w:val="0"/>
              </w:rPr>
              <w:t xml:space="preserve">Age, sex, comorbid conditions, physical function and glucocorticoid dose</w:t>
            </w:r>
          </w:p>
        </w:tc>
        <w:tc>
          <w:tcPr>
            <w:vAlign w:val="center"/>
          </w:tcPr>
          <w:p w:rsidR="00000000" w:rsidDel="00000000" w:rsidP="00000000" w:rsidRDefault="00000000" w:rsidRPr="00000000" w14:paraId="000001E0">
            <w:pPr>
              <w:spacing w:after="0" w:before="0" w:lineRule="auto"/>
              <w:jc w:val="center"/>
              <w:rPr>
                <w:color w:val="000000"/>
                <w:sz w:val="20"/>
                <w:szCs w:val="20"/>
              </w:rPr>
            </w:pPr>
            <w:r w:rsidDel="00000000" w:rsidR="00000000" w:rsidRPr="00000000">
              <w:rPr>
                <w:sz w:val="20"/>
                <w:szCs w:val="20"/>
                <w:rtl w:val="0"/>
              </w:rPr>
              <w:t xml:space="preserve">Heart failure Chronic renal disease, Diabetes, and Chronic obstructive pulmonary disease</w:t>
            </w:r>
            <w:r w:rsidDel="00000000" w:rsidR="00000000" w:rsidRPr="00000000">
              <w:rPr>
                <w:rtl w:val="0"/>
              </w:rPr>
            </w:r>
          </w:p>
        </w:tc>
        <w:tc>
          <w:tcPr>
            <w:vAlign w:val="center"/>
          </w:tcPr>
          <w:p w:rsidR="00000000" w:rsidDel="00000000" w:rsidP="00000000" w:rsidRDefault="00000000" w:rsidRPr="00000000" w14:paraId="000001E1">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E2">
            <w:pPr>
              <w:jc w:val="center"/>
              <w:rPr>
                <w:sz w:val="20"/>
                <w:szCs w:val="20"/>
              </w:rPr>
            </w:pPr>
            <w:r w:rsidDel="00000000" w:rsidR="00000000" w:rsidRPr="00000000">
              <w:rPr>
                <w:sz w:val="20"/>
                <w:szCs w:val="20"/>
                <w:rtl w:val="0"/>
              </w:rPr>
              <w:t xml:space="preserve">Serious infection according to International Council for</w:t>
            </w:r>
          </w:p>
          <w:p w:rsidR="00000000" w:rsidDel="00000000" w:rsidP="00000000" w:rsidRDefault="00000000" w:rsidRPr="00000000" w14:paraId="000001E3">
            <w:pPr>
              <w:jc w:val="center"/>
              <w:rPr>
                <w:sz w:val="20"/>
                <w:szCs w:val="20"/>
              </w:rPr>
            </w:pPr>
            <w:r w:rsidDel="00000000" w:rsidR="00000000" w:rsidRPr="00000000">
              <w:rPr>
                <w:sz w:val="20"/>
                <w:szCs w:val="20"/>
                <w:rtl w:val="0"/>
              </w:rPr>
              <w:t xml:space="preserve">Harmonisation of Technical Requirements for Registration of</w:t>
            </w:r>
          </w:p>
          <w:p w:rsidR="00000000" w:rsidDel="00000000" w:rsidP="00000000" w:rsidRDefault="00000000" w:rsidRPr="00000000" w14:paraId="000001E4">
            <w:pPr>
              <w:spacing w:after="0" w:before="0" w:lineRule="auto"/>
              <w:jc w:val="center"/>
              <w:rPr>
                <w:color w:val="000000"/>
                <w:sz w:val="20"/>
                <w:szCs w:val="20"/>
              </w:rPr>
            </w:pPr>
            <w:r w:rsidDel="00000000" w:rsidR="00000000" w:rsidRPr="00000000">
              <w:rPr>
                <w:sz w:val="20"/>
                <w:szCs w:val="20"/>
                <w:rtl w:val="0"/>
              </w:rPr>
              <w:t xml:space="preserve">Pharmaceuticals for Human Use (ICH)</w:t>
            </w:r>
            <w:r w:rsidDel="00000000" w:rsidR="00000000" w:rsidRPr="00000000">
              <w:rPr>
                <w:rtl w:val="0"/>
              </w:rPr>
            </w:r>
          </w:p>
        </w:tc>
      </w:tr>
      <w:tr>
        <w:trPr>
          <w:cantSplit w:val="0"/>
          <w:trHeight w:val="3060" w:hRule="atLeast"/>
          <w:tblHeader w:val="0"/>
        </w:trPr>
        <w:tc>
          <w:tcPr>
            <w:shd w:fill="auto" w:val="clear"/>
            <w:vAlign w:val="center"/>
          </w:tcPr>
          <w:p w:rsidR="00000000" w:rsidDel="00000000" w:rsidP="00000000" w:rsidRDefault="00000000" w:rsidRPr="00000000" w14:paraId="000001E5">
            <w:pPr>
              <w:spacing w:after="0" w:before="0" w:lineRule="auto"/>
              <w:jc w:val="center"/>
              <w:rPr>
                <w:color w:val="000000"/>
                <w:sz w:val="20"/>
                <w:szCs w:val="20"/>
              </w:rPr>
            </w:pPr>
            <w:r w:rsidDel="00000000" w:rsidR="00000000" w:rsidRPr="00000000">
              <w:rPr>
                <w:color w:val="000000"/>
                <w:sz w:val="20"/>
                <w:szCs w:val="20"/>
                <w:rtl w:val="0"/>
              </w:rPr>
              <w:t xml:space="preserve">Rutherford</w:t>
            </w:r>
          </w:p>
        </w:tc>
        <w:tc>
          <w:tcPr>
            <w:shd w:fill="auto" w:val="clear"/>
            <w:vAlign w:val="center"/>
          </w:tcPr>
          <w:p w:rsidR="00000000" w:rsidDel="00000000" w:rsidP="00000000" w:rsidRDefault="00000000" w:rsidRPr="00000000" w14:paraId="000001E6">
            <w:pPr>
              <w:spacing w:after="0" w:before="0" w:lineRule="auto"/>
              <w:jc w:val="center"/>
              <w:rPr>
                <w:color w:val="000000"/>
                <w:sz w:val="20"/>
                <w:szCs w:val="20"/>
              </w:rPr>
            </w:pPr>
            <w:r w:rsidDel="00000000" w:rsidR="00000000" w:rsidRPr="00000000">
              <w:rPr>
                <w:color w:val="000000"/>
                <w:sz w:val="20"/>
                <w:szCs w:val="20"/>
                <w:rtl w:val="0"/>
              </w:rPr>
              <w:t xml:space="preserve">2018</w:t>
            </w:r>
          </w:p>
        </w:tc>
        <w:tc>
          <w:tcPr>
            <w:shd w:fill="auto" w:val="clear"/>
            <w:vAlign w:val="center"/>
          </w:tcPr>
          <w:p w:rsidR="00000000" w:rsidDel="00000000" w:rsidP="00000000" w:rsidRDefault="00000000" w:rsidRPr="00000000" w14:paraId="000001E7">
            <w:pPr>
              <w:spacing w:after="0" w:before="0" w:lineRule="auto"/>
              <w:jc w:val="center"/>
              <w:rPr>
                <w:color w:val="000000"/>
                <w:sz w:val="20"/>
                <w:szCs w:val="20"/>
              </w:rPr>
            </w:pPr>
            <w:r w:rsidDel="00000000" w:rsidR="00000000" w:rsidRPr="00000000">
              <w:rPr>
                <w:color w:val="000000"/>
                <w:sz w:val="20"/>
                <w:szCs w:val="20"/>
                <w:rtl w:val="0"/>
              </w:rPr>
              <w:t xml:space="preserve">Prospective cohort</w:t>
              <w:br w:type="textWrapping"/>
              <w:t xml:space="preserve">2010-2016</w:t>
            </w:r>
          </w:p>
        </w:tc>
        <w:tc>
          <w:tcPr>
            <w:shd w:fill="auto" w:val="clear"/>
            <w:vAlign w:val="center"/>
          </w:tcPr>
          <w:p w:rsidR="00000000" w:rsidDel="00000000" w:rsidP="00000000" w:rsidRDefault="00000000" w:rsidRPr="00000000" w14:paraId="000001E8">
            <w:pPr>
              <w:spacing w:after="0" w:before="0" w:lineRule="auto"/>
              <w:jc w:val="center"/>
              <w:rPr>
                <w:color w:val="000000"/>
                <w:sz w:val="20"/>
                <w:szCs w:val="20"/>
              </w:rPr>
            </w:pPr>
            <w:r w:rsidDel="00000000" w:rsidR="00000000" w:rsidRPr="00000000">
              <w:rPr>
                <w:color w:val="000000"/>
                <w:sz w:val="20"/>
                <w:szCs w:val="20"/>
                <w:rtl w:val="0"/>
              </w:rPr>
              <w:t xml:space="preserve">British Society for Rheumatology Biologics Register for Rheumatoid Arthritis</w:t>
            </w:r>
          </w:p>
        </w:tc>
        <w:tc>
          <w:tcPr>
            <w:shd w:fill="auto" w:val="clear"/>
            <w:vAlign w:val="center"/>
          </w:tcPr>
          <w:p w:rsidR="00000000" w:rsidDel="00000000" w:rsidP="00000000" w:rsidRDefault="00000000" w:rsidRPr="00000000" w14:paraId="000001E9">
            <w:pPr>
              <w:spacing w:after="0" w:before="0" w:lineRule="auto"/>
              <w:jc w:val="center"/>
              <w:rPr>
                <w:color w:val="000000"/>
                <w:sz w:val="20"/>
                <w:szCs w:val="20"/>
              </w:rPr>
            </w:pPr>
            <w:r w:rsidDel="00000000" w:rsidR="00000000" w:rsidRPr="00000000">
              <w:rPr>
                <w:color w:val="000000"/>
                <w:sz w:val="20"/>
                <w:szCs w:val="20"/>
                <w:rtl w:val="0"/>
              </w:rPr>
              <w:t xml:space="preserve">Etanercept</w:t>
              <w:br w:type="textWrapping"/>
              <w:t xml:space="preserve"> (8,630)</w:t>
              <w:br w:type="textWrapping"/>
              <w:t xml:space="preserve">Infliximab</w:t>
              <w:br w:type="textWrapping"/>
              <w:t xml:space="preserve"> (4,908)</w:t>
              <w:br w:type="textWrapping"/>
              <w:t xml:space="preserve">Adalimumab</w:t>
              <w:br w:type="textWrapping"/>
              <w:t xml:space="preserve"> (7,818)</w:t>
              <w:br w:type="textWrapping"/>
              <w:t xml:space="preserve">Certolizumab</w:t>
              <w:br w:type="textWrapping"/>
              <w:t xml:space="preserve">(1,446)</w:t>
            </w:r>
          </w:p>
        </w:tc>
        <w:tc>
          <w:tcPr>
            <w:shd w:fill="auto" w:val="clear"/>
            <w:vAlign w:val="center"/>
          </w:tcPr>
          <w:p w:rsidR="00000000" w:rsidDel="00000000" w:rsidP="00000000" w:rsidRDefault="00000000" w:rsidRPr="00000000" w14:paraId="000001EA">
            <w:pPr>
              <w:spacing w:after="0" w:before="0" w:lineRule="auto"/>
              <w:jc w:val="center"/>
              <w:rPr>
                <w:color w:val="000000"/>
                <w:sz w:val="20"/>
                <w:szCs w:val="20"/>
              </w:rPr>
            </w:pPr>
            <w:r w:rsidDel="00000000" w:rsidR="00000000" w:rsidRPr="00000000">
              <w:rPr>
                <w:color w:val="000000"/>
                <w:sz w:val="20"/>
                <w:szCs w:val="20"/>
                <w:rtl w:val="0"/>
              </w:rPr>
              <w:t xml:space="preserve">Rituximab</w:t>
              <w:br w:type="textWrapping"/>
              <w:t xml:space="preserve"> (5,101)</w:t>
              <w:br w:type="textWrapping"/>
              <w:t xml:space="preserve">Tocilizumab</w:t>
              <w:br w:type="textWrapping"/>
              <w:t xml:space="preserve">(2,174)</w:t>
            </w:r>
          </w:p>
        </w:tc>
        <w:tc>
          <w:tcPr>
            <w:shd w:fill="auto" w:val="clear"/>
            <w:vAlign w:val="center"/>
          </w:tcPr>
          <w:p w:rsidR="00000000" w:rsidDel="00000000" w:rsidP="00000000" w:rsidRDefault="00000000" w:rsidRPr="00000000" w14:paraId="000001EB">
            <w:pPr>
              <w:spacing w:after="0" w:before="0" w:lineRule="auto"/>
              <w:jc w:val="center"/>
              <w:rPr>
                <w:color w:val="000000"/>
                <w:sz w:val="20"/>
                <w:szCs w:val="20"/>
              </w:rPr>
            </w:pPr>
            <w:r w:rsidDel="00000000" w:rsidR="00000000" w:rsidRPr="00000000">
              <w:rPr>
                <w:color w:val="000000"/>
                <w:sz w:val="20"/>
                <w:szCs w:val="20"/>
                <w:rtl w:val="0"/>
              </w:rPr>
              <w:t xml:space="preserve">56-60</w:t>
            </w:r>
          </w:p>
        </w:tc>
        <w:tc>
          <w:tcPr>
            <w:shd w:fill="auto" w:val="clear"/>
            <w:vAlign w:val="center"/>
          </w:tcPr>
          <w:p w:rsidR="00000000" w:rsidDel="00000000" w:rsidP="00000000" w:rsidRDefault="00000000" w:rsidRPr="00000000" w14:paraId="000001EC">
            <w:pPr>
              <w:spacing w:after="0" w:before="0" w:lineRule="auto"/>
              <w:jc w:val="center"/>
              <w:rPr>
                <w:color w:val="000000"/>
                <w:sz w:val="20"/>
                <w:szCs w:val="20"/>
              </w:rPr>
            </w:pPr>
            <w:r w:rsidDel="00000000" w:rsidR="00000000" w:rsidRPr="00000000">
              <w:rPr>
                <w:color w:val="000000"/>
                <w:sz w:val="20"/>
                <w:szCs w:val="20"/>
                <w:rtl w:val="0"/>
              </w:rPr>
              <w:t xml:space="preserve">Age, sex, DAS28-ESR, HAQ, disease duration, smoking, seropositivity, polypharmacy, baseline steroid usage and poly-pharmacy as a surrogate for comorbidity</w:t>
            </w:r>
          </w:p>
        </w:tc>
        <w:tc>
          <w:tcPr>
            <w:vAlign w:val="center"/>
          </w:tcPr>
          <w:p w:rsidR="00000000" w:rsidDel="00000000" w:rsidP="00000000" w:rsidRDefault="00000000" w:rsidRPr="00000000" w14:paraId="000001ED">
            <w:pPr>
              <w:spacing w:after="0" w:before="0" w:lineRule="auto"/>
              <w:jc w:val="center"/>
              <w:rPr>
                <w:color w:val="000000"/>
                <w:sz w:val="20"/>
                <w:szCs w:val="20"/>
              </w:rPr>
            </w:pPr>
            <w:r w:rsidDel="00000000" w:rsidR="00000000" w:rsidRPr="00000000">
              <w:rPr>
                <w:sz w:val="20"/>
                <w:szCs w:val="20"/>
                <w:rtl w:val="0"/>
              </w:rPr>
              <w:t xml:space="preserve">Asthma, Diabetes, and Chronic obstructive pulmonary disease</w:t>
            </w:r>
            <w:r w:rsidDel="00000000" w:rsidR="00000000" w:rsidRPr="00000000">
              <w:rPr>
                <w:rtl w:val="0"/>
              </w:rPr>
            </w:r>
          </w:p>
        </w:tc>
        <w:tc>
          <w:tcPr>
            <w:vAlign w:val="center"/>
          </w:tcPr>
          <w:p w:rsidR="00000000" w:rsidDel="00000000" w:rsidP="00000000" w:rsidRDefault="00000000" w:rsidRPr="00000000" w14:paraId="000001EE">
            <w:pPr>
              <w:spacing w:after="0" w:before="0" w:lineRule="auto"/>
              <w:jc w:val="center"/>
              <w:rPr>
                <w:color w:val="000000"/>
                <w:sz w:val="20"/>
                <w:szCs w:val="20"/>
              </w:rPr>
            </w:pPr>
            <w:r w:rsidDel="00000000" w:rsidR="00000000" w:rsidRPr="00000000">
              <w:rPr>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EF">
            <w:pPr>
              <w:jc w:val="center"/>
              <w:rPr>
                <w:sz w:val="20"/>
                <w:szCs w:val="20"/>
              </w:rPr>
            </w:pPr>
            <w:r w:rsidDel="00000000" w:rsidR="00000000" w:rsidRPr="00000000">
              <w:rPr>
                <w:sz w:val="20"/>
                <w:szCs w:val="20"/>
                <w:rtl w:val="0"/>
              </w:rPr>
              <w:t xml:space="preserve">Patient questionnaires, physician questionnaires or</w:t>
            </w:r>
          </w:p>
          <w:p w:rsidR="00000000" w:rsidDel="00000000" w:rsidP="00000000" w:rsidRDefault="00000000" w:rsidRPr="00000000" w14:paraId="000001F0">
            <w:pPr>
              <w:spacing w:after="0" w:before="0" w:lineRule="auto"/>
              <w:jc w:val="center"/>
              <w:rPr>
                <w:color w:val="000000"/>
                <w:sz w:val="20"/>
                <w:szCs w:val="20"/>
              </w:rPr>
            </w:pPr>
            <w:r w:rsidDel="00000000" w:rsidR="00000000" w:rsidRPr="00000000">
              <w:rPr>
                <w:sz w:val="20"/>
                <w:szCs w:val="20"/>
                <w:rtl w:val="0"/>
              </w:rPr>
              <w:t xml:space="preserve">death certificates</w:t>
            </w:r>
            <w:r w:rsidDel="00000000" w:rsidR="00000000" w:rsidRPr="00000000">
              <w:rPr>
                <w:rtl w:val="0"/>
              </w:rPr>
            </w:r>
          </w:p>
        </w:tc>
      </w:tr>
      <w:tr>
        <w:trPr>
          <w:cantSplit w:val="0"/>
          <w:trHeight w:val="1260" w:hRule="atLeast"/>
          <w:tblHeader w:val="0"/>
        </w:trPr>
        <w:tc>
          <w:tcPr>
            <w:shd w:fill="auto" w:val="clear"/>
            <w:vAlign w:val="center"/>
          </w:tcPr>
          <w:p w:rsidR="00000000" w:rsidDel="00000000" w:rsidP="00000000" w:rsidRDefault="00000000" w:rsidRPr="00000000" w14:paraId="000001F1">
            <w:pPr>
              <w:spacing w:after="0" w:before="0" w:lineRule="auto"/>
              <w:jc w:val="center"/>
              <w:rPr>
                <w:color w:val="000000"/>
                <w:sz w:val="20"/>
                <w:szCs w:val="20"/>
              </w:rPr>
            </w:pPr>
            <w:r w:rsidDel="00000000" w:rsidR="00000000" w:rsidRPr="00000000">
              <w:rPr>
                <w:color w:val="000000"/>
                <w:sz w:val="20"/>
                <w:szCs w:val="20"/>
                <w:rtl w:val="0"/>
              </w:rPr>
              <w:t xml:space="preserve">Sakai</w:t>
            </w:r>
          </w:p>
        </w:tc>
        <w:tc>
          <w:tcPr>
            <w:shd w:fill="auto" w:val="clear"/>
            <w:vAlign w:val="center"/>
          </w:tcPr>
          <w:p w:rsidR="00000000" w:rsidDel="00000000" w:rsidP="00000000" w:rsidRDefault="00000000" w:rsidRPr="00000000" w14:paraId="000001F2">
            <w:pPr>
              <w:spacing w:after="0" w:before="0" w:lineRule="auto"/>
              <w:jc w:val="center"/>
              <w:rPr>
                <w:color w:val="000000"/>
                <w:sz w:val="20"/>
                <w:szCs w:val="20"/>
              </w:rPr>
            </w:pPr>
            <w:r w:rsidDel="00000000" w:rsidR="00000000" w:rsidRPr="00000000">
              <w:rPr>
                <w:color w:val="000000"/>
                <w:sz w:val="20"/>
                <w:szCs w:val="20"/>
                <w:rtl w:val="0"/>
              </w:rPr>
              <w:t xml:space="preserve">2018</w:t>
            </w:r>
          </w:p>
        </w:tc>
        <w:tc>
          <w:tcPr>
            <w:shd w:fill="auto" w:val="clear"/>
            <w:vAlign w:val="center"/>
          </w:tcPr>
          <w:p w:rsidR="00000000" w:rsidDel="00000000" w:rsidP="00000000" w:rsidRDefault="00000000" w:rsidRPr="00000000" w14:paraId="000001F3">
            <w:pPr>
              <w:spacing w:after="0" w:before="0" w:lineRule="auto"/>
              <w:jc w:val="center"/>
              <w:rPr>
                <w:color w:val="000000"/>
                <w:sz w:val="20"/>
                <w:szCs w:val="20"/>
              </w:rPr>
            </w:pPr>
            <w:r w:rsidDel="00000000" w:rsidR="00000000" w:rsidRPr="00000000">
              <w:rPr>
                <w:color w:val="000000"/>
                <w:sz w:val="20"/>
                <w:szCs w:val="20"/>
                <w:rtl w:val="0"/>
              </w:rPr>
              <w:t xml:space="preserve">Nested case-control</w:t>
              <w:br w:type="textWrapping"/>
              <w:t xml:space="preserve">2005-2013</w:t>
            </w:r>
          </w:p>
        </w:tc>
        <w:tc>
          <w:tcPr>
            <w:shd w:fill="auto" w:val="clear"/>
            <w:vAlign w:val="center"/>
          </w:tcPr>
          <w:p w:rsidR="00000000" w:rsidDel="00000000" w:rsidP="00000000" w:rsidRDefault="00000000" w:rsidRPr="00000000" w14:paraId="000001F4">
            <w:pPr>
              <w:spacing w:after="0" w:before="0" w:lineRule="auto"/>
              <w:jc w:val="center"/>
              <w:rPr>
                <w:color w:val="000000"/>
                <w:sz w:val="20"/>
                <w:szCs w:val="20"/>
              </w:rPr>
            </w:pPr>
            <w:r w:rsidDel="00000000" w:rsidR="00000000" w:rsidRPr="00000000">
              <w:rPr>
                <w:color w:val="000000"/>
                <w:sz w:val="20"/>
                <w:szCs w:val="20"/>
                <w:rtl w:val="0"/>
              </w:rPr>
              <w:t xml:space="preserve">Japanese health insurance database</w:t>
            </w:r>
          </w:p>
        </w:tc>
        <w:tc>
          <w:tcPr>
            <w:shd w:fill="auto" w:val="clear"/>
            <w:vAlign w:val="center"/>
          </w:tcPr>
          <w:p w:rsidR="00000000" w:rsidDel="00000000" w:rsidP="00000000" w:rsidRDefault="00000000" w:rsidRPr="00000000" w14:paraId="000001F5">
            <w:pPr>
              <w:spacing w:after="0" w:before="0" w:lineRule="auto"/>
              <w:jc w:val="center"/>
              <w:rPr>
                <w:color w:val="000000"/>
                <w:sz w:val="20"/>
                <w:szCs w:val="20"/>
              </w:rPr>
            </w:pPr>
            <w:r w:rsidDel="00000000" w:rsidR="00000000" w:rsidRPr="00000000">
              <w:rPr>
                <w:color w:val="000000"/>
                <w:sz w:val="20"/>
                <w:szCs w:val="20"/>
                <w:rtl w:val="0"/>
              </w:rPr>
              <w:t xml:space="preserve">TNFi</w:t>
              <w:br w:type="textWrapping"/>
              <w:t xml:space="preserve">(129)</w:t>
            </w:r>
          </w:p>
        </w:tc>
        <w:tc>
          <w:tcPr>
            <w:shd w:fill="auto" w:val="clear"/>
            <w:vAlign w:val="center"/>
          </w:tcPr>
          <w:p w:rsidR="00000000" w:rsidDel="00000000" w:rsidP="00000000" w:rsidRDefault="00000000" w:rsidRPr="00000000" w14:paraId="000001F6">
            <w:pPr>
              <w:spacing w:after="0" w:before="0" w:lineRule="auto"/>
              <w:jc w:val="center"/>
              <w:rPr>
                <w:color w:val="000000"/>
                <w:sz w:val="20"/>
                <w:szCs w:val="20"/>
              </w:rPr>
            </w:pPr>
            <w:r w:rsidDel="00000000" w:rsidR="00000000" w:rsidRPr="00000000">
              <w:rPr>
                <w:color w:val="000000"/>
                <w:sz w:val="20"/>
                <w:szCs w:val="20"/>
                <w:rtl w:val="0"/>
              </w:rPr>
              <w:t xml:space="preserve">Non-TNFi </w:t>
              <w:br w:type="textWrapping"/>
              <w:t xml:space="preserve">(35)</w:t>
            </w:r>
          </w:p>
        </w:tc>
        <w:tc>
          <w:tcPr>
            <w:shd w:fill="auto" w:val="clear"/>
            <w:vAlign w:val="center"/>
          </w:tcPr>
          <w:p w:rsidR="00000000" w:rsidDel="00000000" w:rsidP="00000000" w:rsidRDefault="00000000" w:rsidRPr="00000000" w14:paraId="000001F7">
            <w:pPr>
              <w:spacing w:after="0" w:before="0" w:lineRule="auto"/>
              <w:jc w:val="center"/>
              <w:rPr>
                <w:color w:val="000000"/>
                <w:sz w:val="20"/>
                <w:szCs w:val="20"/>
              </w:rPr>
            </w:pPr>
            <w:r w:rsidDel="00000000" w:rsidR="00000000" w:rsidRPr="00000000">
              <w:rPr>
                <w:color w:val="000000"/>
                <w:sz w:val="20"/>
                <w:szCs w:val="20"/>
                <w:rtl w:val="0"/>
              </w:rPr>
              <w:t xml:space="preserve">55</w:t>
            </w:r>
          </w:p>
        </w:tc>
        <w:tc>
          <w:tcPr>
            <w:shd w:fill="auto" w:val="clear"/>
            <w:vAlign w:val="center"/>
          </w:tcPr>
          <w:p w:rsidR="00000000" w:rsidDel="00000000" w:rsidP="00000000" w:rsidRDefault="00000000" w:rsidRPr="00000000" w14:paraId="000001F8">
            <w:pPr>
              <w:spacing w:after="0" w:before="0" w:lineRule="auto"/>
              <w:jc w:val="center"/>
              <w:rPr>
                <w:color w:val="000000"/>
                <w:sz w:val="20"/>
                <w:szCs w:val="20"/>
              </w:rPr>
            </w:pPr>
            <w:r w:rsidDel="00000000" w:rsidR="00000000" w:rsidRPr="00000000">
              <w:rPr>
                <w:color w:val="000000"/>
                <w:sz w:val="20"/>
                <w:szCs w:val="20"/>
                <w:rtl w:val="0"/>
              </w:rPr>
              <w:t xml:space="preserve">Previous Herpes-Zoster infection, renal disease and diabetes</w:t>
            </w:r>
          </w:p>
        </w:tc>
        <w:tc>
          <w:tcPr>
            <w:vAlign w:val="center"/>
          </w:tcPr>
          <w:p w:rsidR="00000000" w:rsidDel="00000000" w:rsidP="00000000" w:rsidRDefault="00000000" w:rsidRPr="00000000" w14:paraId="000001F9">
            <w:pPr>
              <w:jc w:val="center"/>
              <w:rPr>
                <w:sz w:val="20"/>
                <w:szCs w:val="20"/>
              </w:rPr>
            </w:pPr>
            <w:r w:rsidDel="00000000" w:rsidR="00000000" w:rsidRPr="00000000">
              <w:rPr>
                <w:sz w:val="20"/>
                <w:szCs w:val="20"/>
                <w:rtl w:val="0"/>
              </w:rPr>
              <w:t xml:space="preserve">Chronic pulmonary</w:t>
            </w:r>
          </w:p>
          <w:p w:rsidR="00000000" w:rsidDel="00000000" w:rsidP="00000000" w:rsidRDefault="00000000" w:rsidRPr="00000000" w14:paraId="000001FA">
            <w:pPr>
              <w:spacing w:after="0" w:before="0" w:lineRule="auto"/>
              <w:jc w:val="center"/>
              <w:rPr>
                <w:color w:val="000000"/>
                <w:sz w:val="20"/>
                <w:szCs w:val="20"/>
              </w:rPr>
            </w:pPr>
            <w:r w:rsidDel="00000000" w:rsidR="00000000" w:rsidRPr="00000000">
              <w:rPr>
                <w:sz w:val="20"/>
                <w:szCs w:val="20"/>
                <w:rtl w:val="0"/>
              </w:rPr>
              <w:t xml:space="preserve">disease, Renal disease, and Diabetes mellitus</w:t>
            </w:r>
            <w:r w:rsidDel="00000000" w:rsidR="00000000" w:rsidRPr="00000000">
              <w:rPr>
                <w:rtl w:val="0"/>
              </w:rPr>
            </w:r>
          </w:p>
        </w:tc>
        <w:tc>
          <w:tcPr>
            <w:vAlign w:val="center"/>
          </w:tcPr>
          <w:p w:rsidR="00000000" w:rsidDel="00000000" w:rsidP="00000000" w:rsidRDefault="00000000" w:rsidRPr="00000000" w14:paraId="000001FB">
            <w:pPr>
              <w:spacing w:after="0" w:before="0" w:lineRule="auto"/>
              <w:jc w:val="center"/>
              <w:rPr>
                <w:color w:val="000000"/>
                <w:sz w:val="20"/>
                <w:szCs w:val="20"/>
              </w:rPr>
            </w:pPr>
            <w:r w:rsidDel="00000000" w:rsidR="00000000" w:rsidRPr="00000000">
              <w:rPr>
                <w:sz w:val="20"/>
                <w:szCs w:val="20"/>
                <w:rtl w:val="0"/>
              </w:rPr>
              <w:t xml:space="preserve">ICD-10 code M05, M060, M062, M063, M068, and M069</w:t>
            </w:r>
            <w:r w:rsidDel="00000000" w:rsidR="00000000" w:rsidRPr="00000000">
              <w:rPr>
                <w:rtl w:val="0"/>
              </w:rPr>
            </w:r>
          </w:p>
        </w:tc>
        <w:tc>
          <w:tcPr>
            <w:vAlign w:val="center"/>
          </w:tcPr>
          <w:p w:rsidR="00000000" w:rsidDel="00000000" w:rsidP="00000000" w:rsidRDefault="00000000" w:rsidRPr="00000000" w14:paraId="000001FC">
            <w:pPr>
              <w:jc w:val="center"/>
              <w:rPr>
                <w:sz w:val="20"/>
                <w:szCs w:val="20"/>
              </w:rPr>
            </w:pPr>
            <w:r w:rsidDel="00000000" w:rsidR="00000000" w:rsidRPr="00000000">
              <w:rPr>
                <w:sz w:val="20"/>
                <w:szCs w:val="20"/>
                <w:rtl w:val="0"/>
              </w:rPr>
              <w:t xml:space="preserve">ICD-10 code B02</w:t>
            </w:r>
          </w:p>
          <w:p w:rsidR="00000000" w:rsidDel="00000000" w:rsidP="00000000" w:rsidRDefault="00000000" w:rsidRPr="00000000" w14:paraId="000001FD">
            <w:pPr>
              <w:jc w:val="center"/>
              <w:rPr>
                <w:sz w:val="20"/>
                <w:szCs w:val="20"/>
              </w:rPr>
            </w:pPr>
            <w:r w:rsidDel="00000000" w:rsidR="00000000" w:rsidRPr="00000000">
              <w:rPr>
                <w:sz w:val="20"/>
                <w:szCs w:val="20"/>
                <w:rtl w:val="0"/>
              </w:rPr>
              <w:t xml:space="preserve">Prescription of antiviral</w:t>
            </w:r>
          </w:p>
          <w:p w:rsidR="00000000" w:rsidDel="00000000" w:rsidP="00000000" w:rsidRDefault="00000000" w:rsidRPr="00000000" w14:paraId="000001FE">
            <w:pPr>
              <w:spacing w:after="0" w:before="0" w:lineRule="auto"/>
              <w:jc w:val="center"/>
              <w:rPr>
                <w:color w:val="000000"/>
                <w:sz w:val="20"/>
                <w:szCs w:val="20"/>
              </w:rPr>
            </w:pPr>
            <w:r w:rsidDel="00000000" w:rsidR="00000000" w:rsidRPr="00000000">
              <w:rPr>
                <w:sz w:val="20"/>
                <w:szCs w:val="20"/>
                <w:rtl w:val="0"/>
              </w:rPr>
              <w:t xml:space="preserve">drugs for Herpes Zoster in the same month during the observation period</w:t>
            </w:r>
            <w:r w:rsidDel="00000000" w:rsidR="00000000" w:rsidRPr="00000000">
              <w:rPr>
                <w:rtl w:val="0"/>
              </w:rPr>
            </w:r>
          </w:p>
        </w:tc>
      </w:tr>
      <w:tr>
        <w:trPr>
          <w:cantSplit w:val="0"/>
          <w:trHeight w:val="1530" w:hRule="atLeast"/>
          <w:tblHeader w:val="0"/>
        </w:trPr>
        <w:tc>
          <w:tcPr>
            <w:shd w:fill="auto" w:val="clear"/>
            <w:vAlign w:val="center"/>
          </w:tcPr>
          <w:p w:rsidR="00000000" w:rsidDel="00000000" w:rsidP="00000000" w:rsidRDefault="00000000" w:rsidRPr="00000000" w14:paraId="000001FF">
            <w:pPr>
              <w:spacing w:after="0" w:before="0" w:lineRule="auto"/>
              <w:jc w:val="center"/>
              <w:rPr>
                <w:color w:val="000000"/>
                <w:sz w:val="20"/>
                <w:szCs w:val="20"/>
              </w:rPr>
            </w:pPr>
            <w:r w:rsidDel="00000000" w:rsidR="00000000" w:rsidRPr="00000000">
              <w:rPr>
                <w:color w:val="000000"/>
                <w:sz w:val="20"/>
                <w:szCs w:val="20"/>
                <w:rtl w:val="0"/>
              </w:rPr>
              <w:t xml:space="preserve">Yun</w:t>
            </w:r>
          </w:p>
        </w:tc>
        <w:tc>
          <w:tcPr>
            <w:shd w:fill="auto" w:val="clear"/>
            <w:vAlign w:val="center"/>
          </w:tcPr>
          <w:p w:rsidR="00000000" w:rsidDel="00000000" w:rsidP="00000000" w:rsidRDefault="00000000" w:rsidRPr="00000000" w14:paraId="00000200">
            <w:pPr>
              <w:spacing w:after="0" w:before="0" w:lineRule="auto"/>
              <w:jc w:val="center"/>
              <w:rPr>
                <w:color w:val="000000"/>
                <w:sz w:val="20"/>
                <w:szCs w:val="20"/>
              </w:rPr>
            </w:pPr>
            <w:r w:rsidDel="00000000" w:rsidR="00000000" w:rsidRPr="00000000">
              <w:rPr>
                <w:color w:val="000000"/>
                <w:sz w:val="20"/>
                <w:szCs w:val="20"/>
                <w:rtl w:val="0"/>
              </w:rPr>
              <w:t xml:space="preserve">2015</w:t>
            </w:r>
          </w:p>
        </w:tc>
        <w:tc>
          <w:tcPr>
            <w:shd w:fill="auto" w:val="clear"/>
            <w:vAlign w:val="center"/>
          </w:tcPr>
          <w:p w:rsidR="00000000" w:rsidDel="00000000" w:rsidP="00000000" w:rsidRDefault="00000000" w:rsidRPr="00000000" w14:paraId="00000201">
            <w:pPr>
              <w:spacing w:after="0" w:before="0" w:lineRule="auto"/>
              <w:jc w:val="center"/>
              <w:rPr>
                <w:color w:val="000000"/>
                <w:sz w:val="20"/>
                <w:szCs w:val="20"/>
              </w:rPr>
            </w:pPr>
            <w:r w:rsidDel="00000000" w:rsidR="00000000" w:rsidRPr="00000000">
              <w:rPr>
                <w:color w:val="000000"/>
                <w:sz w:val="20"/>
                <w:szCs w:val="20"/>
                <w:rtl w:val="0"/>
              </w:rPr>
              <w:t xml:space="preserve">Retrospective cohort</w:t>
              <w:br w:type="textWrapping"/>
              <w:t xml:space="preserve">2006-2010</w:t>
            </w:r>
          </w:p>
        </w:tc>
        <w:tc>
          <w:tcPr>
            <w:shd w:fill="auto" w:val="clear"/>
            <w:vAlign w:val="center"/>
          </w:tcPr>
          <w:p w:rsidR="00000000" w:rsidDel="00000000" w:rsidP="00000000" w:rsidRDefault="00000000" w:rsidRPr="00000000" w14:paraId="00000202">
            <w:pPr>
              <w:spacing w:after="0" w:before="0" w:lineRule="auto"/>
              <w:jc w:val="center"/>
              <w:rPr>
                <w:color w:val="000000"/>
                <w:sz w:val="20"/>
                <w:szCs w:val="20"/>
              </w:rPr>
            </w:pPr>
            <w:r w:rsidDel="00000000" w:rsidR="00000000" w:rsidRPr="00000000">
              <w:rPr>
                <w:color w:val="000000"/>
                <w:sz w:val="20"/>
                <w:szCs w:val="20"/>
                <w:rtl w:val="0"/>
              </w:rPr>
              <w:t xml:space="preserve">Centers for Medicare and Medicaid Services (CMS)</w:t>
            </w:r>
          </w:p>
        </w:tc>
        <w:tc>
          <w:tcPr>
            <w:shd w:fill="auto" w:val="clear"/>
            <w:vAlign w:val="center"/>
          </w:tcPr>
          <w:p w:rsidR="00000000" w:rsidDel="00000000" w:rsidP="00000000" w:rsidRDefault="00000000" w:rsidRPr="00000000" w14:paraId="00000203">
            <w:pPr>
              <w:spacing w:after="0" w:before="0" w:lineRule="auto"/>
              <w:jc w:val="center"/>
              <w:rPr>
                <w:color w:val="000000"/>
                <w:sz w:val="20"/>
                <w:szCs w:val="20"/>
              </w:rPr>
            </w:pPr>
            <w:r w:rsidDel="00000000" w:rsidR="00000000" w:rsidRPr="00000000">
              <w:rPr>
                <w:color w:val="000000"/>
                <w:sz w:val="20"/>
                <w:szCs w:val="20"/>
                <w:rtl w:val="0"/>
              </w:rPr>
              <w:t xml:space="preserve">Adalimumab</w:t>
              <w:br w:type="textWrapping"/>
              <w:t xml:space="preserve">(1,423)</w:t>
              <w:br w:type="textWrapping"/>
              <w:t xml:space="preserve">Etanercept</w:t>
              <w:br w:type="textWrapping"/>
              <w:t xml:space="preserve">(1,831)</w:t>
              <w:br w:type="textWrapping"/>
              <w:t xml:space="preserve">Rituximab</w:t>
              <w:br w:type="textWrapping"/>
              <w:t xml:space="preserve">(133)</w:t>
            </w:r>
          </w:p>
        </w:tc>
        <w:tc>
          <w:tcPr>
            <w:shd w:fill="auto" w:val="clear"/>
            <w:vAlign w:val="center"/>
          </w:tcPr>
          <w:p w:rsidR="00000000" w:rsidDel="00000000" w:rsidP="00000000" w:rsidRDefault="00000000" w:rsidRPr="00000000" w14:paraId="00000204">
            <w:pPr>
              <w:spacing w:after="0" w:before="0" w:lineRule="auto"/>
              <w:jc w:val="center"/>
              <w:rPr>
                <w:color w:val="000000"/>
                <w:sz w:val="20"/>
                <w:szCs w:val="20"/>
              </w:rPr>
            </w:pPr>
            <w:r w:rsidDel="00000000" w:rsidR="00000000" w:rsidRPr="00000000">
              <w:rPr>
                <w:color w:val="000000"/>
                <w:sz w:val="20"/>
                <w:szCs w:val="20"/>
                <w:rtl w:val="0"/>
              </w:rPr>
              <w:t xml:space="preserve">Abatacept</w:t>
              <w:br w:type="textWrapping"/>
              <w:t xml:space="preserve">(333)</w:t>
              <w:br w:type="textWrapping"/>
              <w:t xml:space="preserve">Infliximab</w:t>
              <w:br w:type="textWrapping"/>
              <w:t xml:space="preserve">(4,087)</w:t>
            </w:r>
          </w:p>
        </w:tc>
        <w:tc>
          <w:tcPr>
            <w:shd w:fill="auto" w:val="clear"/>
            <w:vAlign w:val="center"/>
          </w:tcPr>
          <w:p w:rsidR="00000000" w:rsidDel="00000000" w:rsidP="00000000" w:rsidRDefault="00000000" w:rsidRPr="00000000" w14:paraId="00000205">
            <w:pPr>
              <w:spacing w:after="0" w:before="0" w:lineRule="auto"/>
              <w:jc w:val="center"/>
              <w:rPr>
                <w:color w:val="000000"/>
                <w:sz w:val="20"/>
                <w:szCs w:val="20"/>
              </w:rPr>
            </w:pPr>
            <w:r w:rsidDel="00000000" w:rsidR="00000000" w:rsidRPr="00000000">
              <w:rPr>
                <w:color w:val="000000"/>
                <w:sz w:val="20"/>
                <w:szCs w:val="20"/>
                <w:rtl w:val="0"/>
              </w:rPr>
              <w:t xml:space="preserve">64-69</w:t>
            </w:r>
          </w:p>
        </w:tc>
        <w:tc>
          <w:tcPr>
            <w:shd w:fill="auto" w:val="clear"/>
            <w:vAlign w:val="center"/>
          </w:tcPr>
          <w:p w:rsidR="00000000" w:rsidDel="00000000" w:rsidP="00000000" w:rsidRDefault="00000000" w:rsidRPr="00000000" w14:paraId="00000206">
            <w:pPr>
              <w:spacing w:after="0" w:before="0" w:lineRule="auto"/>
              <w:jc w:val="center"/>
              <w:rPr>
                <w:color w:val="000000"/>
                <w:sz w:val="20"/>
                <w:szCs w:val="20"/>
              </w:rPr>
            </w:pPr>
            <w:r w:rsidDel="00000000" w:rsidR="00000000" w:rsidRPr="00000000">
              <w:rPr>
                <w:color w:val="000000"/>
                <w:sz w:val="20"/>
                <w:szCs w:val="20"/>
                <w:rtl w:val="0"/>
              </w:rPr>
              <w:t xml:space="preserve">Demographics, comorbidities, concurrent medications, and health service utilization</w:t>
            </w:r>
          </w:p>
        </w:tc>
        <w:tc>
          <w:tcPr>
            <w:vAlign w:val="center"/>
          </w:tcPr>
          <w:p w:rsidR="00000000" w:rsidDel="00000000" w:rsidP="00000000" w:rsidRDefault="00000000" w:rsidRPr="00000000" w14:paraId="00000207">
            <w:pPr>
              <w:jc w:val="center"/>
              <w:rPr>
                <w:sz w:val="20"/>
                <w:szCs w:val="20"/>
              </w:rPr>
            </w:pPr>
            <w:r w:rsidDel="00000000" w:rsidR="00000000" w:rsidRPr="00000000">
              <w:rPr>
                <w:sz w:val="20"/>
                <w:szCs w:val="20"/>
                <w:rtl w:val="0"/>
              </w:rPr>
              <w:t xml:space="preserve">Diabetes, Chronic obstructive pulmonary disease, Heart failure, Angina, and</w:t>
            </w:r>
          </w:p>
          <w:p w:rsidR="00000000" w:rsidDel="00000000" w:rsidP="00000000" w:rsidRDefault="00000000" w:rsidRPr="00000000" w14:paraId="00000208">
            <w:pPr>
              <w:spacing w:after="0" w:before="0" w:lineRule="auto"/>
              <w:jc w:val="center"/>
              <w:rPr>
                <w:color w:val="000000"/>
                <w:sz w:val="20"/>
                <w:szCs w:val="20"/>
              </w:rPr>
            </w:pPr>
            <w:r w:rsidDel="00000000" w:rsidR="00000000" w:rsidRPr="00000000">
              <w:rPr>
                <w:sz w:val="20"/>
                <w:szCs w:val="20"/>
                <w:rtl w:val="0"/>
              </w:rPr>
              <w:t xml:space="preserve">Renal disease</w:t>
            </w:r>
            <w:r w:rsidDel="00000000" w:rsidR="00000000" w:rsidRPr="00000000">
              <w:rPr>
                <w:rtl w:val="0"/>
              </w:rPr>
            </w:r>
          </w:p>
        </w:tc>
        <w:tc>
          <w:tcPr>
            <w:vAlign w:val="center"/>
          </w:tcPr>
          <w:p w:rsidR="00000000" w:rsidDel="00000000" w:rsidP="00000000" w:rsidRDefault="00000000" w:rsidRPr="00000000" w14:paraId="00000209">
            <w:pPr>
              <w:spacing w:after="0" w:before="0" w:lineRule="auto"/>
              <w:jc w:val="center"/>
              <w:rPr>
                <w:color w:val="000000"/>
                <w:sz w:val="20"/>
                <w:szCs w:val="20"/>
              </w:rPr>
            </w:pPr>
            <w:r w:rsidDel="00000000" w:rsidR="00000000" w:rsidRPr="00000000">
              <w:rPr>
                <w:sz w:val="20"/>
                <w:szCs w:val="20"/>
                <w:rtl w:val="0"/>
              </w:rPr>
              <w:t xml:space="preserve">ICD-9 code 714.x</w:t>
            </w:r>
            <w:r w:rsidDel="00000000" w:rsidR="00000000" w:rsidRPr="00000000">
              <w:rPr>
                <w:rtl w:val="0"/>
              </w:rPr>
            </w:r>
          </w:p>
        </w:tc>
        <w:tc>
          <w:tcPr>
            <w:vAlign w:val="center"/>
          </w:tcPr>
          <w:p w:rsidR="00000000" w:rsidDel="00000000" w:rsidP="00000000" w:rsidRDefault="00000000" w:rsidRPr="00000000" w14:paraId="0000020A">
            <w:pPr>
              <w:spacing w:after="0" w:before="0" w:lineRule="auto"/>
              <w:jc w:val="center"/>
              <w:rPr>
                <w:color w:val="000000"/>
                <w:sz w:val="20"/>
                <w:szCs w:val="20"/>
              </w:rPr>
            </w:pPr>
            <w:r w:rsidDel="00000000" w:rsidR="00000000" w:rsidRPr="00000000">
              <w:rPr>
                <w:sz w:val="20"/>
                <w:szCs w:val="20"/>
                <w:rtl w:val="0"/>
              </w:rPr>
              <w:t xml:space="preserve">Hospital diagnosis codes for infections in any position</w:t>
            </w:r>
            <w:r w:rsidDel="00000000" w:rsidR="00000000" w:rsidRPr="00000000">
              <w:rPr>
                <w:rtl w:val="0"/>
              </w:rPr>
            </w:r>
          </w:p>
        </w:tc>
      </w:tr>
      <w:tr>
        <w:trPr>
          <w:cantSplit w:val="0"/>
          <w:trHeight w:val="3570" w:hRule="atLeast"/>
          <w:tblHeader w:val="0"/>
        </w:trPr>
        <w:tc>
          <w:tcPr>
            <w:shd w:fill="auto" w:val="clear"/>
            <w:vAlign w:val="center"/>
          </w:tcPr>
          <w:p w:rsidR="00000000" w:rsidDel="00000000" w:rsidP="00000000" w:rsidRDefault="00000000" w:rsidRPr="00000000" w14:paraId="0000020B">
            <w:pPr>
              <w:spacing w:after="0" w:before="0" w:lineRule="auto"/>
              <w:jc w:val="center"/>
              <w:rPr>
                <w:color w:val="000000"/>
                <w:sz w:val="20"/>
                <w:szCs w:val="20"/>
              </w:rPr>
            </w:pPr>
            <w:r w:rsidDel="00000000" w:rsidR="00000000" w:rsidRPr="00000000">
              <w:rPr>
                <w:color w:val="000000"/>
                <w:sz w:val="20"/>
                <w:szCs w:val="20"/>
                <w:rtl w:val="0"/>
              </w:rPr>
              <w:t xml:space="preserve">Yun</w:t>
            </w:r>
          </w:p>
        </w:tc>
        <w:tc>
          <w:tcPr>
            <w:shd w:fill="auto" w:val="clear"/>
            <w:vAlign w:val="center"/>
          </w:tcPr>
          <w:p w:rsidR="00000000" w:rsidDel="00000000" w:rsidP="00000000" w:rsidRDefault="00000000" w:rsidRPr="00000000" w14:paraId="0000020C">
            <w:pPr>
              <w:spacing w:after="0" w:before="0" w:lineRule="auto"/>
              <w:jc w:val="center"/>
              <w:rPr>
                <w:color w:val="000000"/>
                <w:sz w:val="20"/>
                <w:szCs w:val="20"/>
              </w:rPr>
            </w:pPr>
            <w:r w:rsidDel="00000000" w:rsidR="00000000" w:rsidRPr="00000000">
              <w:rPr>
                <w:color w:val="000000"/>
                <w:sz w:val="20"/>
                <w:szCs w:val="20"/>
                <w:rtl w:val="0"/>
              </w:rPr>
              <w:t xml:space="preserve">2016</w:t>
            </w:r>
          </w:p>
        </w:tc>
        <w:tc>
          <w:tcPr>
            <w:shd w:fill="auto" w:val="clear"/>
            <w:vAlign w:val="center"/>
          </w:tcPr>
          <w:p w:rsidR="00000000" w:rsidDel="00000000" w:rsidP="00000000" w:rsidRDefault="00000000" w:rsidRPr="00000000" w14:paraId="0000020D">
            <w:pPr>
              <w:spacing w:after="0" w:before="0" w:lineRule="auto"/>
              <w:jc w:val="center"/>
              <w:rPr>
                <w:color w:val="000000"/>
                <w:sz w:val="20"/>
                <w:szCs w:val="20"/>
              </w:rPr>
            </w:pPr>
            <w:r w:rsidDel="00000000" w:rsidR="00000000" w:rsidRPr="00000000">
              <w:rPr>
                <w:color w:val="000000"/>
                <w:sz w:val="20"/>
                <w:szCs w:val="20"/>
                <w:rtl w:val="0"/>
              </w:rPr>
              <w:t xml:space="preserve">Retrospective cohort</w:t>
              <w:br w:type="textWrapping"/>
              <w:t xml:space="preserve">2006-2011</w:t>
            </w:r>
          </w:p>
        </w:tc>
        <w:tc>
          <w:tcPr>
            <w:shd w:fill="auto" w:val="clear"/>
            <w:vAlign w:val="center"/>
          </w:tcPr>
          <w:p w:rsidR="00000000" w:rsidDel="00000000" w:rsidP="00000000" w:rsidRDefault="00000000" w:rsidRPr="00000000" w14:paraId="0000020E">
            <w:pPr>
              <w:spacing w:after="0" w:before="0" w:lineRule="auto"/>
              <w:jc w:val="center"/>
              <w:rPr>
                <w:color w:val="000000"/>
                <w:sz w:val="20"/>
                <w:szCs w:val="20"/>
              </w:rPr>
            </w:pPr>
            <w:r w:rsidDel="00000000" w:rsidR="00000000" w:rsidRPr="00000000">
              <w:rPr>
                <w:color w:val="000000"/>
                <w:sz w:val="20"/>
                <w:szCs w:val="20"/>
                <w:rtl w:val="0"/>
              </w:rPr>
              <w:t xml:space="preserve">Medicare administrative data</w:t>
            </w:r>
          </w:p>
        </w:tc>
        <w:tc>
          <w:tcPr>
            <w:shd w:fill="auto" w:val="clear"/>
            <w:vAlign w:val="center"/>
          </w:tcPr>
          <w:p w:rsidR="00000000" w:rsidDel="00000000" w:rsidP="00000000" w:rsidRDefault="00000000" w:rsidRPr="00000000" w14:paraId="0000020F">
            <w:pPr>
              <w:spacing w:after="0" w:before="0" w:lineRule="auto"/>
              <w:jc w:val="center"/>
              <w:rPr>
                <w:color w:val="000000"/>
                <w:sz w:val="20"/>
                <w:szCs w:val="20"/>
              </w:rPr>
            </w:pPr>
            <w:r w:rsidDel="00000000" w:rsidR="00000000" w:rsidRPr="00000000">
              <w:rPr>
                <w:color w:val="000000"/>
                <w:sz w:val="20"/>
                <w:szCs w:val="20"/>
                <w:rtl w:val="0"/>
              </w:rPr>
              <w:t xml:space="preserve">Adalimumab</w:t>
              <w:br w:type="textWrapping"/>
              <w:t xml:space="preserve">(4,845)</w:t>
              <w:br w:type="textWrapping"/>
              <w:t xml:space="preserve">Certolizumab </w:t>
              <w:br w:type="textWrapping"/>
              <w:t xml:space="preserve">(1,866)</w:t>
              <w:br w:type="textWrapping"/>
              <w:t xml:space="preserve">Etanercept</w:t>
              <w:br w:type="textWrapping"/>
              <w:t xml:space="preserve">(3,814)</w:t>
              <w:br w:type="textWrapping"/>
              <w:t xml:space="preserve">Golimumab </w:t>
              <w:br w:type="textWrapping"/>
              <w:t xml:space="preserve">(1,394)</w:t>
              <w:br w:type="textWrapping"/>
              <w:t xml:space="preserve">Infliximab </w:t>
              <w:br w:type="textWrapping"/>
              <w:t xml:space="preserve">(3,944)</w:t>
              <w:br w:type="textWrapping"/>
              <w:t xml:space="preserve">Rituximab</w:t>
              <w:br w:type="textWrapping"/>
              <w:t xml:space="preserve">(4,718)</w:t>
              <w:br w:type="textWrapping"/>
              <w:t xml:space="preserve">Tocilizumab </w:t>
              <w:br w:type="textWrapping"/>
              <w:t xml:space="preserve">(2,016)</w:t>
            </w:r>
          </w:p>
        </w:tc>
        <w:tc>
          <w:tcPr>
            <w:shd w:fill="auto" w:val="clear"/>
            <w:vAlign w:val="center"/>
          </w:tcPr>
          <w:p w:rsidR="00000000" w:rsidDel="00000000" w:rsidP="00000000" w:rsidRDefault="00000000" w:rsidRPr="00000000" w14:paraId="00000210">
            <w:pPr>
              <w:spacing w:after="0" w:before="0" w:lineRule="auto"/>
              <w:jc w:val="center"/>
              <w:rPr>
                <w:color w:val="000000"/>
                <w:sz w:val="20"/>
                <w:szCs w:val="20"/>
              </w:rPr>
            </w:pPr>
            <w:r w:rsidDel="00000000" w:rsidR="00000000" w:rsidRPr="00000000">
              <w:rPr>
                <w:color w:val="000000"/>
                <w:sz w:val="20"/>
                <w:szCs w:val="20"/>
                <w:rtl w:val="0"/>
              </w:rPr>
              <w:t xml:space="preserve">Abatacept</w:t>
            </w:r>
          </w:p>
          <w:p w:rsidR="00000000" w:rsidDel="00000000" w:rsidP="00000000" w:rsidRDefault="00000000" w:rsidRPr="00000000" w14:paraId="00000211">
            <w:pPr>
              <w:spacing w:after="0" w:before="0" w:lineRule="auto"/>
              <w:jc w:val="center"/>
              <w:rPr>
                <w:color w:val="000000"/>
                <w:sz w:val="20"/>
                <w:szCs w:val="20"/>
              </w:rPr>
            </w:pPr>
            <w:r w:rsidDel="00000000" w:rsidR="00000000" w:rsidRPr="00000000">
              <w:rPr>
                <w:color w:val="000000"/>
                <w:sz w:val="20"/>
                <w:szCs w:val="20"/>
                <w:rtl w:val="0"/>
              </w:rPr>
              <w:t xml:space="preserve">(9,204)</w:t>
            </w:r>
          </w:p>
        </w:tc>
        <w:tc>
          <w:tcPr>
            <w:shd w:fill="auto" w:val="clear"/>
            <w:vAlign w:val="center"/>
          </w:tcPr>
          <w:p w:rsidR="00000000" w:rsidDel="00000000" w:rsidP="00000000" w:rsidRDefault="00000000" w:rsidRPr="00000000" w14:paraId="00000212">
            <w:pPr>
              <w:spacing w:after="0" w:before="0" w:lineRule="auto"/>
              <w:jc w:val="center"/>
              <w:rPr>
                <w:color w:val="000000"/>
                <w:sz w:val="20"/>
                <w:szCs w:val="20"/>
              </w:rPr>
            </w:pPr>
            <w:r w:rsidDel="00000000" w:rsidR="00000000" w:rsidRPr="00000000">
              <w:rPr>
                <w:color w:val="000000"/>
                <w:sz w:val="20"/>
                <w:szCs w:val="20"/>
                <w:rtl w:val="0"/>
              </w:rPr>
              <w:t xml:space="preserve">60.4-66.8</w:t>
            </w:r>
          </w:p>
        </w:tc>
        <w:tc>
          <w:tcPr>
            <w:shd w:fill="auto" w:val="clear"/>
            <w:vAlign w:val="center"/>
          </w:tcPr>
          <w:p w:rsidR="00000000" w:rsidDel="00000000" w:rsidP="00000000" w:rsidRDefault="00000000" w:rsidRPr="00000000" w14:paraId="00000213">
            <w:pPr>
              <w:spacing w:after="0" w:before="0" w:lineRule="auto"/>
              <w:jc w:val="center"/>
              <w:rPr>
                <w:color w:val="000000"/>
                <w:sz w:val="20"/>
                <w:szCs w:val="20"/>
              </w:rPr>
            </w:pPr>
            <w:r w:rsidDel="00000000" w:rsidR="00000000" w:rsidRPr="00000000">
              <w:rPr>
                <w:color w:val="000000"/>
                <w:sz w:val="20"/>
                <w:szCs w:val="20"/>
                <w:rtl w:val="0"/>
              </w:rPr>
              <w:t xml:space="preserve">Infection risk score according to factors: age, sex, comorbities, medications, health behaviors and health service utilization, and reasons for receiving Medicare</w:t>
            </w:r>
          </w:p>
        </w:tc>
        <w:tc>
          <w:tcPr>
            <w:vAlign w:val="center"/>
          </w:tcPr>
          <w:p w:rsidR="00000000" w:rsidDel="00000000" w:rsidP="00000000" w:rsidRDefault="00000000" w:rsidRPr="00000000" w14:paraId="00000214">
            <w:pPr>
              <w:jc w:val="center"/>
              <w:rPr>
                <w:sz w:val="20"/>
                <w:szCs w:val="20"/>
              </w:rPr>
            </w:pPr>
            <w:r w:rsidDel="00000000" w:rsidR="00000000" w:rsidRPr="00000000">
              <w:rPr>
                <w:sz w:val="20"/>
                <w:szCs w:val="20"/>
                <w:rtl w:val="0"/>
              </w:rPr>
              <w:t xml:space="preserve">Diabetes mellitus,</w:t>
            </w:r>
          </w:p>
          <w:p w:rsidR="00000000" w:rsidDel="00000000" w:rsidP="00000000" w:rsidRDefault="00000000" w:rsidRPr="00000000" w14:paraId="00000215">
            <w:pPr>
              <w:jc w:val="center"/>
              <w:rPr>
                <w:sz w:val="20"/>
                <w:szCs w:val="20"/>
              </w:rPr>
            </w:pPr>
            <w:r w:rsidDel="00000000" w:rsidR="00000000" w:rsidRPr="00000000">
              <w:rPr>
                <w:sz w:val="20"/>
                <w:szCs w:val="20"/>
                <w:rtl w:val="0"/>
              </w:rPr>
              <w:t xml:space="preserve">Chronic obstructive pulmonary disease,</w:t>
            </w:r>
          </w:p>
          <w:p w:rsidR="00000000" w:rsidDel="00000000" w:rsidP="00000000" w:rsidRDefault="00000000" w:rsidRPr="00000000" w14:paraId="00000216">
            <w:pPr>
              <w:jc w:val="center"/>
              <w:rPr>
                <w:sz w:val="20"/>
                <w:szCs w:val="20"/>
              </w:rPr>
            </w:pPr>
            <w:r w:rsidDel="00000000" w:rsidR="00000000" w:rsidRPr="00000000">
              <w:rPr>
                <w:sz w:val="20"/>
                <w:szCs w:val="20"/>
                <w:rtl w:val="0"/>
              </w:rPr>
              <w:t xml:space="preserve">Heart failure,</w:t>
            </w:r>
          </w:p>
          <w:p w:rsidR="00000000" w:rsidDel="00000000" w:rsidP="00000000" w:rsidRDefault="00000000" w:rsidRPr="00000000" w14:paraId="00000217">
            <w:pPr>
              <w:jc w:val="center"/>
              <w:rPr>
                <w:sz w:val="20"/>
                <w:szCs w:val="20"/>
              </w:rPr>
            </w:pPr>
            <w:r w:rsidDel="00000000" w:rsidR="00000000" w:rsidRPr="00000000">
              <w:rPr>
                <w:sz w:val="20"/>
                <w:szCs w:val="20"/>
                <w:rtl w:val="0"/>
              </w:rPr>
              <w:t xml:space="preserve">Renal disease, and </w:t>
            </w:r>
          </w:p>
          <w:p w:rsidR="00000000" w:rsidDel="00000000" w:rsidP="00000000" w:rsidRDefault="00000000" w:rsidRPr="00000000" w14:paraId="00000218">
            <w:pPr>
              <w:spacing w:after="0" w:before="0" w:lineRule="auto"/>
              <w:jc w:val="center"/>
              <w:rPr>
                <w:color w:val="000000"/>
                <w:sz w:val="20"/>
                <w:szCs w:val="20"/>
              </w:rPr>
            </w:pPr>
            <w:r w:rsidDel="00000000" w:rsidR="00000000" w:rsidRPr="00000000">
              <w:rPr>
                <w:sz w:val="20"/>
                <w:szCs w:val="20"/>
                <w:rtl w:val="0"/>
              </w:rPr>
              <w:t xml:space="preserve">Peptic ulcer disease</w:t>
            </w:r>
            <w:r w:rsidDel="00000000" w:rsidR="00000000" w:rsidRPr="00000000">
              <w:rPr>
                <w:rtl w:val="0"/>
              </w:rPr>
            </w:r>
          </w:p>
        </w:tc>
        <w:tc>
          <w:tcPr>
            <w:vAlign w:val="center"/>
          </w:tcPr>
          <w:p w:rsidR="00000000" w:rsidDel="00000000" w:rsidP="00000000" w:rsidRDefault="00000000" w:rsidRPr="00000000" w14:paraId="00000219">
            <w:pPr>
              <w:spacing w:after="0" w:before="0" w:lineRule="auto"/>
              <w:jc w:val="center"/>
              <w:rPr>
                <w:color w:val="000000"/>
                <w:sz w:val="20"/>
                <w:szCs w:val="20"/>
              </w:rPr>
            </w:pPr>
            <w:r w:rsidDel="00000000" w:rsidR="00000000" w:rsidRPr="00000000">
              <w:rPr>
                <w:sz w:val="20"/>
                <w:szCs w:val="20"/>
                <w:rtl w:val="0"/>
              </w:rPr>
              <w:t xml:space="preserve">ICD-9 code 714.x</w:t>
            </w:r>
            <w:r w:rsidDel="00000000" w:rsidR="00000000" w:rsidRPr="00000000">
              <w:rPr>
                <w:rtl w:val="0"/>
              </w:rPr>
            </w:r>
          </w:p>
        </w:tc>
        <w:tc>
          <w:tcPr>
            <w:vAlign w:val="center"/>
          </w:tcPr>
          <w:p w:rsidR="00000000" w:rsidDel="00000000" w:rsidP="00000000" w:rsidRDefault="00000000" w:rsidRPr="00000000" w14:paraId="0000021A">
            <w:pPr>
              <w:jc w:val="center"/>
              <w:rPr>
                <w:sz w:val="20"/>
                <w:szCs w:val="20"/>
              </w:rPr>
            </w:pPr>
            <w:r w:rsidDel="00000000" w:rsidR="00000000" w:rsidRPr="00000000">
              <w:rPr>
                <w:sz w:val="20"/>
                <w:szCs w:val="20"/>
                <w:rtl w:val="0"/>
              </w:rPr>
              <w:t xml:space="preserve">Inpatient physician discharge diagnosis codes</w:t>
            </w:r>
          </w:p>
          <w:p w:rsidR="00000000" w:rsidDel="00000000" w:rsidP="00000000" w:rsidRDefault="00000000" w:rsidRPr="00000000" w14:paraId="0000021B">
            <w:pPr>
              <w:jc w:val="center"/>
              <w:rPr>
                <w:sz w:val="20"/>
                <w:szCs w:val="20"/>
              </w:rPr>
            </w:pPr>
            <w:r w:rsidDel="00000000" w:rsidR="00000000" w:rsidRPr="00000000">
              <w:rPr>
                <w:sz w:val="20"/>
                <w:szCs w:val="20"/>
                <w:rtl w:val="0"/>
              </w:rPr>
              <w:t xml:space="preserve">in any position for all types of infections</w:t>
            </w:r>
          </w:p>
          <w:p w:rsidR="00000000" w:rsidDel="00000000" w:rsidP="00000000" w:rsidRDefault="00000000" w:rsidRPr="00000000" w14:paraId="0000021C">
            <w:pPr>
              <w:spacing w:after="0" w:before="0" w:lineRule="auto"/>
              <w:jc w:val="center"/>
              <w:rPr>
                <w:color w:val="000000"/>
                <w:sz w:val="20"/>
                <w:szCs w:val="20"/>
              </w:rPr>
            </w:pPr>
            <w:r w:rsidDel="00000000" w:rsidR="00000000" w:rsidRPr="00000000">
              <w:rPr>
                <w:rtl w:val="0"/>
              </w:rPr>
            </w:r>
          </w:p>
        </w:tc>
      </w:tr>
      <w:tr>
        <w:trPr>
          <w:cantSplit w:val="0"/>
          <w:trHeight w:val="4035" w:hRule="atLeast"/>
          <w:tblHeader w:val="0"/>
        </w:trPr>
        <w:tc>
          <w:tcPr>
            <w:shd w:fill="auto" w:val="clear"/>
            <w:vAlign w:val="center"/>
          </w:tcPr>
          <w:p w:rsidR="00000000" w:rsidDel="00000000" w:rsidP="00000000" w:rsidRDefault="00000000" w:rsidRPr="00000000" w14:paraId="0000021D">
            <w:pPr>
              <w:spacing w:after="0" w:before="0" w:lineRule="auto"/>
              <w:jc w:val="center"/>
              <w:rPr>
                <w:color w:val="000000"/>
                <w:sz w:val="20"/>
                <w:szCs w:val="20"/>
              </w:rPr>
            </w:pPr>
            <w:r w:rsidDel="00000000" w:rsidR="00000000" w:rsidRPr="00000000">
              <w:rPr>
                <w:color w:val="000000"/>
                <w:sz w:val="20"/>
                <w:szCs w:val="20"/>
                <w:rtl w:val="0"/>
              </w:rPr>
              <w:t xml:space="preserve">Zhang</w:t>
            </w:r>
          </w:p>
        </w:tc>
        <w:tc>
          <w:tcPr>
            <w:shd w:fill="auto" w:val="clear"/>
            <w:vAlign w:val="center"/>
          </w:tcPr>
          <w:p w:rsidR="00000000" w:rsidDel="00000000" w:rsidP="00000000" w:rsidRDefault="00000000" w:rsidRPr="00000000" w14:paraId="0000021E">
            <w:pPr>
              <w:spacing w:after="0" w:before="0" w:lineRule="auto"/>
              <w:jc w:val="center"/>
              <w:rPr>
                <w:color w:val="000000"/>
                <w:sz w:val="20"/>
                <w:szCs w:val="20"/>
              </w:rPr>
            </w:pPr>
            <w:r w:rsidDel="00000000" w:rsidR="00000000" w:rsidRPr="00000000">
              <w:rPr>
                <w:color w:val="000000"/>
                <w:sz w:val="20"/>
                <w:szCs w:val="20"/>
                <w:rtl w:val="0"/>
              </w:rPr>
              <w:t xml:space="preserve">2016</w:t>
            </w:r>
          </w:p>
        </w:tc>
        <w:tc>
          <w:tcPr>
            <w:shd w:fill="auto" w:val="clear"/>
            <w:vAlign w:val="center"/>
          </w:tcPr>
          <w:p w:rsidR="00000000" w:rsidDel="00000000" w:rsidP="00000000" w:rsidRDefault="00000000" w:rsidRPr="00000000" w14:paraId="0000021F">
            <w:pPr>
              <w:spacing w:after="0" w:before="0" w:lineRule="auto"/>
              <w:jc w:val="center"/>
              <w:rPr>
                <w:color w:val="000000"/>
                <w:sz w:val="20"/>
                <w:szCs w:val="20"/>
              </w:rPr>
            </w:pPr>
            <w:r w:rsidDel="00000000" w:rsidR="00000000" w:rsidRPr="00000000">
              <w:rPr>
                <w:color w:val="000000"/>
                <w:sz w:val="20"/>
                <w:szCs w:val="20"/>
                <w:rtl w:val="0"/>
              </w:rPr>
              <w:t xml:space="preserve">Retrospective cohort</w:t>
              <w:br w:type="textWrapping"/>
              <w:t xml:space="preserve"> 2006-2012</w:t>
            </w:r>
          </w:p>
        </w:tc>
        <w:tc>
          <w:tcPr>
            <w:shd w:fill="auto" w:val="clear"/>
            <w:vAlign w:val="center"/>
          </w:tcPr>
          <w:p w:rsidR="00000000" w:rsidDel="00000000" w:rsidP="00000000" w:rsidRDefault="00000000" w:rsidRPr="00000000" w14:paraId="00000220">
            <w:pPr>
              <w:spacing w:after="0" w:before="0" w:lineRule="auto"/>
              <w:jc w:val="center"/>
              <w:rPr>
                <w:color w:val="000000"/>
                <w:sz w:val="20"/>
                <w:szCs w:val="20"/>
              </w:rPr>
            </w:pPr>
            <w:r w:rsidDel="00000000" w:rsidR="00000000" w:rsidRPr="00000000">
              <w:rPr>
                <w:color w:val="000000"/>
                <w:sz w:val="20"/>
                <w:szCs w:val="20"/>
                <w:rtl w:val="0"/>
              </w:rPr>
              <w:t xml:space="preserve">Medical and pharmacy claims from Medicare data</w:t>
            </w:r>
          </w:p>
        </w:tc>
        <w:tc>
          <w:tcPr>
            <w:shd w:fill="auto" w:val="clear"/>
            <w:vAlign w:val="center"/>
          </w:tcPr>
          <w:p w:rsidR="00000000" w:rsidDel="00000000" w:rsidP="00000000" w:rsidRDefault="00000000" w:rsidRPr="00000000" w14:paraId="00000221">
            <w:pPr>
              <w:spacing w:after="0" w:before="0" w:lineRule="auto"/>
              <w:jc w:val="center"/>
              <w:rPr>
                <w:color w:val="000000"/>
                <w:sz w:val="20"/>
                <w:szCs w:val="20"/>
              </w:rPr>
            </w:pPr>
            <w:r w:rsidDel="00000000" w:rsidR="00000000" w:rsidRPr="00000000">
              <w:rPr>
                <w:color w:val="000000"/>
                <w:sz w:val="20"/>
                <w:szCs w:val="20"/>
                <w:rtl w:val="0"/>
              </w:rPr>
              <w:t xml:space="preserve">Adalimumab </w:t>
              <w:br w:type="textWrapping"/>
              <w:t xml:space="preserve">(10,241)</w:t>
              <w:br w:type="textWrapping"/>
              <w:t xml:space="preserve">Certolizumab </w:t>
              <w:br w:type="textWrapping"/>
              <w:t xml:space="preserve">(2,956)</w:t>
              <w:br w:type="textWrapping"/>
              <w:t xml:space="preserve">Etanercept</w:t>
              <w:br w:type="textWrapping"/>
              <w:t xml:space="preserve">(9,763)</w:t>
              <w:br w:type="textWrapping"/>
              <w:t xml:space="preserve">Golimumab </w:t>
              <w:br w:type="textWrapping"/>
              <w:t xml:space="preserve">(1,774)</w:t>
              <w:br w:type="textWrapping"/>
              <w:t xml:space="preserve">Infliximab </w:t>
              <w:br w:type="textWrapping"/>
              <w:t xml:space="preserve">(12,758)</w:t>
              <w:br w:type="textWrapping"/>
              <w:t xml:space="preserve">Rituximab</w:t>
              <w:br w:type="textWrapping"/>
              <w:t xml:space="preserve">(7,475)</w:t>
              <w:br w:type="textWrapping"/>
              <w:t xml:space="preserve">Tocilizumab </w:t>
              <w:br w:type="textWrapping"/>
              <w:t xml:space="preserve">(3,332)</w:t>
            </w:r>
          </w:p>
        </w:tc>
        <w:tc>
          <w:tcPr>
            <w:shd w:fill="auto" w:val="clear"/>
            <w:vAlign w:val="center"/>
          </w:tcPr>
          <w:p w:rsidR="00000000" w:rsidDel="00000000" w:rsidP="00000000" w:rsidRDefault="00000000" w:rsidRPr="00000000" w14:paraId="00000222">
            <w:pPr>
              <w:spacing w:after="0" w:before="0" w:lineRule="auto"/>
              <w:jc w:val="center"/>
              <w:rPr>
                <w:color w:val="000000"/>
                <w:sz w:val="20"/>
                <w:szCs w:val="20"/>
              </w:rPr>
            </w:pPr>
            <w:r w:rsidDel="00000000" w:rsidR="00000000" w:rsidRPr="00000000">
              <w:rPr>
                <w:color w:val="000000"/>
                <w:sz w:val="20"/>
                <w:szCs w:val="20"/>
                <w:rtl w:val="0"/>
              </w:rPr>
              <w:t xml:space="preserve">Abatacept</w:t>
              <w:br w:type="textWrapping"/>
              <w:t xml:space="preserve">(13,608)</w:t>
            </w:r>
          </w:p>
        </w:tc>
        <w:tc>
          <w:tcPr>
            <w:shd w:fill="auto" w:val="clear"/>
            <w:vAlign w:val="center"/>
          </w:tcPr>
          <w:p w:rsidR="00000000" w:rsidDel="00000000" w:rsidP="00000000" w:rsidRDefault="00000000" w:rsidRPr="00000000" w14:paraId="00000223">
            <w:pPr>
              <w:spacing w:after="0" w:before="0" w:lineRule="auto"/>
              <w:jc w:val="center"/>
              <w:rPr>
                <w:color w:val="000000"/>
                <w:sz w:val="20"/>
                <w:szCs w:val="20"/>
              </w:rPr>
            </w:pPr>
            <w:r w:rsidDel="00000000" w:rsidR="00000000" w:rsidRPr="00000000">
              <w:rPr>
                <w:color w:val="000000"/>
                <w:sz w:val="20"/>
                <w:szCs w:val="20"/>
                <w:rtl w:val="0"/>
              </w:rPr>
              <w:t xml:space="preserve">64</w:t>
            </w:r>
          </w:p>
        </w:tc>
        <w:tc>
          <w:tcPr>
            <w:shd w:fill="auto" w:val="clear"/>
            <w:vAlign w:val="center"/>
          </w:tcPr>
          <w:p w:rsidR="00000000" w:rsidDel="00000000" w:rsidP="00000000" w:rsidRDefault="00000000" w:rsidRPr="00000000" w14:paraId="00000224">
            <w:pPr>
              <w:spacing w:after="0" w:before="0" w:lineRule="auto"/>
              <w:jc w:val="center"/>
              <w:rPr>
                <w:color w:val="000000"/>
                <w:sz w:val="20"/>
                <w:szCs w:val="20"/>
              </w:rPr>
            </w:pPr>
            <w:r w:rsidDel="00000000" w:rsidR="00000000" w:rsidRPr="00000000">
              <w:rPr>
                <w:color w:val="000000"/>
                <w:sz w:val="20"/>
                <w:szCs w:val="20"/>
                <w:rtl w:val="0"/>
              </w:rPr>
              <w:t xml:space="preserve">Age, sex, race, original reason for Medicare enrolment, receipt of subsidised Medicare premium, CV risk factors, other comobid diseases, and use of CV medication</w:t>
            </w:r>
          </w:p>
        </w:tc>
        <w:tc>
          <w:tcPr>
            <w:vAlign w:val="center"/>
          </w:tcPr>
          <w:p w:rsidR="00000000" w:rsidDel="00000000" w:rsidP="00000000" w:rsidRDefault="00000000" w:rsidRPr="00000000" w14:paraId="00000225">
            <w:pPr>
              <w:spacing w:after="0" w:before="0" w:lineRule="auto"/>
              <w:jc w:val="center"/>
              <w:rPr>
                <w:color w:val="000000"/>
                <w:sz w:val="20"/>
                <w:szCs w:val="20"/>
              </w:rPr>
            </w:pPr>
            <w:r w:rsidDel="00000000" w:rsidR="00000000" w:rsidRPr="00000000">
              <w:rPr>
                <w:sz w:val="20"/>
                <w:szCs w:val="20"/>
                <w:rtl w:val="0"/>
              </w:rPr>
              <w:t xml:space="preserve">Diabetes, Hypertension, and Hyperlipidaemia</w:t>
            </w:r>
            <w:r w:rsidDel="00000000" w:rsidR="00000000" w:rsidRPr="00000000">
              <w:rPr>
                <w:rtl w:val="0"/>
              </w:rPr>
            </w:r>
          </w:p>
        </w:tc>
        <w:tc>
          <w:tcPr>
            <w:vAlign w:val="center"/>
          </w:tcPr>
          <w:p w:rsidR="00000000" w:rsidDel="00000000" w:rsidP="00000000" w:rsidRDefault="00000000" w:rsidRPr="00000000" w14:paraId="00000226">
            <w:pPr>
              <w:jc w:val="center"/>
              <w:rPr>
                <w:sz w:val="20"/>
                <w:szCs w:val="20"/>
              </w:rPr>
            </w:pPr>
            <w:sdt>
              <w:sdtPr>
                <w:tag w:val="goog_rdk_0"/>
              </w:sdtPr>
              <w:sdtContent>
                <w:r w:rsidDel="00000000" w:rsidR="00000000" w:rsidRPr="00000000">
                  <w:rPr>
                    <w:rFonts w:ascii="Gungsuh" w:cs="Gungsuh" w:eastAsia="Gungsuh" w:hAnsi="Gungsuh"/>
                    <w:sz w:val="20"/>
                    <w:szCs w:val="20"/>
                    <w:rtl w:val="0"/>
                  </w:rPr>
                  <w:t xml:space="preserve">≥2 diagnosis codes</w:t>
                </w:r>
              </w:sdtContent>
            </w:sdt>
          </w:p>
          <w:p w:rsidR="00000000" w:rsidDel="00000000" w:rsidP="00000000" w:rsidRDefault="00000000" w:rsidRPr="00000000" w14:paraId="00000227">
            <w:pPr>
              <w:jc w:val="center"/>
              <w:rPr>
                <w:sz w:val="20"/>
                <w:szCs w:val="20"/>
              </w:rPr>
            </w:pPr>
            <w:r w:rsidDel="00000000" w:rsidR="00000000" w:rsidRPr="00000000">
              <w:rPr>
                <w:sz w:val="20"/>
                <w:szCs w:val="20"/>
                <w:rtl w:val="0"/>
              </w:rPr>
              <w:t xml:space="preserve">for RA from a physician that were between 7 days and</w:t>
            </w:r>
          </w:p>
          <w:p w:rsidR="00000000" w:rsidDel="00000000" w:rsidP="00000000" w:rsidRDefault="00000000" w:rsidRPr="00000000" w14:paraId="00000228">
            <w:pPr>
              <w:spacing w:after="0" w:before="0" w:lineRule="auto"/>
              <w:jc w:val="center"/>
              <w:rPr>
                <w:color w:val="000000"/>
                <w:sz w:val="20"/>
                <w:szCs w:val="20"/>
              </w:rPr>
            </w:pPr>
            <w:r w:rsidDel="00000000" w:rsidR="00000000" w:rsidRPr="00000000">
              <w:rPr>
                <w:sz w:val="20"/>
                <w:szCs w:val="20"/>
                <w:rtl w:val="0"/>
              </w:rPr>
              <w:t xml:space="preserve">12 months apart</w:t>
            </w:r>
            <w:r w:rsidDel="00000000" w:rsidR="00000000" w:rsidRPr="00000000">
              <w:rPr>
                <w:rtl w:val="0"/>
              </w:rPr>
            </w:r>
          </w:p>
        </w:tc>
        <w:tc>
          <w:tcPr>
            <w:vAlign w:val="center"/>
          </w:tcPr>
          <w:p w:rsidR="00000000" w:rsidDel="00000000" w:rsidP="00000000" w:rsidRDefault="00000000" w:rsidRPr="00000000" w14:paraId="00000229">
            <w:pPr>
              <w:spacing w:after="0" w:before="0" w:lineRule="auto"/>
              <w:jc w:val="center"/>
              <w:rPr>
                <w:color w:val="000000"/>
                <w:sz w:val="20"/>
                <w:szCs w:val="20"/>
              </w:rPr>
            </w:pPr>
            <w:r w:rsidDel="00000000" w:rsidR="00000000" w:rsidRPr="00000000">
              <w:rPr>
                <w:sz w:val="20"/>
                <w:szCs w:val="20"/>
                <w:rtl w:val="0"/>
              </w:rPr>
              <w:t xml:space="preserve">Acute myocardial infarction: ICD-9 410</w:t>
            </w:r>
            <w:r w:rsidDel="00000000" w:rsidR="00000000" w:rsidRPr="00000000">
              <w:rPr>
                <w:rtl w:val="0"/>
              </w:rPr>
            </w:r>
          </w:p>
        </w:tc>
      </w:tr>
    </w:tbl>
    <w:p w:rsidR="00000000" w:rsidDel="00000000" w:rsidP="00000000" w:rsidRDefault="00000000" w:rsidRPr="00000000" w14:paraId="0000022A">
      <w:pPr>
        <w:spacing w:before="240" w:lineRule="auto"/>
        <w:rPr/>
        <w:sectPr>
          <w:type w:val="nextPage"/>
          <w:pgSz w:h="12240" w:w="15840" w:orient="landscape"/>
          <w:pgMar w:bottom="720" w:top="720" w:left="720" w:right="720" w:header="720" w:footer="720"/>
          <w:pgNumType w:start="1"/>
        </w:sectPr>
      </w:pPr>
      <w:r w:rsidDel="00000000" w:rsidR="00000000" w:rsidRPr="00000000">
        <w:rPr>
          <w:rtl w:val="0"/>
        </w:rPr>
      </w:r>
    </w:p>
    <w:p w:rsidR="00000000" w:rsidDel="00000000" w:rsidP="00000000" w:rsidRDefault="00000000" w:rsidRPr="00000000" w14:paraId="0000022B">
      <w:pPr>
        <w:spacing w:before="240" w:lineRule="auto"/>
        <w:rPr/>
      </w:pPr>
      <w:r w:rsidDel="00000000" w:rsidR="00000000" w:rsidRPr="00000000">
        <w:rPr>
          <w:b w:val="1"/>
          <w:rtl w:val="0"/>
        </w:rPr>
        <w:t xml:space="preserve">Table S4.</w:t>
      </w:r>
      <w:r w:rsidDel="00000000" w:rsidR="00000000" w:rsidRPr="00000000">
        <w:rPr>
          <w:rtl w:val="0"/>
        </w:rPr>
        <w:t xml:space="preserve"> Methodological quality assessment according to the Newcastle-Ottawa Scale.</w:t>
      </w:r>
    </w:p>
    <w:tbl>
      <w:tblPr>
        <w:tblStyle w:val="Table4"/>
        <w:tblW w:w="13377.0" w:type="dxa"/>
        <w:jc w:val="left"/>
        <w:tblInd w:w="0.0" w:type="dxa"/>
        <w:tblBorders>
          <w:top w:color="000000" w:space="0" w:sz="4" w:val="single"/>
          <w:insideH w:color="000000" w:space="0" w:sz="4" w:val="single"/>
        </w:tblBorders>
        <w:tblLayout w:type="fixed"/>
        <w:tblLook w:val="0400"/>
      </w:tblPr>
      <w:tblGrid>
        <w:gridCol w:w="3725"/>
        <w:gridCol w:w="1352"/>
        <w:gridCol w:w="2101"/>
        <w:gridCol w:w="1370"/>
        <w:gridCol w:w="1632"/>
        <w:gridCol w:w="3197"/>
        <w:tblGridChange w:id="0">
          <w:tblGrid>
            <w:gridCol w:w="3725"/>
            <w:gridCol w:w="1352"/>
            <w:gridCol w:w="2101"/>
            <w:gridCol w:w="1370"/>
            <w:gridCol w:w="1632"/>
            <w:gridCol w:w="3197"/>
          </w:tblGrid>
        </w:tblGridChange>
      </w:tblGrid>
      <w:tr>
        <w:trPr>
          <w:cantSplit w:val="0"/>
          <w:trHeight w:val="315" w:hRule="atLeast"/>
          <w:tblHeader w:val="0"/>
        </w:trPr>
        <w:tc>
          <w:tcPr>
            <w:shd w:fill="auto" w:val="clear"/>
            <w:vAlign w:val="center"/>
          </w:tcPr>
          <w:p w:rsidR="00000000" w:rsidDel="00000000" w:rsidP="00000000" w:rsidRDefault="00000000" w:rsidRPr="00000000" w14:paraId="0000022C">
            <w:pPr>
              <w:spacing w:after="0" w:before="0" w:lineRule="auto"/>
              <w:jc w:val="center"/>
              <w:rPr>
                <w:b w:val="1"/>
                <w:color w:val="000000"/>
              </w:rPr>
            </w:pPr>
            <w:r w:rsidDel="00000000" w:rsidR="00000000" w:rsidRPr="00000000">
              <w:rPr>
                <w:b w:val="1"/>
                <w:color w:val="000000"/>
                <w:rtl w:val="0"/>
              </w:rPr>
              <w:t xml:space="preserve">Study</w:t>
            </w:r>
          </w:p>
        </w:tc>
        <w:tc>
          <w:tcPr>
            <w:shd w:fill="auto" w:val="clear"/>
            <w:vAlign w:val="center"/>
          </w:tcPr>
          <w:p w:rsidR="00000000" w:rsidDel="00000000" w:rsidP="00000000" w:rsidRDefault="00000000" w:rsidRPr="00000000" w14:paraId="0000022D">
            <w:pPr>
              <w:spacing w:after="0" w:before="0" w:lineRule="auto"/>
              <w:jc w:val="center"/>
              <w:rPr>
                <w:b w:val="1"/>
                <w:color w:val="000000"/>
              </w:rPr>
            </w:pPr>
            <w:r w:rsidDel="00000000" w:rsidR="00000000" w:rsidRPr="00000000">
              <w:rPr>
                <w:b w:val="1"/>
                <w:color w:val="000000"/>
                <w:rtl w:val="0"/>
              </w:rPr>
              <w:t xml:space="preserve">Selection</w:t>
            </w:r>
          </w:p>
        </w:tc>
        <w:tc>
          <w:tcPr>
            <w:shd w:fill="auto" w:val="clear"/>
            <w:vAlign w:val="center"/>
          </w:tcPr>
          <w:p w:rsidR="00000000" w:rsidDel="00000000" w:rsidP="00000000" w:rsidRDefault="00000000" w:rsidRPr="00000000" w14:paraId="0000022E">
            <w:pPr>
              <w:spacing w:after="0" w:before="0" w:lineRule="auto"/>
              <w:jc w:val="center"/>
              <w:rPr>
                <w:b w:val="1"/>
                <w:color w:val="000000"/>
              </w:rPr>
            </w:pPr>
            <w:r w:rsidDel="00000000" w:rsidR="00000000" w:rsidRPr="00000000">
              <w:rPr>
                <w:b w:val="1"/>
                <w:color w:val="000000"/>
                <w:rtl w:val="0"/>
              </w:rPr>
              <w:t xml:space="preserve">Comparability</w:t>
            </w:r>
          </w:p>
        </w:tc>
        <w:tc>
          <w:tcPr>
            <w:shd w:fill="auto" w:val="clear"/>
            <w:vAlign w:val="center"/>
          </w:tcPr>
          <w:p w:rsidR="00000000" w:rsidDel="00000000" w:rsidP="00000000" w:rsidRDefault="00000000" w:rsidRPr="00000000" w14:paraId="0000022F">
            <w:pPr>
              <w:spacing w:after="0" w:before="0" w:lineRule="auto"/>
              <w:jc w:val="center"/>
              <w:rPr>
                <w:b w:val="1"/>
                <w:color w:val="000000"/>
              </w:rPr>
            </w:pPr>
            <w:r w:rsidDel="00000000" w:rsidR="00000000" w:rsidRPr="00000000">
              <w:rPr>
                <w:b w:val="1"/>
                <w:color w:val="000000"/>
                <w:rtl w:val="0"/>
              </w:rPr>
              <w:t xml:space="preserve">Outcome</w:t>
            </w:r>
          </w:p>
        </w:tc>
        <w:tc>
          <w:tcPr>
            <w:shd w:fill="auto" w:val="clear"/>
            <w:vAlign w:val="center"/>
          </w:tcPr>
          <w:p w:rsidR="00000000" w:rsidDel="00000000" w:rsidP="00000000" w:rsidRDefault="00000000" w:rsidRPr="00000000" w14:paraId="00000230">
            <w:pPr>
              <w:spacing w:after="0" w:before="0" w:lineRule="auto"/>
              <w:jc w:val="center"/>
              <w:rPr>
                <w:b w:val="1"/>
                <w:color w:val="000000"/>
              </w:rPr>
            </w:pPr>
            <w:r w:rsidDel="00000000" w:rsidR="00000000" w:rsidRPr="00000000">
              <w:rPr>
                <w:b w:val="1"/>
                <w:color w:val="000000"/>
                <w:rtl w:val="0"/>
              </w:rPr>
              <w:t xml:space="preserve">Total score</w:t>
            </w:r>
          </w:p>
        </w:tc>
        <w:tc>
          <w:tcPr>
            <w:shd w:fill="auto" w:val="clear"/>
            <w:vAlign w:val="center"/>
          </w:tcPr>
          <w:p w:rsidR="00000000" w:rsidDel="00000000" w:rsidP="00000000" w:rsidRDefault="00000000" w:rsidRPr="00000000" w14:paraId="00000231">
            <w:pPr>
              <w:spacing w:after="0" w:before="0" w:lineRule="auto"/>
              <w:jc w:val="center"/>
              <w:rPr>
                <w:b w:val="1"/>
                <w:color w:val="000000"/>
              </w:rPr>
            </w:pPr>
            <w:r w:rsidDel="00000000" w:rsidR="00000000" w:rsidRPr="00000000">
              <w:rPr>
                <w:b w:val="1"/>
                <w:color w:val="000000"/>
                <w:rtl w:val="0"/>
              </w:rPr>
              <w:t xml:space="preserve">Methodological quality</w:t>
            </w:r>
          </w:p>
        </w:tc>
      </w:tr>
      <w:tr>
        <w:trPr>
          <w:cantSplit w:val="0"/>
          <w:trHeight w:val="315" w:hRule="atLeast"/>
          <w:tblHeader w:val="0"/>
        </w:trPr>
        <w:tc>
          <w:tcPr>
            <w:shd w:fill="auto" w:val="clear"/>
            <w:vAlign w:val="center"/>
          </w:tcPr>
          <w:p w:rsidR="00000000" w:rsidDel="00000000" w:rsidP="00000000" w:rsidRDefault="00000000" w:rsidRPr="00000000" w14:paraId="00000232">
            <w:pPr>
              <w:spacing w:after="0" w:before="0" w:lineRule="auto"/>
              <w:rPr>
                <w:color w:val="000000"/>
              </w:rPr>
            </w:pPr>
            <w:r w:rsidDel="00000000" w:rsidR="00000000" w:rsidRPr="00000000">
              <w:rPr>
                <w:color w:val="000000"/>
                <w:rtl w:val="0"/>
              </w:rPr>
              <w:t xml:space="preserve">Arkema et al. (2014)</w:t>
            </w:r>
          </w:p>
        </w:tc>
        <w:tc>
          <w:tcPr>
            <w:shd w:fill="auto" w:val="clear"/>
            <w:vAlign w:val="center"/>
          </w:tcPr>
          <w:p w:rsidR="00000000" w:rsidDel="00000000" w:rsidP="00000000" w:rsidRDefault="00000000" w:rsidRPr="00000000" w14:paraId="00000233">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34">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35">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36">
            <w:pPr>
              <w:spacing w:after="0" w:before="0" w:lineRule="auto"/>
              <w:jc w:val="center"/>
              <w:rPr>
                <w:color w:val="000000"/>
              </w:rPr>
            </w:pPr>
            <w:r w:rsidDel="00000000" w:rsidR="00000000" w:rsidRPr="00000000">
              <w:rPr>
                <w:color w:val="000000"/>
                <w:rtl w:val="0"/>
              </w:rPr>
              <w:t xml:space="preserve">8</w:t>
            </w:r>
          </w:p>
        </w:tc>
        <w:tc>
          <w:tcPr>
            <w:shd w:fill="auto" w:val="clear"/>
            <w:vAlign w:val="center"/>
          </w:tcPr>
          <w:p w:rsidR="00000000" w:rsidDel="00000000" w:rsidP="00000000" w:rsidRDefault="00000000" w:rsidRPr="00000000" w14:paraId="00000237">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38">
            <w:pPr>
              <w:spacing w:after="0" w:before="0" w:lineRule="auto"/>
              <w:rPr>
                <w:color w:val="000000"/>
              </w:rPr>
            </w:pPr>
            <w:r w:rsidDel="00000000" w:rsidR="00000000" w:rsidRPr="00000000">
              <w:rPr>
                <w:color w:val="000000"/>
                <w:rtl w:val="0"/>
              </w:rPr>
              <w:t xml:space="preserve">Chen et al. (2020)</w:t>
            </w:r>
          </w:p>
        </w:tc>
        <w:tc>
          <w:tcPr>
            <w:shd w:fill="auto" w:val="clear"/>
            <w:vAlign w:val="center"/>
          </w:tcPr>
          <w:p w:rsidR="00000000" w:rsidDel="00000000" w:rsidP="00000000" w:rsidRDefault="00000000" w:rsidRPr="00000000" w14:paraId="00000239">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3A">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3B">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3C">
            <w:pPr>
              <w:spacing w:after="0" w:before="0" w:lineRule="auto"/>
              <w:jc w:val="center"/>
              <w:rPr>
                <w:color w:val="000000"/>
              </w:rPr>
            </w:pPr>
            <w:r w:rsidDel="00000000" w:rsidR="00000000" w:rsidRPr="00000000">
              <w:rPr>
                <w:color w:val="000000"/>
                <w:rtl w:val="0"/>
              </w:rPr>
              <w:t xml:space="preserve">9</w:t>
            </w:r>
          </w:p>
        </w:tc>
        <w:tc>
          <w:tcPr>
            <w:shd w:fill="auto" w:val="clear"/>
            <w:vAlign w:val="center"/>
          </w:tcPr>
          <w:p w:rsidR="00000000" w:rsidDel="00000000" w:rsidP="00000000" w:rsidRDefault="00000000" w:rsidRPr="00000000" w14:paraId="0000023D">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3E">
            <w:pPr>
              <w:spacing w:after="0" w:before="0" w:lineRule="auto"/>
              <w:rPr>
                <w:color w:val="000000"/>
              </w:rPr>
            </w:pPr>
            <w:r w:rsidDel="00000000" w:rsidR="00000000" w:rsidRPr="00000000">
              <w:rPr>
                <w:color w:val="000000"/>
                <w:rtl w:val="0"/>
              </w:rPr>
              <w:t xml:space="preserve">Chen et al. (2021)</w:t>
            </w:r>
          </w:p>
        </w:tc>
        <w:tc>
          <w:tcPr>
            <w:shd w:fill="auto" w:val="clear"/>
            <w:vAlign w:val="center"/>
          </w:tcPr>
          <w:p w:rsidR="00000000" w:rsidDel="00000000" w:rsidP="00000000" w:rsidRDefault="00000000" w:rsidRPr="00000000" w14:paraId="0000023F">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40">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41">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42">
            <w:pPr>
              <w:spacing w:after="0" w:before="0" w:lineRule="auto"/>
              <w:jc w:val="center"/>
              <w:rPr>
                <w:color w:val="000000"/>
              </w:rPr>
            </w:pPr>
            <w:r w:rsidDel="00000000" w:rsidR="00000000" w:rsidRPr="00000000">
              <w:rPr>
                <w:color w:val="000000"/>
                <w:rtl w:val="0"/>
              </w:rPr>
              <w:t xml:space="preserve">8</w:t>
            </w:r>
          </w:p>
        </w:tc>
        <w:tc>
          <w:tcPr>
            <w:shd w:fill="auto" w:val="clear"/>
            <w:vAlign w:val="center"/>
          </w:tcPr>
          <w:p w:rsidR="00000000" w:rsidDel="00000000" w:rsidP="00000000" w:rsidRDefault="00000000" w:rsidRPr="00000000" w14:paraId="00000243">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44">
            <w:pPr>
              <w:spacing w:after="0" w:before="0" w:lineRule="auto"/>
              <w:rPr>
                <w:color w:val="000000"/>
              </w:rPr>
            </w:pPr>
            <w:r w:rsidDel="00000000" w:rsidR="00000000" w:rsidRPr="00000000">
              <w:rPr>
                <w:color w:val="000000"/>
                <w:rtl w:val="0"/>
              </w:rPr>
              <w:t xml:space="preserve">Curtis et al. (2016)</w:t>
            </w:r>
          </w:p>
        </w:tc>
        <w:tc>
          <w:tcPr>
            <w:shd w:fill="auto" w:val="clear"/>
            <w:vAlign w:val="center"/>
          </w:tcPr>
          <w:p w:rsidR="00000000" w:rsidDel="00000000" w:rsidP="00000000" w:rsidRDefault="00000000" w:rsidRPr="00000000" w14:paraId="00000245">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46">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47">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48">
            <w:pPr>
              <w:spacing w:after="0" w:before="0" w:lineRule="auto"/>
              <w:jc w:val="center"/>
              <w:rPr>
                <w:color w:val="000000"/>
              </w:rPr>
            </w:pPr>
            <w:r w:rsidDel="00000000" w:rsidR="00000000" w:rsidRPr="00000000">
              <w:rPr>
                <w:color w:val="000000"/>
                <w:rtl w:val="0"/>
              </w:rPr>
              <w:t xml:space="preserve">7</w:t>
            </w:r>
          </w:p>
        </w:tc>
        <w:tc>
          <w:tcPr>
            <w:shd w:fill="auto" w:val="clear"/>
            <w:vAlign w:val="center"/>
          </w:tcPr>
          <w:p w:rsidR="00000000" w:rsidDel="00000000" w:rsidP="00000000" w:rsidRDefault="00000000" w:rsidRPr="00000000" w14:paraId="00000249">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4A">
            <w:pPr>
              <w:spacing w:after="0" w:before="0" w:lineRule="auto"/>
              <w:rPr>
                <w:color w:val="000000"/>
              </w:rPr>
            </w:pPr>
            <w:r w:rsidDel="00000000" w:rsidR="00000000" w:rsidRPr="00000000">
              <w:rPr>
                <w:color w:val="000000"/>
                <w:rtl w:val="0"/>
              </w:rPr>
              <w:t xml:space="preserve">Desai et al. (2017)</w:t>
            </w:r>
          </w:p>
        </w:tc>
        <w:tc>
          <w:tcPr>
            <w:shd w:fill="auto" w:val="clear"/>
            <w:vAlign w:val="center"/>
          </w:tcPr>
          <w:p w:rsidR="00000000" w:rsidDel="00000000" w:rsidP="00000000" w:rsidRDefault="00000000" w:rsidRPr="00000000" w14:paraId="0000024B">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4C">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4D">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4E">
            <w:pPr>
              <w:spacing w:after="0" w:before="0" w:lineRule="auto"/>
              <w:jc w:val="center"/>
              <w:rPr>
                <w:color w:val="000000"/>
              </w:rPr>
            </w:pPr>
            <w:r w:rsidDel="00000000" w:rsidR="00000000" w:rsidRPr="00000000">
              <w:rPr>
                <w:color w:val="000000"/>
                <w:rtl w:val="0"/>
              </w:rPr>
              <w:t xml:space="preserve">8</w:t>
            </w:r>
          </w:p>
        </w:tc>
        <w:tc>
          <w:tcPr>
            <w:shd w:fill="auto" w:val="clear"/>
            <w:vAlign w:val="center"/>
          </w:tcPr>
          <w:p w:rsidR="00000000" w:rsidDel="00000000" w:rsidP="00000000" w:rsidRDefault="00000000" w:rsidRPr="00000000" w14:paraId="0000024F">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50">
            <w:pPr>
              <w:spacing w:after="0" w:before="0" w:lineRule="auto"/>
              <w:rPr>
                <w:color w:val="000000"/>
              </w:rPr>
            </w:pPr>
            <w:r w:rsidDel="00000000" w:rsidR="00000000" w:rsidRPr="00000000">
              <w:rPr>
                <w:color w:val="000000"/>
                <w:rtl w:val="0"/>
              </w:rPr>
              <w:t xml:space="preserve">Dreyer et al. (2017)</w:t>
            </w:r>
          </w:p>
        </w:tc>
        <w:tc>
          <w:tcPr>
            <w:shd w:fill="auto" w:val="clear"/>
            <w:vAlign w:val="center"/>
          </w:tcPr>
          <w:p w:rsidR="00000000" w:rsidDel="00000000" w:rsidP="00000000" w:rsidRDefault="00000000" w:rsidRPr="00000000" w14:paraId="00000251">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52">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53">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54">
            <w:pPr>
              <w:spacing w:after="0" w:before="0" w:lineRule="auto"/>
              <w:jc w:val="center"/>
              <w:rPr>
                <w:color w:val="000000"/>
              </w:rPr>
            </w:pPr>
            <w:r w:rsidDel="00000000" w:rsidR="00000000" w:rsidRPr="00000000">
              <w:rPr>
                <w:color w:val="000000"/>
                <w:rtl w:val="0"/>
              </w:rPr>
              <w:t xml:space="preserve">8</w:t>
            </w:r>
          </w:p>
        </w:tc>
        <w:tc>
          <w:tcPr>
            <w:shd w:fill="auto" w:val="clear"/>
            <w:vAlign w:val="center"/>
          </w:tcPr>
          <w:p w:rsidR="00000000" w:rsidDel="00000000" w:rsidP="00000000" w:rsidRDefault="00000000" w:rsidRPr="00000000" w14:paraId="00000255">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56">
            <w:pPr>
              <w:spacing w:after="0" w:before="0" w:lineRule="auto"/>
              <w:rPr>
                <w:color w:val="000000"/>
              </w:rPr>
            </w:pPr>
            <w:r w:rsidDel="00000000" w:rsidR="00000000" w:rsidRPr="00000000">
              <w:rPr>
                <w:color w:val="000000"/>
                <w:rtl w:val="0"/>
              </w:rPr>
              <w:t xml:space="preserve">de Germay et al. (2020)</w:t>
            </w:r>
          </w:p>
        </w:tc>
        <w:tc>
          <w:tcPr>
            <w:shd w:fill="auto" w:val="clear"/>
            <w:vAlign w:val="center"/>
          </w:tcPr>
          <w:p w:rsidR="00000000" w:rsidDel="00000000" w:rsidP="00000000" w:rsidRDefault="00000000" w:rsidRPr="00000000" w14:paraId="00000257">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58">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59">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5A">
            <w:pPr>
              <w:spacing w:after="0" w:before="0" w:lineRule="auto"/>
              <w:jc w:val="center"/>
              <w:rPr>
                <w:color w:val="000000"/>
              </w:rPr>
            </w:pPr>
            <w:r w:rsidDel="00000000" w:rsidR="00000000" w:rsidRPr="00000000">
              <w:rPr>
                <w:color w:val="000000"/>
                <w:rtl w:val="0"/>
              </w:rPr>
              <w:t xml:space="preserve">7</w:t>
            </w:r>
          </w:p>
        </w:tc>
        <w:tc>
          <w:tcPr>
            <w:shd w:fill="auto" w:val="clear"/>
            <w:vAlign w:val="center"/>
          </w:tcPr>
          <w:p w:rsidR="00000000" w:rsidDel="00000000" w:rsidP="00000000" w:rsidRDefault="00000000" w:rsidRPr="00000000" w14:paraId="0000025B">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5C">
            <w:pPr>
              <w:spacing w:after="0" w:before="0" w:lineRule="auto"/>
              <w:rPr>
                <w:color w:val="000000"/>
              </w:rPr>
            </w:pPr>
            <w:r w:rsidDel="00000000" w:rsidR="00000000" w:rsidRPr="00000000">
              <w:rPr>
                <w:color w:val="000000"/>
                <w:rtl w:val="0"/>
              </w:rPr>
              <w:t xml:space="preserve">Gron et al. (2019)</w:t>
            </w:r>
          </w:p>
        </w:tc>
        <w:tc>
          <w:tcPr>
            <w:shd w:fill="auto" w:val="clear"/>
            <w:vAlign w:val="center"/>
          </w:tcPr>
          <w:p w:rsidR="00000000" w:rsidDel="00000000" w:rsidP="00000000" w:rsidRDefault="00000000" w:rsidRPr="00000000" w14:paraId="0000025D">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5E">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5F">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60">
            <w:pPr>
              <w:spacing w:after="0" w:before="0" w:lineRule="auto"/>
              <w:jc w:val="center"/>
              <w:rPr>
                <w:color w:val="000000"/>
              </w:rPr>
            </w:pPr>
            <w:r w:rsidDel="00000000" w:rsidR="00000000" w:rsidRPr="00000000">
              <w:rPr>
                <w:color w:val="000000"/>
                <w:rtl w:val="0"/>
              </w:rPr>
              <w:t xml:space="preserve">8</w:t>
            </w:r>
          </w:p>
        </w:tc>
        <w:tc>
          <w:tcPr>
            <w:shd w:fill="auto" w:val="clear"/>
            <w:vAlign w:val="center"/>
          </w:tcPr>
          <w:p w:rsidR="00000000" w:rsidDel="00000000" w:rsidP="00000000" w:rsidRDefault="00000000" w:rsidRPr="00000000" w14:paraId="00000261">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62">
            <w:pPr>
              <w:spacing w:after="0" w:before="0" w:lineRule="auto"/>
              <w:rPr>
                <w:color w:val="000000"/>
              </w:rPr>
            </w:pPr>
            <w:r w:rsidDel="00000000" w:rsidR="00000000" w:rsidRPr="00000000">
              <w:rPr>
                <w:color w:val="000000"/>
                <w:rtl w:val="0"/>
              </w:rPr>
              <w:t xml:space="preserve">Gron et al. (2020)</w:t>
            </w:r>
          </w:p>
        </w:tc>
        <w:tc>
          <w:tcPr>
            <w:shd w:fill="auto" w:val="clear"/>
            <w:vAlign w:val="center"/>
          </w:tcPr>
          <w:p w:rsidR="00000000" w:rsidDel="00000000" w:rsidP="00000000" w:rsidRDefault="00000000" w:rsidRPr="00000000" w14:paraId="00000263">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64">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65">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66">
            <w:pPr>
              <w:spacing w:after="0" w:before="0" w:lineRule="auto"/>
              <w:jc w:val="center"/>
              <w:rPr>
                <w:color w:val="000000"/>
              </w:rPr>
            </w:pPr>
            <w:r w:rsidDel="00000000" w:rsidR="00000000" w:rsidRPr="00000000">
              <w:rPr>
                <w:color w:val="000000"/>
                <w:rtl w:val="0"/>
              </w:rPr>
              <w:t xml:space="preserve">8</w:t>
            </w:r>
          </w:p>
        </w:tc>
        <w:tc>
          <w:tcPr>
            <w:shd w:fill="auto" w:val="clear"/>
            <w:vAlign w:val="center"/>
          </w:tcPr>
          <w:p w:rsidR="00000000" w:rsidDel="00000000" w:rsidP="00000000" w:rsidRDefault="00000000" w:rsidRPr="00000000" w14:paraId="00000267">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68">
            <w:pPr>
              <w:spacing w:after="0" w:before="0" w:lineRule="auto"/>
              <w:rPr>
                <w:color w:val="000000"/>
              </w:rPr>
            </w:pPr>
            <w:r w:rsidDel="00000000" w:rsidR="00000000" w:rsidRPr="00000000">
              <w:rPr>
                <w:color w:val="000000"/>
                <w:rtl w:val="0"/>
              </w:rPr>
              <w:t xml:space="preserve">Harada et al. (2017)</w:t>
            </w:r>
          </w:p>
        </w:tc>
        <w:tc>
          <w:tcPr>
            <w:shd w:fill="auto" w:val="clear"/>
            <w:vAlign w:val="center"/>
          </w:tcPr>
          <w:p w:rsidR="00000000" w:rsidDel="00000000" w:rsidP="00000000" w:rsidRDefault="00000000" w:rsidRPr="00000000" w14:paraId="00000269">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6A">
            <w:pPr>
              <w:spacing w:after="0" w:before="0" w:lineRule="auto"/>
              <w:jc w:val="center"/>
              <w:rPr>
                <w:color w:val="000000"/>
              </w:rPr>
            </w:pPr>
            <w:r w:rsidDel="00000000" w:rsidR="00000000" w:rsidRPr="00000000">
              <w:rPr>
                <w:rtl w:val="0"/>
              </w:rPr>
            </w:r>
          </w:p>
        </w:tc>
        <w:tc>
          <w:tcPr>
            <w:shd w:fill="auto" w:val="clear"/>
            <w:vAlign w:val="center"/>
          </w:tcPr>
          <w:p w:rsidR="00000000" w:rsidDel="00000000" w:rsidP="00000000" w:rsidRDefault="00000000" w:rsidRPr="00000000" w14:paraId="0000026B">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6C">
            <w:pPr>
              <w:spacing w:after="0" w:before="0" w:lineRule="auto"/>
              <w:jc w:val="center"/>
              <w:rPr>
                <w:color w:val="000000"/>
              </w:rPr>
            </w:pPr>
            <w:r w:rsidDel="00000000" w:rsidR="00000000" w:rsidRPr="00000000">
              <w:rPr>
                <w:color w:val="000000"/>
                <w:rtl w:val="0"/>
              </w:rPr>
              <w:t xml:space="preserve">6</w:t>
            </w:r>
          </w:p>
        </w:tc>
        <w:tc>
          <w:tcPr>
            <w:shd w:fill="auto" w:val="clear"/>
            <w:vAlign w:val="center"/>
          </w:tcPr>
          <w:p w:rsidR="00000000" w:rsidDel="00000000" w:rsidP="00000000" w:rsidRDefault="00000000" w:rsidRPr="00000000" w14:paraId="0000026D">
            <w:pPr>
              <w:spacing w:after="0" w:before="0" w:lineRule="auto"/>
              <w:jc w:val="center"/>
              <w:rPr>
                <w:color w:val="000000"/>
              </w:rPr>
            </w:pPr>
            <w:r w:rsidDel="00000000" w:rsidR="00000000" w:rsidRPr="00000000">
              <w:rPr>
                <w:color w:val="000000"/>
                <w:rtl w:val="0"/>
              </w:rPr>
              <w:t xml:space="preserve">Moderate</w:t>
            </w:r>
          </w:p>
        </w:tc>
      </w:tr>
      <w:tr>
        <w:trPr>
          <w:cantSplit w:val="0"/>
          <w:trHeight w:val="315" w:hRule="atLeast"/>
          <w:tblHeader w:val="0"/>
        </w:trPr>
        <w:tc>
          <w:tcPr>
            <w:shd w:fill="auto" w:val="clear"/>
            <w:vAlign w:val="center"/>
          </w:tcPr>
          <w:p w:rsidR="00000000" w:rsidDel="00000000" w:rsidP="00000000" w:rsidRDefault="00000000" w:rsidRPr="00000000" w14:paraId="0000026E">
            <w:pPr>
              <w:spacing w:after="0" w:before="0" w:lineRule="auto"/>
              <w:rPr>
                <w:color w:val="000000"/>
              </w:rPr>
            </w:pPr>
            <w:r w:rsidDel="00000000" w:rsidR="00000000" w:rsidRPr="00000000">
              <w:rPr>
                <w:color w:val="000000"/>
                <w:rtl w:val="0"/>
              </w:rPr>
              <w:t xml:space="preserve">Hellgren et al. (2020)</w:t>
            </w:r>
          </w:p>
        </w:tc>
        <w:tc>
          <w:tcPr>
            <w:shd w:fill="auto" w:val="clear"/>
            <w:vAlign w:val="center"/>
          </w:tcPr>
          <w:p w:rsidR="00000000" w:rsidDel="00000000" w:rsidP="00000000" w:rsidRDefault="00000000" w:rsidRPr="00000000" w14:paraId="0000026F">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70">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71">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72">
            <w:pPr>
              <w:spacing w:after="0" w:before="0" w:lineRule="auto"/>
              <w:jc w:val="center"/>
              <w:rPr>
                <w:color w:val="000000"/>
              </w:rPr>
            </w:pPr>
            <w:r w:rsidDel="00000000" w:rsidR="00000000" w:rsidRPr="00000000">
              <w:rPr>
                <w:color w:val="000000"/>
                <w:rtl w:val="0"/>
              </w:rPr>
              <w:t xml:space="preserve">9</w:t>
            </w:r>
          </w:p>
        </w:tc>
        <w:tc>
          <w:tcPr>
            <w:shd w:fill="auto" w:val="clear"/>
            <w:vAlign w:val="center"/>
          </w:tcPr>
          <w:p w:rsidR="00000000" w:rsidDel="00000000" w:rsidP="00000000" w:rsidRDefault="00000000" w:rsidRPr="00000000" w14:paraId="00000273">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74">
            <w:pPr>
              <w:spacing w:after="0" w:before="0" w:lineRule="auto"/>
              <w:rPr>
                <w:color w:val="000000"/>
              </w:rPr>
            </w:pPr>
            <w:r w:rsidDel="00000000" w:rsidR="00000000" w:rsidRPr="00000000">
              <w:rPr>
                <w:color w:val="000000"/>
                <w:rtl w:val="0"/>
              </w:rPr>
              <w:t xml:space="preserve">Kim et al. (2017)</w:t>
            </w:r>
          </w:p>
        </w:tc>
        <w:tc>
          <w:tcPr>
            <w:shd w:fill="auto" w:val="clear"/>
            <w:vAlign w:val="center"/>
          </w:tcPr>
          <w:p w:rsidR="00000000" w:rsidDel="00000000" w:rsidP="00000000" w:rsidRDefault="00000000" w:rsidRPr="00000000" w14:paraId="00000275">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76">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77">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78">
            <w:pPr>
              <w:spacing w:after="0" w:before="0" w:lineRule="auto"/>
              <w:jc w:val="center"/>
              <w:rPr>
                <w:color w:val="000000"/>
              </w:rPr>
            </w:pPr>
            <w:r w:rsidDel="00000000" w:rsidR="00000000" w:rsidRPr="00000000">
              <w:rPr>
                <w:color w:val="000000"/>
                <w:rtl w:val="0"/>
              </w:rPr>
              <w:t xml:space="preserve">8</w:t>
            </w:r>
          </w:p>
        </w:tc>
        <w:tc>
          <w:tcPr>
            <w:shd w:fill="auto" w:val="clear"/>
            <w:vAlign w:val="center"/>
          </w:tcPr>
          <w:p w:rsidR="00000000" w:rsidDel="00000000" w:rsidP="00000000" w:rsidRDefault="00000000" w:rsidRPr="00000000" w14:paraId="00000279">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7A">
            <w:pPr>
              <w:spacing w:after="0" w:before="0" w:lineRule="auto"/>
              <w:rPr>
                <w:color w:val="000000"/>
              </w:rPr>
            </w:pPr>
            <w:r w:rsidDel="00000000" w:rsidR="00000000" w:rsidRPr="00000000">
              <w:rPr>
                <w:color w:val="000000"/>
                <w:rtl w:val="0"/>
              </w:rPr>
              <w:t xml:space="preserve">Kim et al. (2020)</w:t>
            </w:r>
          </w:p>
        </w:tc>
        <w:tc>
          <w:tcPr>
            <w:shd w:fill="auto" w:val="clear"/>
            <w:vAlign w:val="center"/>
          </w:tcPr>
          <w:p w:rsidR="00000000" w:rsidDel="00000000" w:rsidP="00000000" w:rsidRDefault="00000000" w:rsidRPr="00000000" w14:paraId="0000027B">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7C">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7D">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7E">
            <w:pPr>
              <w:spacing w:after="0" w:before="0" w:lineRule="auto"/>
              <w:jc w:val="center"/>
              <w:rPr>
                <w:color w:val="000000"/>
              </w:rPr>
            </w:pPr>
            <w:r w:rsidDel="00000000" w:rsidR="00000000" w:rsidRPr="00000000">
              <w:rPr>
                <w:color w:val="000000"/>
                <w:rtl w:val="0"/>
              </w:rPr>
              <w:t xml:space="preserve">7</w:t>
            </w:r>
          </w:p>
        </w:tc>
        <w:tc>
          <w:tcPr>
            <w:shd w:fill="auto" w:val="clear"/>
            <w:vAlign w:val="center"/>
          </w:tcPr>
          <w:p w:rsidR="00000000" w:rsidDel="00000000" w:rsidP="00000000" w:rsidRDefault="00000000" w:rsidRPr="00000000" w14:paraId="0000027F">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80">
            <w:pPr>
              <w:spacing w:after="0" w:before="0" w:lineRule="auto"/>
              <w:rPr>
                <w:color w:val="000000"/>
              </w:rPr>
            </w:pPr>
            <w:r w:rsidDel="00000000" w:rsidR="00000000" w:rsidRPr="00000000">
              <w:rPr>
                <w:color w:val="000000"/>
                <w:rtl w:val="0"/>
              </w:rPr>
              <w:t xml:space="preserve">Listing et al. (2015)</w:t>
            </w:r>
          </w:p>
        </w:tc>
        <w:tc>
          <w:tcPr>
            <w:shd w:fill="auto" w:val="clear"/>
            <w:vAlign w:val="center"/>
          </w:tcPr>
          <w:p w:rsidR="00000000" w:rsidDel="00000000" w:rsidP="00000000" w:rsidRDefault="00000000" w:rsidRPr="00000000" w14:paraId="00000281">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82">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83">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84">
            <w:pPr>
              <w:spacing w:after="0" w:before="0" w:lineRule="auto"/>
              <w:jc w:val="center"/>
              <w:rPr>
                <w:color w:val="000000"/>
              </w:rPr>
            </w:pPr>
            <w:r w:rsidDel="00000000" w:rsidR="00000000" w:rsidRPr="00000000">
              <w:rPr>
                <w:color w:val="000000"/>
                <w:rtl w:val="0"/>
              </w:rPr>
              <w:t xml:space="preserve">8</w:t>
            </w:r>
          </w:p>
        </w:tc>
        <w:tc>
          <w:tcPr>
            <w:shd w:fill="auto" w:val="clear"/>
            <w:vAlign w:val="center"/>
          </w:tcPr>
          <w:p w:rsidR="00000000" w:rsidDel="00000000" w:rsidP="00000000" w:rsidRDefault="00000000" w:rsidRPr="00000000" w14:paraId="00000285">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86">
            <w:pPr>
              <w:spacing w:after="0" w:before="0" w:lineRule="auto"/>
              <w:rPr>
                <w:color w:val="000000"/>
              </w:rPr>
            </w:pPr>
            <w:r w:rsidDel="00000000" w:rsidR="00000000" w:rsidRPr="00000000">
              <w:rPr>
                <w:color w:val="000000"/>
                <w:rtl w:val="0"/>
              </w:rPr>
              <w:t xml:space="preserve">Low et al. (2017)</w:t>
            </w:r>
          </w:p>
        </w:tc>
        <w:tc>
          <w:tcPr>
            <w:shd w:fill="auto" w:val="clear"/>
            <w:vAlign w:val="center"/>
          </w:tcPr>
          <w:p w:rsidR="00000000" w:rsidDel="00000000" w:rsidP="00000000" w:rsidRDefault="00000000" w:rsidRPr="00000000" w14:paraId="00000287">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88">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89">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8A">
            <w:pPr>
              <w:spacing w:after="0" w:before="0" w:lineRule="auto"/>
              <w:jc w:val="center"/>
              <w:rPr>
                <w:color w:val="000000"/>
              </w:rPr>
            </w:pPr>
            <w:r w:rsidDel="00000000" w:rsidR="00000000" w:rsidRPr="00000000">
              <w:rPr>
                <w:color w:val="000000"/>
                <w:rtl w:val="0"/>
              </w:rPr>
              <w:t xml:space="preserve">8</w:t>
            </w:r>
          </w:p>
        </w:tc>
        <w:tc>
          <w:tcPr>
            <w:shd w:fill="auto" w:val="clear"/>
            <w:vAlign w:val="center"/>
          </w:tcPr>
          <w:p w:rsidR="00000000" w:rsidDel="00000000" w:rsidP="00000000" w:rsidRDefault="00000000" w:rsidRPr="00000000" w14:paraId="0000028B">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8C">
            <w:pPr>
              <w:spacing w:after="0" w:before="0" w:lineRule="auto"/>
              <w:rPr>
                <w:color w:val="000000"/>
              </w:rPr>
            </w:pPr>
            <w:r w:rsidDel="00000000" w:rsidR="00000000" w:rsidRPr="00000000">
              <w:rPr>
                <w:color w:val="000000"/>
                <w:rtl w:val="0"/>
              </w:rPr>
              <w:t xml:space="preserve">Meissner et al. (2017)</w:t>
            </w:r>
          </w:p>
        </w:tc>
        <w:tc>
          <w:tcPr>
            <w:shd w:fill="auto" w:val="clear"/>
            <w:vAlign w:val="center"/>
          </w:tcPr>
          <w:p w:rsidR="00000000" w:rsidDel="00000000" w:rsidP="00000000" w:rsidRDefault="00000000" w:rsidRPr="00000000" w14:paraId="0000028D">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8E">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8F">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90">
            <w:pPr>
              <w:spacing w:after="0" w:before="0" w:lineRule="auto"/>
              <w:jc w:val="center"/>
              <w:rPr>
                <w:color w:val="000000"/>
              </w:rPr>
            </w:pPr>
            <w:r w:rsidDel="00000000" w:rsidR="00000000" w:rsidRPr="00000000">
              <w:rPr>
                <w:color w:val="000000"/>
                <w:rtl w:val="0"/>
              </w:rPr>
              <w:t xml:space="preserve">9</w:t>
            </w:r>
          </w:p>
        </w:tc>
        <w:tc>
          <w:tcPr>
            <w:shd w:fill="auto" w:val="clear"/>
            <w:vAlign w:val="center"/>
          </w:tcPr>
          <w:p w:rsidR="00000000" w:rsidDel="00000000" w:rsidP="00000000" w:rsidRDefault="00000000" w:rsidRPr="00000000" w14:paraId="00000291">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92">
            <w:pPr>
              <w:spacing w:after="0" w:before="0" w:lineRule="auto"/>
              <w:rPr>
                <w:color w:val="000000"/>
              </w:rPr>
            </w:pPr>
            <w:r w:rsidDel="00000000" w:rsidR="00000000" w:rsidRPr="00000000">
              <w:rPr>
                <w:color w:val="000000"/>
                <w:rtl w:val="0"/>
              </w:rPr>
              <w:t xml:space="preserve">Mercer et al. (2015)</w:t>
            </w:r>
          </w:p>
        </w:tc>
        <w:tc>
          <w:tcPr>
            <w:shd w:fill="auto" w:val="clear"/>
            <w:vAlign w:val="center"/>
          </w:tcPr>
          <w:p w:rsidR="00000000" w:rsidDel="00000000" w:rsidP="00000000" w:rsidRDefault="00000000" w:rsidRPr="00000000" w14:paraId="00000293">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94">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95">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96">
            <w:pPr>
              <w:spacing w:after="0" w:before="0" w:lineRule="auto"/>
              <w:jc w:val="center"/>
              <w:rPr>
                <w:color w:val="000000"/>
              </w:rPr>
            </w:pPr>
            <w:r w:rsidDel="00000000" w:rsidR="00000000" w:rsidRPr="00000000">
              <w:rPr>
                <w:color w:val="000000"/>
                <w:rtl w:val="0"/>
              </w:rPr>
              <w:t xml:space="preserve">9</w:t>
            </w:r>
          </w:p>
        </w:tc>
        <w:tc>
          <w:tcPr>
            <w:shd w:fill="auto" w:val="clear"/>
            <w:vAlign w:val="center"/>
          </w:tcPr>
          <w:p w:rsidR="00000000" w:rsidDel="00000000" w:rsidP="00000000" w:rsidRDefault="00000000" w:rsidRPr="00000000" w14:paraId="00000297">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98">
            <w:pPr>
              <w:spacing w:after="0" w:before="0" w:lineRule="auto"/>
              <w:rPr>
                <w:color w:val="000000"/>
              </w:rPr>
            </w:pPr>
            <w:r w:rsidDel="00000000" w:rsidR="00000000" w:rsidRPr="00000000">
              <w:rPr>
                <w:color w:val="000000"/>
                <w:rtl w:val="0"/>
              </w:rPr>
              <w:t xml:space="preserve">Mercer et al. (2017)</w:t>
            </w:r>
          </w:p>
        </w:tc>
        <w:tc>
          <w:tcPr>
            <w:shd w:fill="auto" w:val="clear"/>
            <w:vAlign w:val="center"/>
          </w:tcPr>
          <w:p w:rsidR="00000000" w:rsidDel="00000000" w:rsidP="00000000" w:rsidRDefault="00000000" w:rsidRPr="00000000" w14:paraId="00000299">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9A">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9B">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9C">
            <w:pPr>
              <w:spacing w:after="0" w:before="0" w:lineRule="auto"/>
              <w:jc w:val="center"/>
              <w:rPr>
                <w:color w:val="000000"/>
              </w:rPr>
            </w:pPr>
            <w:r w:rsidDel="00000000" w:rsidR="00000000" w:rsidRPr="00000000">
              <w:rPr>
                <w:color w:val="000000"/>
                <w:rtl w:val="0"/>
              </w:rPr>
              <w:t xml:space="preserve">9</w:t>
            </w:r>
          </w:p>
        </w:tc>
        <w:tc>
          <w:tcPr>
            <w:shd w:fill="auto" w:val="clear"/>
            <w:vAlign w:val="center"/>
          </w:tcPr>
          <w:p w:rsidR="00000000" w:rsidDel="00000000" w:rsidP="00000000" w:rsidRDefault="00000000" w:rsidRPr="00000000" w14:paraId="0000029D">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9E">
            <w:pPr>
              <w:spacing w:after="0" w:before="0" w:lineRule="auto"/>
              <w:rPr>
                <w:color w:val="000000"/>
              </w:rPr>
            </w:pPr>
            <w:r w:rsidDel="00000000" w:rsidR="00000000" w:rsidRPr="00000000">
              <w:rPr>
                <w:color w:val="000000"/>
                <w:rtl w:val="0"/>
              </w:rPr>
              <w:t xml:space="preserve">Ozen et al. (2021)</w:t>
            </w:r>
          </w:p>
        </w:tc>
        <w:tc>
          <w:tcPr>
            <w:shd w:fill="auto" w:val="clear"/>
            <w:vAlign w:val="center"/>
          </w:tcPr>
          <w:p w:rsidR="00000000" w:rsidDel="00000000" w:rsidP="00000000" w:rsidRDefault="00000000" w:rsidRPr="00000000" w14:paraId="0000029F">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A0">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A1">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A2">
            <w:pPr>
              <w:spacing w:after="0" w:before="0" w:lineRule="auto"/>
              <w:jc w:val="center"/>
              <w:rPr>
                <w:color w:val="000000"/>
              </w:rPr>
            </w:pPr>
            <w:r w:rsidDel="00000000" w:rsidR="00000000" w:rsidRPr="00000000">
              <w:rPr>
                <w:color w:val="000000"/>
                <w:rtl w:val="0"/>
              </w:rPr>
              <w:t xml:space="preserve">8</w:t>
            </w:r>
          </w:p>
        </w:tc>
        <w:tc>
          <w:tcPr>
            <w:shd w:fill="auto" w:val="clear"/>
            <w:vAlign w:val="center"/>
          </w:tcPr>
          <w:p w:rsidR="00000000" w:rsidDel="00000000" w:rsidP="00000000" w:rsidRDefault="00000000" w:rsidRPr="00000000" w14:paraId="000002A3">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A4">
            <w:pPr>
              <w:spacing w:after="0" w:before="0" w:lineRule="auto"/>
              <w:rPr>
                <w:color w:val="000000"/>
              </w:rPr>
            </w:pPr>
            <w:r w:rsidDel="00000000" w:rsidR="00000000" w:rsidRPr="00000000">
              <w:rPr>
                <w:color w:val="000000"/>
                <w:rtl w:val="0"/>
              </w:rPr>
              <w:t xml:space="preserve">Patel et al. (2021)</w:t>
            </w:r>
          </w:p>
        </w:tc>
        <w:tc>
          <w:tcPr>
            <w:shd w:fill="auto" w:val="clear"/>
            <w:vAlign w:val="center"/>
          </w:tcPr>
          <w:p w:rsidR="00000000" w:rsidDel="00000000" w:rsidP="00000000" w:rsidRDefault="00000000" w:rsidRPr="00000000" w14:paraId="000002A5">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A6">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A7">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A8">
            <w:pPr>
              <w:spacing w:after="0" w:before="0" w:lineRule="auto"/>
              <w:jc w:val="center"/>
              <w:rPr>
                <w:color w:val="000000"/>
              </w:rPr>
            </w:pPr>
            <w:r w:rsidDel="00000000" w:rsidR="00000000" w:rsidRPr="00000000">
              <w:rPr>
                <w:color w:val="000000"/>
                <w:rtl w:val="0"/>
              </w:rPr>
              <w:t xml:space="preserve">7</w:t>
            </w:r>
          </w:p>
        </w:tc>
        <w:tc>
          <w:tcPr>
            <w:shd w:fill="auto" w:val="clear"/>
            <w:vAlign w:val="center"/>
          </w:tcPr>
          <w:p w:rsidR="00000000" w:rsidDel="00000000" w:rsidP="00000000" w:rsidRDefault="00000000" w:rsidRPr="00000000" w14:paraId="000002A9">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AA">
            <w:pPr>
              <w:spacing w:after="0" w:before="0" w:lineRule="auto"/>
              <w:rPr>
                <w:color w:val="000000"/>
              </w:rPr>
            </w:pPr>
            <w:r w:rsidDel="00000000" w:rsidR="00000000" w:rsidRPr="00000000">
              <w:rPr>
                <w:color w:val="000000"/>
                <w:rtl w:val="0"/>
              </w:rPr>
              <w:t xml:space="preserve">Pawar et al. (2019)</w:t>
            </w:r>
          </w:p>
        </w:tc>
        <w:tc>
          <w:tcPr>
            <w:shd w:fill="auto" w:val="clear"/>
            <w:vAlign w:val="center"/>
          </w:tcPr>
          <w:p w:rsidR="00000000" w:rsidDel="00000000" w:rsidP="00000000" w:rsidRDefault="00000000" w:rsidRPr="00000000" w14:paraId="000002AB">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AC">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AD">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AE">
            <w:pPr>
              <w:spacing w:after="0" w:before="0" w:lineRule="auto"/>
              <w:jc w:val="center"/>
              <w:rPr>
                <w:color w:val="000000"/>
              </w:rPr>
            </w:pPr>
            <w:r w:rsidDel="00000000" w:rsidR="00000000" w:rsidRPr="00000000">
              <w:rPr>
                <w:color w:val="000000"/>
                <w:rtl w:val="0"/>
              </w:rPr>
              <w:t xml:space="preserve">9</w:t>
            </w:r>
          </w:p>
        </w:tc>
        <w:tc>
          <w:tcPr>
            <w:shd w:fill="auto" w:val="clear"/>
            <w:vAlign w:val="center"/>
          </w:tcPr>
          <w:p w:rsidR="00000000" w:rsidDel="00000000" w:rsidP="00000000" w:rsidRDefault="00000000" w:rsidRPr="00000000" w14:paraId="000002AF">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B0">
            <w:pPr>
              <w:spacing w:after="0" w:before="0" w:lineRule="auto"/>
              <w:rPr>
                <w:color w:val="000000"/>
              </w:rPr>
            </w:pPr>
            <w:r w:rsidDel="00000000" w:rsidR="00000000" w:rsidRPr="00000000">
              <w:rPr>
                <w:color w:val="000000"/>
                <w:rtl w:val="0"/>
              </w:rPr>
              <w:t xml:space="preserve">Pawar et al. (2020)</w:t>
            </w:r>
          </w:p>
        </w:tc>
        <w:tc>
          <w:tcPr>
            <w:shd w:fill="auto" w:val="clear"/>
            <w:vAlign w:val="center"/>
          </w:tcPr>
          <w:p w:rsidR="00000000" w:rsidDel="00000000" w:rsidP="00000000" w:rsidRDefault="00000000" w:rsidRPr="00000000" w14:paraId="000002B1">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B2">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B3">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B4">
            <w:pPr>
              <w:spacing w:after="0" w:before="0" w:lineRule="auto"/>
              <w:jc w:val="center"/>
              <w:rPr>
                <w:color w:val="000000"/>
              </w:rPr>
            </w:pPr>
            <w:r w:rsidDel="00000000" w:rsidR="00000000" w:rsidRPr="00000000">
              <w:rPr>
                <w:color w:val="000000"/>
                <w:rtl w:val="0"/>
              </w:rPr>
              <w:t xml:space="preserve">8</w:t>
            </w:r>
          </w:p>
        </w:tc>
        <w:tc>
          <w:tcPr>
            <w:shd w:fill="auto" w:val="clear"/>
            <w:vAlign w:val="center"/>
          </w:tcPr>
          <w:p w:rsidR="00000000" w:rsidDel="00000000" w:rsidP="00000000" w:rsidRDefault="00000000" w:rsidRPr="00000000" w14:paraId="000002B5">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B6">
            <w:pPr>
              <w:spacing w:after="0" w:before="0" w:lineRule="auto"/>
              <w:rPr>
                <w:color w:val="000000"/>
              </w:rPr>
            </w:pPr>
            <w:r w:rsidDel="00000000" w:rsidR="00000000" w:rsidRPr="00000000">
              <w:rPr>
                <w:color w:val="000000"/>
                <w:rtl w:val="0"/>
              </w:rPr>
              <w:t xml:space="preserve">Pettipher and Benitha (2019)</w:t>
            </w:r>
          </w:p>
        </w:tc>
        <w:tc>
          <w:tcPr>
            <w:shd w:fill="auto" w:val="clear"/>
            <w:vAlign w:val="center"/>
          </w:tcPr>
          <w:p w:rsidR="00000000" w:rsidDel="00000000" w:rsidP="00000000" w:rsidRDefault="00000000" w:rsidRPr="00000000" w14:paraId="000002B7">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B8">
            <w:pPr>
              <w:spacing w:after="0" w:before="0" w:lineRule="auto"/>
              <w:jc w:val="center"/>
              <w:rPr>
                <w:color w:val="000000"/>
              </w:rPr>
            </w:pPr>
            <w:r w:rsidDel="00000000" w:rsidR="00000000" w:rsidRPr="00000000">
              <w:rPr>
                <w:rtl w:val="0"/>
              </w:rPr>
            </w:r>
          </w:p>
        </w:tc>
        <w:tc>
          <w:tcPr>
            <w:shd w:fill="auto" w:val="clear"/>
            <w:vAlign w:val="center"/>
          </w:tcPr>
          <w:p w:rsidR="00000000" w:rsidDel="00000000" w:rsidP="00000000" w:rsidRDefault="00000000" w:rsidRPr="00000000" w14:paraId="000002B9">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BA">
            <w:pPr>
              <w:spacing w:after="0" w:before="0" w:lineRule="auto"/>
              <w:jc w:val="center"/>
              <w:rPr>
                <w:color w:val="000000"/>
              </w:rPr>
            </w:pPr>
            <w:r w:rsidDel="00000000" w:rsidR="00000000" w:rsidRPr="00000000">
              <w:rPr>
                <w:color w:val="000000"/>
                <w:rtl w:val="0"/>
              </w:rPr>
              <w:t xml:space="preserve">4</w:t>
            </w:r>
          </w:p>
        </w:tc>
        <w:tc>
          <w:tcPr>
            <w:shd w:fill="auto" w:val="clear"/>
            <w:vAlign w:val="center"/>
          </w:tcPr>
          <w:p w:rsidR="00000000" w:rsidDel="00000000" w:rsidP="00000000" w:rsidRDefault="00000000" w:rsidRPr="00000000" w14:paraId="000002BB">
            <w:pPr>
              <w:spacing w:after="0" w:before="0" w:lineRule="auto"/>
              <w:jc w:val="center"/>
              <w:rPr>
                <w:color w:val="000000"/>
              </w:rPr>
            </w:pPr>
            <w:r w:rsidDel="00000000" w:rsidR="00000000" w:rsidRPr="00000000">
              <w:rPr>
                <w:color w:val="000000"/>
                <w:rtl w:val="0"/>
              </w:rPr>
              <w:t xml:space="preserve">Moderate</w:t>
            </w:r>
          </w:p>
        </w:tc>
      </w:tr>
      <w:tr>
        <w:trPr>
          <w:cantSplit w:val="0"/>
          <w:trHeight w:val="315" w:hRule="atLeast"/>
          <w:tblHeader w:val="0"/>
        </w:trPr>
        <w:tc>
          <w:tcPr>
            <w:shd w:fill="auto" w:val="clear"/>
            <w:vAlign w:val="center"/>
          </w:tcPr>
          <w:p w:rsidR="00000000" w:rsidDel="00000000" w:rsidP="00000000" w:rsidRDefault="00000000" w:rsidRPr="00000000" w14:paraId="000002BC">
            <w:pPr>
              <w:spacing w:after="0" w:before="0" w:lineRule="auto"/>
              <w:rPr>
                <w:color w:val="000000"/>
              </w:rPr>
            </w:pPr>
            <w:r w:rsidDel="00000000" w:rsidR="00000000" w:rsidRPr="00000000">
              <w:rPr>
                <w:color w:val="000000"/>
                <w:rtl w:val="0"/>
              </w:rPr>
              <w:t xml:space="preserve">Raaschou et al. (2014)</w:t>
            </w:r>
          </w:p>
        </w:tc>
        <w:tc>
          <w:tcPr>
            <w:shd w:fill="auto" w:val="clear"/>
            <w:vAlign w:val="center"/>
          </w:tcPr>
          <w:p w:rsidR="00000000" w:rsidDel="00000000" w:rsidP="00000000" w:rsidRDefault="00000000" w:rsidRPr="00000000" w14:paraId="000002BD">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BE">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BF">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C0">
            <w:pPr>
              <w:spacing w:after="0" w:before="0" w:lineRule="auto"/>
              <w:jc w:val="center"/>
              <w:rPr>
                <w:color w:val="000000"/>
              </w:rPr>
            </w:pPr>
            <w:r w:rsidDel="00000000" w:rsidR="00000000" w:rsidRPr="00000000">
              <w:rPr>
                <w:color w:val="000000"/>
                <w:rtl w:val="0"/>
              </w:rPr>
              <w:t xml:space="preserve">7</w:t>
            </w:r>
          </w:p>
        </w:tc>
        <w:tc>
          <w:tcPr>
            <w:shd w:fill="auto" w:val="clear"/>
            <w:vAlign w:val="center"/>
          </w:tcPr>
          <w:p w:rsidR="00000000" w:rsidDel="00000000" w:rsidP="00000000" w:rsidRDefault="00000000" w:rsidRPr="00000000" w14:paraId="000002C1">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C2">
            <w:pPr>
              <w:spacing w:after="0" w:before="0" w:lineRule="auto"/>
              <w:rPr>
                <w:color w:val="000000"/>
              </w:rPr>
            </w:pPr>
            <w:r w:rsidDel="00000000" w:rsidR="00000000" w:rsidRPr="00000000">
              <w:rPr>
                <w:color w:val="000000"/>
                <w:rtl w:val="0"/>
              </w:rPr>
              <w:t xml:space="preserve">Rahman et al. (2020)</w:t>
            </w:r>
          </w:p>
        </w:tc>
        <w:tc>
          <w:tcPr>
            <w:shd w:fill="auto" w:val="clear"/>
            <w:vAlign w:val="center"/>
          </w:tcPr>
          <w:p w:rsidR="00000000" w:rsidDel="00000000" w:rsidP="00000000" w:rsidRDefault="00000000" w:rsidRPr="00000000" w14:paraId="000002C3">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C4">
            <w:pPr>
              <w:spacing w:after="0" w:before="0" w:lineRule="auto"/>
              <w:jc w:val="center"/>
              <w:rPr>
                <w:color w:val="000000"/>
              </w:rPr>
            </w:pPr>
            <w:r w:rsidDel="00000000" w:rsidR="00000000" w:rsidRPr="00000000">
              <w:rPr>
                <w:rtl w:val="0"/>
              </w:rPr>
            </w:r>
          </w:p>
        </w:tc>
        <w:tc>
          <w:tcPr>
            <w:shd w:fill="auto" w:val="clear"/>
            <w:vAlign w:val="center"/>
          </w:tcPr>
          <w:p w:rsidR="00000000" w:rsidDel="00000000" w:rsidP="00000000" w:rsidRDefault="00000000" w:rsidRPr="00000000" w14:paraId="000002C5">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C6">
            <w:pPr>
              <w:spacing w:after="0" w:before="0" w:lineRule="auto"/>
              <w:jc w:val="center"/>
              <w:rPr>
                <w:color w:val="000000"/>
              </w:rPr>
            </w:pPr>
            <w:r w:rsidDel="00000000" w:rsidR="00000000" w:rsidRPr="00000000">
              <w:rPr>
                <w:color w:val="000000"/>
                <w:rtl w:val="0"/>
              </w:rPr>
              <w:t xml:space="preserve">5</w:t>
            </w:r>
          </w:p>
        </w:tc>
        <w:tc>
          <w:tcPr>
            <w:shd w:fill="auto" w:val="clear"/>
            <w:vAlign w:val="center"/>
          </w:tcPr>
          <w:p w:rsidR="00000000" w:rsidDel="00000000" w:rsidP="00000000" w:rsidRDefault="00000000" w:rsidRPr="00000000" w14:paraId="000002C7">
            <w:pPr>
              <w:spacing w:after="0" w:before="0" w:lineRule="auto"/>
              <w:jc w:val="center"/>
              <w:rPr>
                <w:color w:val="000000"/>
              </w:rPr>
            </w:pPr>
            <w:r w:rsidDel="00000000" w:rsidR="00000000" w:rsidRPr="00000000">
              <w:rPr>
                <w:color w:val="000000"/>
                <w:rtl w:val="0"/>
              </w:rPr>
              <w:t xml:space="preserve">Moderate</w:t>
            </w:r>
          </w:p>
        </w:tc>
      </w:tr>
      <w:tr>
        <w:trPr>
          <w:cantSplit w:val="0"/>
          <w:trHeight w:val="315" w:hRule="atLeast"/>
          <w:tblHeader w:val="0"/>
        </w:trPr>
        <w:tc>
          <w:tcPr>
            <w:shd w:fill="auto" w:val="clear"/>
            <w:vAlign w:val="center"/>
          </w:tcPr>
          <w:p w:rsidR="00000000" w:rsidDel="00000000" w:rsidP="00000000" w:rsidRDefault="00000000" w:rsidRPr="00000000" w14:paraId="000002C8">
            <w:pPr>
              <w:spacing w:after="0" w:before="0" w:lineRule="auto"/>
              <w:rPr>
                <w:color w:val="000000"/>
              </w:rPr>
            </w:pPr>
            <w:r w:rsidDel="00000000" w:rsidR="00000000" w:rsidRPr="00000000">
              <w:rPr>
                <w:color w:val="000000"/>
                <w:rtl w:val="0"/>
              </w:rPr>
              <w:t xml:space="preserve">Richter et al. (2016)</w:t>
            </w:r>
          </w:p>
        </w:tc>
        <w:tc>
          <w:tcPr>
            <w:shd w:fill="auto" w:val="clear"/>
            <w:vAlign w:val="center"/>
          </w:tcPr>
          <w:p w:rsidR="00000000" w:rsidDel="00000000" w:rsidP="00000000" w:rsidRDefault="00000000" w:rsidRPr="00000000" w14:paraId="000002C9">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CA">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CB">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CC">
            <w:pPr>
              <w:spacing w:after="0" w:before="0" w:lineRule="auto"/>
              <w:jc w:val="center"/>
              <w:rPr>
                <w:color w:val="000000"/>
              </w:rPr>
            </w:pPr>
            <w:r w:rsidDel="00000000" w:rsidR="00000000" w:rsidRPr="00000000">
              <w:rPr>
                <w:color w:val="000000"/>
                <w:rtl w:val="0"/>
              </w:rPr>
              <w:t xml:space="preserve">8</w:t>
            </w:r>
          </w:p>
        </w:tc>
        <w:tc>
          <w:tcPr>
            <w:shd w:fill="auto" w:val="clear"/>
            <w:vAlign w:val="center"/>
          </w:tcPr>
          <w:p w:rsidR="00000000" w:rsidDel="00000000" w:rsidP="00000000" w:rsidRDefault="00000000" w:rsidRPr="00000000" w14:paraId="000002CD">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CE">
            <w:pPr>
              <w:spacing w:after="0" w:before="0" w:lineRule="auto"/>
              <w:rPr>
                <w:color w:val="000000"/>
              </w:rPr>
            </w:pPr>
            <w:r w:rsidDel="00000000" w:rsidR="00000000" w:rsidRPr="00000000">
              <w:rPr>
                <w:color w:val="000000"/>
                <w:rtl w:val="0"/>
              </w:rPr>
              <w:t xml:space="preserve">Rutherford et al. (2019)</w:t>
            </w:r>
          </w:p>
        </w:tc>
        <w:tc>
          <w:tcPr>
            <w:shd w:fill="auto" w:val="clear"/>
            <w:vAlign w:val="center"/>
          </w:tcPr>
          <w:p w:rsidR="00000000" w:rsidDel="00000000" w:rsidP="00000000" w:rsidRDefault="00000000" w:rsidRPr="00000000" w14:paraId="000002CF">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D0">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D1">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D2">
            <w:pPr>
              <w:spacing w:after="0" w:before="0" w:lineRule="auto"/>
              <w:jc w:val="center"/>
              <w:rPr>
                <w:color w:val="000000"/>
              </w:rPr>
            </w:pPr>
            <w:r w:rsidDel="00000000" w:rsidR="00000000" w:rsidRPr="00000000">
              <w:rPr>
                <w:color w:val="000000"/>
                <w:rtl w:val="0"/>
              </w:rPr>
              <w:t xml:space="preserve">8</w:t>
            </w:r>
          </w:p>
        </w:tc>
        <w:tc>
          <w:tcPr>
            <w:shd w:fill="auto" w:val="clear"/>
            <w:vAlign w:val="center"/>
          </w:tcPr>
          <w:p w:rsidR="00000000" w:rsidDel="00000000" w:rsidP="00000000" w:rsidRDefault="00000000" w:rsidRPr="00000000" w14:paraId="000002D3">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shd w:fill="auto" w:val="clear"/>
            <w:vAlign w:val="center"/>
          </w:tcPr>
          <w:p w:rsidR="00000000" w:rsidDel="00000000" w:rsidP="00000000" w:rsidRDefault="00000000" w:rsidRPr="00000000" w14:paraId="000002D4">
            <w:pPr>
              <w:spacing w:after="0" w:before="0" w:lineRule="auto"/>
              <w:rPr>
                <w:color w:val="000000"/>
              </w:rPr>
            </w:pPr>
            <w:r w:rsidDel="00000000" w:rsidR="00000000" w:rsidRPr="00000000">
              <w:rPr>
                <w:color w:val="000000"/>
                <w:rtl w:val="0"/>
              </w:rPr>
              <w:t xml:space="preserve">Sakai et al. (2018)</w:t>
            </w:r>
          </w:p>
        </w:tc>
        <w:tc>
          <w:tcPr>
            <w:shd w:fill="auto" w:val="clear"/>
            <w:vAlign w:val="center"/>
          </w:tcPr>
          <w:p w:rsidR="00000000" w:rsidDel="00000000" w:rsidP="00000000" w:rsidRDefault="00000000" w:rsidRPr="00000000" w14:paraId="000002D5">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D6">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D7">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D8">
            <w:pPr>
              <w:spacing w:after="0" w:before="0" w:lineRule="auto"/>
              <w:jc w:val="center"/>
              <w:rPr>
                <w:color w:val="000000"/>
              </w:rPr>
            </w:pPr>
            <w:r w:rsidDel="00000000" w:rsidR="00000000" w:rsidRPr="00000000">
              <w:rPr>
                <w:color w:val="000000"/>
                <w:rtl w:val="0"/>
              </w:rPr>
              <w:t xml:space="preserve">6</w:t>
            </w:r>
          </w:p>
        </w:tc>
        <w:tc>
          <w:tcPr>
            <w:shd w:fill="auto" w:val="clear"/>
            <w:vAlign w:val="center"/>
          </w:tcPr>
          <w:p w:rsidR="00000000" w:rsidDel="00000000" w:rsidP="00000000" w:rsidRDefault="00000000" w:rsidRPr="00000000" w14:paraId="000002D9">
            <w:pPr>
              <w:spacing w:after="0" w:before="0" w:lineRule="auto"/>
              <w:jc w:val="center"/>
              <w:rPr>
                <w:color w:val="000000"/>
              </w:rPr>
            </w:pPr>
            <w:r w:rsidDel="00000000" w:rsidR="00000000" w:rsidRPr="00000000">
              <w:rPr>
                <w:color w:val="000000"/>
                <w:rtl w:val="0"/>
              </w:rPr>
              <w:t xml:space="preserve">Moderate</w:t>
            </w:r>
          </w:p>
        </w:tc>
      </w:tr>
      <w:tr>
        <w:trPr>
          <w:cantSplit w:val="0"/>
          <w:trHeight w:val="315" w:hRule="atLeast"/>
          <w:tblHeader w:val="0"/>
        </w:trPr>
        <w:tc>
          <w:tcPr>
            <w:shd w:fill="auto" w:val="clear"/>
            <w:vAlign w:val="center"/>
          </w:tcPr>
          <w:p w:rsidR="00000000" w:rsidDel="00000000" w:rsidP="00000000" w:rsidRDefault="00000000" w:rsidRPr="00000000" w14:paraId="000002DA">
            <w:pPr>
              <w:spacing w:after="0" w:before="0" w:lineRule="auto"/>
              <w:rPr>
                <w:color w:val="000000"/>
              </w:rPr>
            </w:pPr>
            <w:r w:rsidDel="00000000" w:rsidR="00000000" w:rsidRPr="00000000">
              <w:rPr>
                <w:color w:val="000000"/>
                <w:rtl w:val="0"/>
              </w:rPr>
              <w:t xml:space="preserve">Yun et al. (2014)</w:t>
            </w:r>
          </w:p>
        </w:tc>
        <w:tc>
          <w:tcPr>
            <w:shd w:fill="auto" w:val="clear"/>
            <w:vAlign w:val="center"/>
          </w:tcPr>
          <w:p w:rsidR="00000000" w:rsidDel="00000000" w:rsidP="00000000" w:rsidRDefault="00000000" w:rsidRPr="00000000" w14:paraId="000002DB">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DC">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DD">
            <w:pPr>
              <w:spacing w:after="0" w:before="0" w:lineRule="auto"/>
              <w:jc w:val="center"/>
              <w:rPr>
                <w:color w:val="000000"/>
              </w:rPr>
            </w:pPr>
            <w:r w:rsidDel="00000000" w:rsidR="00000000" w:rsidRPr="00000000">
              <w:rPr>
                <w:color w:val="000000"/>
                <w:rtl w:val="0"/>
              </w:rPr>
              <w:t xml:space="preserve">***</w:t>
            </w:r>
          </w:p>
        </w:tc>
        <w:tc>
          <w:tcPr>
            <w:shd w:fill="auto" w:val="clear"/>
            <w:vAlign w:val="center"/>
          </w:tcPr>
          <w:p w:rsidR="00000000" w:rsidDel="00000000" w:rsidP="00000000" w:rsidRDefault="00000000" w:rsidRPr="00000000" w14:paraId="000002DE">
            <w:pPr>
              <w:spacing w:after="0" w:before="0" w:lineRule="auto"/>
              <w:jc w:val="center"/>
              <w:rPr>
                <w:color w:val="000000"/>
              </w:rPr>
            </w:pPr>
            <w:r w:rsidDel="00000000" w:rsidR="00000000" w:rsidRPr="00000000">
              <w:rPr>
                <w:color w:val="000000"/>
                <w:rtl w:val="0"/>
              </w:rPr>
              <w:t xml:space="preserve">8</w:t>
            </w:r>
          </w:p>
        </w:tc>
        <w:tc>
          <w:tcPr>
            <w:shd w:fill="auto" w:val="clear"/>
            <w:vAlign w:val="center"/>
          </w:tcPr>
          <w:p w:rsidR="00000000" w:rsidDel="00000000" w:rsidP="00000000" w:rsidRDefault="00000000" w:rsidRPr="00000000" w14:paraId="000002DF">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tcBorders>
              <w:bottom w:color="000000" w:space="0" w:sz="4" w:val="single"/>
            </w:tcBorders>
            <w:shd w:fill="auto" w:val="clear"/>
            <w:vAlign w:val="center"/>
          </w:tcPr>
          <w:p w:rsidR="00000000" w:rsidDel="00000000" w:rsidP="00000000" w:rsidRDefault="00000000" w:rsidRPr="00000000" w14:paraId="000002E0">
            <w:pPr>
              <w:spacing w:after="0" w:before="0" w:lineRule="auto"/>
              <w:rPr>
                <w:color w:val="000000"/>
              </w:rPr>
            </w:pPr>
            <w:r w:rsidDel="00000000" w:rsidR="00000000" w:rsidRPr="00000000">
              <w:rPr>
                <w:color w:val="000000"/>
                <w:rtl w:val="0"/>
              </w:rPr>
              <w:t xml:space="preserve">Yun et al. (2016)</w:t>
            </w:r>
          </w:p>
        </w:tc>
        <w:tc>
          <w:tcPr>
            <w:tcBorders>
              <w:bottom w:color="000000" w:space="0" w:sz="4" w:val="single"/>
            </w:tcBorders>
            <w:shd w:fill="auto" w:val="clear"/>
            <w:vAlign w:val="center"/>
          </w:tcPr>
          <w:p w:rsidR="00000000" w:rsidDel="00000000" w:rsidP="00000000" w:rsidRDefault="00000000" w:rsidRPr="00000000" w14:paraId="000002E1">
            <w:pPr>
              <w:spacing w:after="0" w:before="0" w:lineRule="auto"/>
              <w:jc w:val="center"/>
              <w:rPr>
                <w:color w:val="000000"/>
              </w:rPr>
            </w:pPr>
            <w:r w:rsidDel="00000000" w:rsidR="00000000" w:rsidRPr="00000000">
              <w:rPr>
                <w:color w:val="000000"/>
                <w:rtl w:val="0"/>
              </w:rPr>
              <w:t xml:space="preserve">****</w:t>
            </w:r>
          </w:p>
        </w:tc>
        <w:tc>
          <w:tcPr>
            <w:tcBorders>
              <w:bottom w:color="000000" w:space="0" w:sz="4" w:val="single"/>
            </w:tcBorders>
            <w:shd w:fill="auto" w:val="clear"/>
            <w:vAlign w:val="center"/>
          </w:tcPr>
          <w:p w:rsidR="00000000" w:rsidDel="00000000" w:rsidP="00000000" w:rsidRDefault="00000000" w:rsidRPr="00000000" w14:paraId="000002E2">
            <w:pPr>
              <w:spacing w:after="0" w:before="0" w:lineRule="auto"/>
              <w:jc w:val="center"/>
              <w:rPr>
                <w:color w:val="000000"/>
              </w:rPr>
            </w:pPr>
            <w:r w:rsidDel="00000000" w:rsidR="00000000" w:rsidRPr="00000000">
              <w:rPr>
                <w:color w:val="000000"/>
                <w:rtl w:val="0"/>
              </w:rPr>
              <w:t xml:space="preserve">*</w:t>
            </w:r>
          </w:p>
        </w:tc>
        <w:tc>
          <w:tcPr>
            <w:tcBorders>
              <w:bottom w:color="000000" w:space="0" w:sz="4" w:val="single"/>
            </w:tcBorders>
            <w:shd w:fill="auto" w:val="clear"/>
            <w:vAlign w:val="center"/>
          </w:tcPr>
          <w:p w:rsidR="00000000" w:rsidDel="00000000" w:rsidP="00000000" w:rsidRDefault="00000000" w:rsidRPr="00000000" w14:paraId="000002E3">
            <w:pPr>
              <w:spacing w:after="0" w:before="0" w:lineRule="auto"/>
              <w:jc w:val="center"/>
              <w:rPr>
                <w:color w:val="000000"/>
              </w:rPr>
            </w:pPr>
            <w:r w:rsidDel="00000000" w:rsidR="00000000" w:rsidRPr="00000000">
              <w:rPr>
                <w:color w:val="000000"/>
                <w:rtl w:val="0"/>
              </w:rPr>
              <w:t xml:space="preserve">***</w:t>
            </w:r>
          </w:p>
        </w:tc>
        <w:tc>
          <w:tcPr>
            <w:tcBorders>
              <w:bottom w:color="000000" w:space="0" w:sz="4" w:val="single"/>
            </w:tcBorders>
            <w:shd w:fill="auto" w:val="clear"/>
            <w:vAlign w:val="center"/>
          </w:tcPr>
          <w:p w:rsidR="00000000" w:rsidDel="00000000" w:rsidP="00000000" w:rsidRDefault="00000000" w:rsidRPr="00000000" w14:paraId="000002E4">
            <w:pPr>
              <w:spacing w:after="0" w:before="0" w:lineRule="auto"/>
              <w:jc w:val="center"/>
              <w:rPr>
                <w:color w:val="000000"/>
              </w:rPr>
            </w:pPr>
            <w:r w:rsidDel="00000000" w:rsidR="00000000" w:rsidRPr="00000000">
              <w:rPr>
                <w:color w:val="000000"/>
                <w:rtl w:val="0"/>
              </w:rPr>
              <w:t xml:space="preserve">8</w:t>
            </w:r>
          </w:p>
        </w:tc>
        <w:tc>
          <w:tcPr>
            <w:tcBorders>
              <w:bottom w:color="000000" w:space="0" w:sz="4" w:val="single"/>
            </w:tcBorders>
            <w:shd w:fill="auto" w:val="clear"/>
            <w:vAlign w:val="center"/>
          </w:tcPr>
          <w:p w:rsidR="00000000" w:rsidDel="00000000" w:rsidP="00000000" w:rsidRDefault="00000000" w:rsidRPr="00000000" w14:paraId="000002E5">
            <w:pPr>
              <w:spacing w:after="0" w:before="0" w:lineRule="auto"/>
              <w:jc w:val="center"/>
              <w:rPr>
                <w:color w:val="000000"/>
              </w:rPr>
            </w:pPr>
            <w:r w:rsidDel="00000000" w:rsidR="00000000" w:rsidRPr="00000000">
              <w:rPr>
                <w:color w:val="000000"/>
                <w:rtl w:val="0"/>
              </w:rPr>
              <w:t xml:space="preserve">High</w:t>
            </w:r>
          </w:p>
        </w:tc>
      </w:tr>
      <w:tr>
        <w:trPr>
          <w:cantSplit w:val="0"/>
          <w:trHeight w:val="315" w:hRule="atLeast"/>
          <w:tblHeader w:val="0"/>
        </w:trPr>
        <w:tc>
          <w:tcPr>
            <w:tcBorders>
              <w:bottom w:color="000000" w:space="0" w:sz="4" w:val="single"/>
            </w:tcBorders>
            <w:shd w:fill="auto" w:val="clear"/>
            <w:vAlign w:val="center"/>
          </w:tcPr>
          <w:p w:rsidR="00000000" w:rsidDel="00000000" w:rsidP="00000000" w:rsidRDefault="00000000" w:rsidRPr="00000000" w14:paraId="000002E6">
            <w:pPr>
              <w:spacing w:after="0" w:before="0" w:lineRule="auto"/>
              <w:rPr>
                <w:color w:val="000000"/>
              </w:rPr>
            </w:pPr>
            <w:r w:rsidDel="00000000" w:rsidR="00000000" w:rsidRPr="00000000">
              <w:rPr>
                <w:color w:val="000000"/>
                <w:rtl w:val="0"/>
              </w:rPr>
              <w:t xml:space="preserve">Zhang et al. (2016)</w:t>
            </w:r>
          </w:p>
        </w:tc>
        <w:tc>
          <w:tcPr>
            <w:tcBorders>
              <w:bottom w:color="000000" w:space="0" w:sz="4" w:val="single"/>
            </w:tcBorders>
            <w:shd w:fill="auto" w:val="clear"/>
            <w:vAlign w:val="center"/>
          </w:tcPr>
          <w:p w:rsidR="00000000" w:rsidDel="00000000" w:rsidP="00000000" w:rsidRDefault="00000000" w:rsidRPr="00000000" w14:paraId="000002E7">
            <w:pPr>
              <w:spacing w:after="0" w:before="0" w:lineRule="auto"/>
              <w:jc w:val="center"/>
              <w:rPr>
                <w:color w:val="000000"/>
              </w:rPr>
            </w:pPr>
            <w:r w:rsidDel="00000000" w:rsidR="00000000" w:rsidRPr="00000000">
              <w:rPr>
                <w:color w:val="000000"/>
                <w:rtl w:val="0"/>
              </w:rPr>
              <w:t xml:space="preserve">****</w:t>
            </w:r>
          </w:p>
        </w:tc>
        <w:tc>
          <w:tcPr>
            <w:tcBorders>
              <w:bottom w:color="000000" w:space="0" w:sz="4" w:val="single"/>
            </w:tcBorders>
            <w:shd w:fill="auto" w:val="clear"/>
            <w:vAlign w:val="center"/>
          </w:tcPr>
          <w:p w:rsidR="00000000" w:rsidDel="00000000" w:rsidP="00000000" w:rsidRDefault="00000000" w:rsidRPr="00000000" w14:paraId="000002E8">
            <w:pPr>
              <w:spacing w:after="0" w:before="0" w:lineRule="auto"/>
              <w:jc w:val="center"/>
              <w:rPr>
                <w:color w:val="000000"/>
              </w:rPr>
            </w:pPr>
            <w:r w:rsidDel="00000000" w:rsidR="00000000" w:rsidRPr="00000000">
              <w:rPr>
                <w:color w:val="000000"/>
                <w:rtl w:val="0"/>
              </w:rPr>
              <w:t xml:space="preserve">**</w:t>
            </w:r>
          </w:p>
        </w:tc>
        <w:tc>
          <w:tcPr>
            <w:tcBorders>
              <w:bottom w:color="000000" w:space="0" w:sz="4" w:val="single"/>
            </w:tcBorders>
            <w:shd w:fill="auto" w:val="clear"/>
            <w:vAlign w:val="center"/>
          </w:tcPr>
          <w:p w:rsidR="00000000" w:rsidDel="00000000" w:rsidP="00000000" w:rsidRDefault="00000000" w:rsidRPr="00000000" w14:paraId="000002E9">
            <w:pPr>
              <w:spacing w:after="0" w:before="0" w:lineRule="auto"/>
              <w:jc w:val="center"/>
              <w:rPr>
                <w:color w:val="000000"/>
              </w:rPr>
            </w:pPr>
            <w:r w:rsidDel="00000000" w:rsidR="00000000" w:rsidRPr="00000000">
              <w:rPr>
                <w:color w:val="000000"/>
                <w:rtl w:val="0"/>
              </w:rPr>
              <w:t xml:space="preserve">***</w:t>
            </w:r>
          </w:p>
        </w:tc>
        <w:tc>
          <w:tcPr>
            <w:tcBorders>
              <w:bottom w:color="000000" w:space="0" w:sz="4" w:val="single"/>
            </w:tcBorders>
            <w:shd w:fill="auto" w:val="clear"/>
            <w:vAlign w:val="center"/>
          </w:tcPr>
          <w:p w:rsidR="00000000" w:rsidDel="00000000" w:rsidP="00000000" w:rsidRDefault="00000000" w:rsidRPr="00000000" w14:paraId="000002EA">
            <w:pPr>
              <w:spacing w:after="0" w:before="0" w:lineRule="auto"/>
              <w:jc w:val="center"/>
              <w:rPr>
                <w:color w:val="000000"/>
              </w:rPr>
            </w:pPr>
            <w:r w:rsidDel="00000000" w:rsidR="00000000" w:rsidRPr="00000000">
              <w:rPr>
                <w:color w:val="000000"/>
                <w:rtl w:val="0"/>
              </w:rPr>
              <w:t xml:space="preserve">9</w:t>
            </w:r>
          </w:p>
        </w:tc>
        <w:tc>
          <w:tcPr>
            <w:tcBorders>
              <w:bottom w:color="000000" w:space="0" w:sz="4" w:val="single"/>
            </w:tcBorders>
            <w:shd w:fill="auto" w:val="clear"/>
            <w:vAlign w:val="center"/>
          </w:tcPr>
          <w:p w:rsidR="00000000" w:rsidDel="00000000" w:rsidP="00000000" w:rsidRDefault="00000000" w:rsidRPr="00000000" w14:paraId="000002EB">
            <w:pPr>
              <w:spacing w:after="0" w:before="0" w:lineRule="auto"/>
              <w:jc w:val="center"/>
              <w:rPr>
                <w:color w:val="000000"/>
              </w:rPr>
            </w:pPr>
            <w:r w:rsidDel="00000000" w:rsidR="00000000" w:rsidRPr="00000000">
              <w:rPr>
                <w:color w:val="000000"/>
                <w:rtl w:val="0"/>
              </w:rPr>
              <w:t xml:space="preserve">High</w:t>
            </w:r>
          </w:p>
        </w:tc>
      </w:tr>
    </w:tbl>
    <w:p w:rsidR="00000000" w:rsidDel="00000000" w:rsidP="00000000" w:rsidRDefault="00000000" w:rsidRPr="00000000" w14:paraId="000002EC">
      <w:pPr>
        <w:spacing w:after="0" w:before="0" w:lineRule="auto"/>
        <w:rPr/>
        <w:sectPr>
          <w:type w:val="nextPage"/>
          <w:pgSz w:h="12240" w:w="15840" w:orient="landscape"/>
          <w:pgMar w:bottom="1138" w:top="1138" w:left="1282" w:right="1181" w:header="720" w:footer="720"/>
        </w:sectPr>
      </w:pPr>
      <w:r w:rsidDel="00000000" w:rsidR="00000000" w:rsidRPr="00000000">
        <w:rPr>
          <w:sz w:val="20"/>
          <w:szCs w:val="20"/>
          <w:rtl w:val="0"/>
        </w:rPr>
        <w:t xml:space="preserve">*: the study has met the criteria for a domain of the Newcastle-Ottawa Scale. Each star scores one point.</w:t>
      </w:r>
      <w:r w:rsidDel="00000000" w:rsidR="00000000" w:rsidRPr="00000000">
        <w:rPr>
          <w:rtl w:val="0"/>
        </w:rPr>
      </w:r>
    </w:p>
    <w:p w:rsidR="00000000" w:rsidDel="00000000" w:rsidP="00000000" w:rsidRDefault="00000000" w:rsidRPr="00000000" w14:paraId="000002ED">
      <w:pPr>
        <w:spacing w:before="240" w:lineRule="auto"/>
        <w:jc w:val="center"/>
        <w:rPr/>
      </w:pPr>
      <w:r w:rsidDel="00000000" w:rsidR="00000000" w:rsidRPr="00000000">
        <w:rPr/>
        <w:drawing>
          <wp:inline distB="0" distT="0" distL="0" distR="0">
            <wp:extent cx="5819775" cy="4533900"/>
            <wp:effectExtent b="0" l="0" r="0" t="0"/>
            <wp:docPr id="65"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819775"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2EE">
      <w:pPr>
        <w:spacing w:before="240" w:lineRule="auto"/>
        <w:jc w:val="center"/>
        <w:rPr/>
      </w:pPr>
      <w:r w:rsidDel="00000000" w:rsidR="00000000" w:rsidRPr="00000000">
        <w:rPr>
          <w:b w:val="1"/>
          <w:rtl w:val="0"/>
        </w:rPr>
        <w:t xml:space="preserve">Figure S1.</w:t>
      </w:r>
      <w:r w:rsidDel="00000000" w:rsidR="00000000" w:rsidRPr="00000000">
        <w:rPr>
          <w:rtl w:val="0"/>
        </w:rPr>
        <w:t xml:space="preserve"> Funnel plot of studies that compared the safety of TNFi versus non-TNFi.</w:t>
      </w:r>
    </w:p>
    <w:p w:rsidR="00000000" w:rsidDel="00000000" w:rsidP="00000000" w:rsidRDefault="00000000" w:rsidRPr="00000000" w14:paraId="000002EF">
      <w:pPr>
        <w:spacing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F0">
      <w:pPr>
        <w:spacing w:before="240" w:lineRule="auto"/>
        <w:rPr/>
      </w:pPr>
      <w:r w:rsidDel="00000000" w:rsidR="00000000" w:rsidRPr="00000000">
        <w:rPr/>
        <w:drawing>
          <wp:inline distB="114300" distT="114300" distL="114300" distR="114300">
            <wp:extent cx="5848350" cy="4533900"/>
            <wp:effectExtent b="0" l="0" r="0" t="0"/>
            <wp:docPr id="67"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584835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spacing w:before="240" w:lineRule="auto"/>
        <w:jc w:val="center"/>
        <w:rPr/>
      </w:pPr>
      <w:r w:rsidDel="00000000" w:rsidR="00000000" w:rsidRPr="00000000">
        <w:rPr>
          <w:b w:val="1"/>
          <w:rtl w:val="0"/>
        </w:rPr>
        <w:t xml:space="preserve">Figure S2.</w:t>
      </w:r>
      <w:r w:rsidDel="00000000" w:rsidR="00000000" w:rsidRPr="00000000">
        <w:rPr>
          <w:rtl w:val="0"/>
        </w:rPr>
        <w:t xml:space="preserve"> Funnel plot of studies that compared the safety of TNFi versus csDMARDs.</w:t>
      </w:r>
    </w:p>
    <w:p w:rsidR="00000000" w:rsidDel="00000000" w:rsidP="00000000" w:rsidRDefault="00000000" w:rsidRPr="00000000" w14:paraId="000002F2">
      <w:pPr>
        <w:spacing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F3">
      <w:pPr>
        <w:spacing w:before="240" w:lineRule="auto"/>
        <w:rPr/>
      </w:pPr>
      <w:r w:rsidDel="00000000" w:rsidR="00000000" w:rsidRPr="00000000">
        <w:rPr/>
        <w:drawing>
          <wp:inline distB="114300" distT="114300" distL="114300" distR="114300">
            <wp:extent cx="5848350" cy="4533900"/>
            <wp:effectExtent b="0" l="0" r="0" t="0"/>
            <wp:docPr id="66"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84835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2F4">
      <w:pPr>
        <w:spacing w:before="240" w:lineRule="auto"/>
        <w:jc w:val="center"/>
        <w:rPr/>
      </w:pPr>
      <w:r w:rsidDel="00000000" w:rsidR="00000000" w:rsidRPr="00000000">
        <w:rPr>
          <w:b w:val="1"/>
          <w:rtl w:val="0"/>
        </w:rPr>
        <w:t xml:space="preserve">Figure S3.</w:t>
      </w:r>
      <w:r w:rsidDel="00000000" w:rsidR="00000000" w:rsidRPr="00000000">
        <w:rPr>
          <w:rtl w:val="0"/>
        </w:rPr>
        <w:t xml:space="preserve"> Funnel plot of studies that compared the safety of bDMARDs versus csDMARDs.</w:t>
      </w:r>
    </w:p>
    <w:p w:rsidR="00000000" w:rsidDel="00000000" w:rsidP="00000000" w:rsidRDefault="00000000" w:rsidRPr="00000000" w14:paraId="000002F5">
      <w:pPr>
        <w:spacing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F6">
      <w:pPr>
        <w:spacing w:before="240" w:lineRule="auto"/>
        <w:rPr/>
      </w:pPr>
      <w:r w:rsidDel="00000000" w:rsidR="00000000" w:rsidRPr="00000000">
        <w:rPr>
          <w:rtl w:val="0"/>
        </w:rPr>
      </w:r>
    </w:p>
    <w:p w:rsidR="00000000" w:rsidDel="00000000" w:rsidP="00000000" w:rsidRDefault="00000000" w:rsidRPr="00000000" w14:paraId="000002F7">
      <w:pPr>
        <w:spacing w:before="240" w:lineRule="auto"/>
        <w:jc w:val="center"/>
        <w:rPr>
          <w:b w:val="1"/>
        </w:rPr>
      </w:pPr>
      <w:r w:rsidDel="00000000" w:rsidR="00000000" w:rsidRPr="00000000">
        <w:rPr/>
        <w:drawing>
          <wp:inline distB="0" distT="0" distL="0" distR="0">
            <wp:extent cx="6089650" cy="5534025"/>
            <wp:effectExtent b="0" l="0" r="0" t="0"/>
            <wp:docPr id="69" name="image7.jpg"/>
            <a:graphic>
              <a:graphicData uri="http://schemas.openxmlformats.org/drawingml/2006/picture">
                <pic:pic>
                  <pic:nvPicPr>
                    <pic:cNvPr id="0" name="image7.jpg"/>
                    <pic:cNvPicPr preferRelativeResize="0"/>
                  </pic:nvPicPr>
                  <pic:blipFill>
                    <a:blip r:embed="rId15"/>
                    <a:srcRect b="35749" l="0" r="0" t="0"/>
                    <a:stretch>
                      <a:fillRect/>
                    </a:stretch>
                  </pic:blipFill>
                  <pic:spPr>
                    <a:xfrm>
                      <a:off x="0" y="0"/>
                      <a:ext cx="6089650" cy="5534025"/>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spacing w:before="240" w:lineRule="auto"/>
        <w:jc w:val="center"/>
        <w:rPr/>
      </w:pPr>
      <w:r w:rsidDel="00000000" w:rsidR="00000000" w:rsidRPr="00000000">
        <w:rPr>
          <w:b w:val="1"/>
          <w:rtl w:val="0"/>
        </w:rPr>
        <w:t xml:space="preserve">Figure S4.</w:t>
      </w:r>
      <w:r w:rsidDel="00000000" w:rsidR="00000000" w:rsidRPr="00000000">
        <w:rPr>
          <w:rtl w:val="0"/>
        </w:rPr>
        <w:t xml:space="preserve"> GRADE assessment of the methodological quality of studies that evaluated TNFi versus non-TNFi.</w:t>
      </w:r>
    </w:p>
    <w:p w:rsidR="00000000" w:rsidDel="00000000" w:rsidP="00000000" w:rsidRDefault="00000000" w:rsidRPr="00000000" w14:paraId="000002F9">
      <w:pPr>
        <w:spacing w:before="240" w:lineRule="auto"/>
        <w:rPr/>
      </w:pPr>
      <w:r w:rsidDel="00000000" w:rsidR="00000000" w:rsidRPr="00000000">
        <w:rPr>
          <w:rtl w:val="0"/>
        </w:rPr>
      </w:r>
    </w:p>
    <w:p w:rsidR="00000000" w:rsidDel="00000000" w:rsidP="00000000" w:rsidRDefault="00000000" w:rsidRPr="00000000" w14:paraId="000002FA">
      <w:pPr>
        <w:rPr/>
      </w:pPr>
      <w:r w:rsidDel="00000000" w:rsidR="00000000" w:rsidRPr="00000000">
        <w:br w:type="page"/>
      </w:r>
      <w:r w:rsidDel="00000000" w:rsidR="00000000" w:rsidRPr="00000000">
        <w:rPr>
          <w:rtl w:val="0"/>
        </w:rPr>
      </w:r>
    </w:p>
    <w:p w:rsidR="00000000" w:rsidDel="00000000" w:rsidP="00000000" w:rsidRDefault="00000000" w:rsidRPr="00000000" w14:paraId="000002FB">
      <w:pPr>
        <w:spacing w:before="240" w:lineRule="auto"/>
        <w:rPr/>
      </w:pPr>
      <w:r w:rsidDel="00000000" w:rsidR="00000000" w:rsidRPr="00000000">
        <w:rPr/>
        <w:drawing>
          <wp:inline distB="0" distT="0" distL="0" distR="0">
            <wp:extent cx="6089650" cy="4962525"/>
            <wp:effectExtent b="0" l="0" r="0" t="0"/>
            <wp:docPr id="68" name="image3.jpg"/>
            <a:graphic>
              <a:graphicData uri="http://schemas.openxmlformats.org/drawingml/2006/picture">
                <pic:pic>
                  <pic:nvPicPr>
                    <pic:cNvPr id="0" name="image3.jpg"/>
                    <pic:cNvPicPr preferRelativeResize="0"/>
                  </pic:nvPicPr>
                  <pic:blipFill>
                    <a:blip r:embed="rId16"/>
                    <a:srcRect b="42384" l="0" r="0" t="-1"/>
                    <a:stretch>
                      <a:fillRect/>
                    </a:stretch>
                  </pic:blipFill>
                  <pic:spPr>
                    <a:xfrm>
                      <a:off x="0" y="0"/>
                      <a:ext cx="6089650" cy="4962525"/>
                    </a:xfrm>
                    <a:prstGeom prst="rect"/>
                    <a:ln/>
                  </pic:spPr>
                </pic:pic>
              </a:graphicData>
            </a:graphic>
          </wp:inline>
        </w:drawing>
      </w:r>
      <w:r w:rsidDel="00000000" w:rsidR="00000000" w:rsidRPr="00000000">
        <w:rPr>
          <w:rtl w:val="0"/>
        </w:rPr>
      </w:r>
    </w:p>
    <w:p w:rsidR="00000000" w:rsidDel="00000000" w:rsidP="00000000" w:rsidRDefault="00000000" w:rsidRPr="00000000" w14:paraId="000002FC">
      <w:pPr>
        <w:spacing w:before="240" w:lineRule="auto"/>
        <w:jc w:val="center"/>
        <w:rPr/>
      </w:pPr>
      <w:r w:rsidDel="00000000" w:rsidR="00000000" w:rsidRPr="00000000">
        <w:rPr>
          <w:b w:val="1"/>
          <w:rtl w:val="0"/>
        </w:rPr>
        <w:t xml:space="preserve">Figure S5.</w:t>
      </w:r>
      <w:r w:rsidDel="00000000" w:rsidR="00000000" w:rsidRPr="00000000">
        <w:rPr>
          <w:rtl w:val="0"/>
        </w:rPr>
        <w:t xml:space="preserve"> GRADE assessment of the methodological quality of studies that evaluated TNFi versus csDMARDs.</w:t>
      </w:r>
    </w:p>
    <w:p w:rsidR="00000000" w:rsidDel="00000000" w:rsidP="00000000" w:rsidRDefault="00000000" w:rsidRPr="00000000" w14:paraId="000002FD">
      <w:pPr>
        <w:spacing w:before="240" w:lineRule="auto"/>
        <w:rPr/>
      </w:pPr>
      <w:r w:rsidDel="00000000" w:rsidR="00000000" w:rsidRPr="00000000">
        <w:rPr>
          <w:rtl w:val="0"/>
        </w:rPr>
      </w:r>
    </w:p>
    <w:p w:rsidR="00000000" w:rsidDel="00000000" w:rsidP="00000000" w:rsidRDefault="00000000" w:rsidRPr="00000000" w14:paraId="000002FE">
      <w:pPr>
        <w:rPr/>
      </w:pPr>
      <w:r w:rsidDel="00000000" w:rsidR="00000000" w:rsidRPr="00000000">
        <w:br w:type="page"/>
      </w:r>
      <w:r w:rsidDel="00000000" w:rsidR="00000000" w:rsidRPr="00000000">
        <w:rPr>
          <w:rtl w:val="0"/>
        </w:rPr>
      </w:r>
    </w:p>
    <w:p w:rsidR="00000000" w:rsidDel="00000000" w:rsidP="00000000" w:rsidRDefault="00000000" w:rsidRPr="00000000" w14:paraId="000002FF">
      <w:pPr>
        <w:spacing w:before="240" w:lineRule="auto"/>
        <w:rPr/>
      </w:pPr>
      <w:r w:rsidDel="00000000" w:rsidR="00000000" w:rsidRPr="00000000">
        <w:rPr/>
        <w:drawing>
          <wp:inline distB="0" distT="0" distL="0" distR="0">
            <wp:extent cx="6089650" cy="5467350"/>
            <wp:effectExtent b="0" l="0" r="0" t="0"/>
            <wp:docPr id="71" name="image1.jpg"/>
            <a:graphic>
              <a:graphicData uri="http://schemas.openxmlformats.org/drawingml/2006/picture">
                <pic:pic>
                  <pic:nvPicPr>
                    <pic:cNvPr id="0" name="image1.jpg"/>
                    <pic:cNvPicPr preferRelativeResize="0"/>
                  </pic:nvPicPr>
                  <pic:blipFill>
                    <a:blip r:embed="rId17"/>
                    <a:srcRect b="36522" l="0" r="0" t="0"/>
                    <a:stretch>
                      <a:fillRect/>
                    </a:stretch>
                  </pic:blipFill>
                  <pic:spPr>
                    <a:xfrm>
                      <a:off x="0" y="0"/>
                      <a:ext cx="6089650" cy="5467350"/>
                    </a:xfrm>
                    <a:prstGeom prst="rect"/>
                    <a:ln/>
                  </pic:spPr>
                </pic:pic>
              </a:graphicData>
            </a:graphic>
          </wp:inline>
        </w:drawing>
      </w:r>
      <w:r w:rsidDel="00000000" w:rsidR="00000000" w:rsidRPr="00000000">
        <w:rPr>
          <w:rtl w:val="0"/>
        </w:rPr>
      </w:r>
    </w:p>
    <w:p w:rsidR="00000000" w:rsidDel="00000000" w:rsidP="00000000" w:rsidRDefault="00000000" w:rsidRPr="00000000" w14:paraId="00000300">
      <w:pPr>
        <w:spacing w:before="240" w:lineRule="auto"/>
        <w:jc w:val="center"/>
        <w:rPr/>
      </w:pPr>
      <w:r w:rsidDel="00000000" w:rsidR="00000000" w:rsidRPr="00000000">
        <w:rPr>
          <w:b w:val="1"/>
          <w:rtl w:val="0"/>
        </w:rPr>
        <w:t xml:space="preserve">Figure S6.</w:t>
      </w:r>
      <w:r w:rsidDel="00000000" w:rsidR="00000000" w:rsidRPr="00000000">
        <w:rPr>
          <w:rtl w:val="0"/>
        </w:rPr>
        <w:t xml:space="preserve"> GRADE assessment of the methodological quality of studies that evaluated bDMARDs versus csDMARDs.</w:t>
      </w:r>
    </w:p>
    <w:p w:rsidR="00000000" w:rsidDel="00000000" w:rsidP="00000000" w:rsidRDefault="00000000" w:rsidRPr="00000000" w14:paraId="00000301">
      <w:pPr>
        <w:spacing w:before="240" w:lineRule="auto"/>
        <w:rPr/>
      </w:pPr>
      <w:r w:rsidDel="00000000" w:rsidR="00000000" w:rsidRPr="00000000">
        <w:rPr>
          <w:rtl w:val="0"/>
        </w:rPr>
      </w:r>
    </w:p>
    <w:p w:rsidR="00000000" w:rsidDel="00000000" w:rsidP="00000000" w:rsidRDefault="00000000" w:rsidRPr="00000000" w14:paraId="00000302">
      <w:pPr>
        <w:rPr/>
      </w:pPr>
      <w:r w:rsidDel="00000000" w:rsidR="00000000" w:rsidRPr="00000000">
        <w:br w:type="page"/>
      </w:r>
      <w:r w:rsidDel="00000000" w:rsidR="00000000" w:rsidRPr="00000000">
        <w:rPr>
          <w:rtl w:val="0"/>
        </w:rPr>
      </w:r>
    </w:p>
    <w:p w:rsidR="00000000" w:rsidDel="00000000" w:rsidP="00000000" w:rsidRDefault="00000000" w:rsidRPr="00000000" w14:paraId="00000303">
      <w:pPr>
        <w:spacing w:before="240" w:lineRule="auto"/>
        <w:jc w:val="center"/>
        <w:rPr>
          <w:b w:val="1"/>
        </w:rPr>
      </w:pPr>
      <w:r w:rsidDel="00000000" w:rsidR="00000000" w:rsidRPr="00000000">
        <w:rPr/>
        <w:drawing>
          <wp:inline distB="0" distT="0" distL="0" distR="0">
            <wp:extent cx="6089650" cy="4333875"/>
            <wp:effectExtent b="0" l="0" r="0" t="0"/>
            <wp:docPr id="70" name="image8.jpg"/>
            <a:graphic>
              <a:graphicData uri="http://schemas.openxmlformats.org/drawingml/2006/picture">
                <pic:pic>
                  <pic:nvPicPr>
                    <pic:cNvPr id="0" name="image8.jpg"/>
                    <pic:cNvPicPr preferRelativeResize="0"/>
                  </pic:nvPicPr>
                  <pic:blipFill>
                    <a:blip r:embed="rId18"/>
                    <a:srcRect b="49683" l="0" r="0" t="0"/>
                    <a:stretch>
                      <a:fillRect/>
                    </a:stretch>
                  </pic:blipFill>
                  <pic:spPr>
                    <a:xfrm>
                      <a:off x="0" y="0"/>
                      <a:ext cx="6089650" cy="4333875"/>
                    </a:xfrm>
                    <a:prstGeom prst="rect"/>
                    <a:ln/>
                  </pic:spPr>
                </pic:pic>
              </a:graphicData>
            </a:graphic>
          </wp:inline>
        </w:drawing>
      </w:r>
      <w:r w:rsidDel="00000000" w:rsidR="00000000" w:rsidRPr="00000000">
        <w:rPr>
          <w:rtl w:val="0"/>
        </w:rPr>
      </w:r>
    </w:p>
    <w:p w:rsidR="00000000" w:rsidDel="00000000" w:rsidP="00000000" w:rsidRDefault="00000000" w:rsidRPr="00000000" w14:paraId="00000304">
      <w:pPr>
        <w:spacing w:before="240" w:lineRule="auto"/>
        <w:jc w:val="center"/>
        <w:rPr/>
      </w:pPr>
      <w:r w:rsidDel="00000000" w:rsidR="00000000" w:rsidRPr="00000000">
        <w:rPr>
          <w:b w:val="1"/>
          <w:rtl w:val="0"/>
        </w:rPr>
        <w:t xml:space="preserve">Figure S7.</w:t>
      </w:r>
      <w:r w:rsidDel="00000000" w:rsidR="00000000" w:rsidRPr="00000000">
        <w:rPr>
          <w:rtl w:val="0"/>
        </w:rPr>
        <w:t xml:space="preserve"> GRADE assessment of the methodological quality of studies that evaluated Abatacept versus TNFi.</w:t>
      </w:r>
    </w:p>
    <w:p w:rsidR="00000000" w:rsidDel="00000000" w:rsidP="00000000" w:rsidRDefault="00000000" w:rsidRPr="00000000" w14:paraId="00000305">
      <w:pPr>
        <w:spacing w:before="240" w:lineRule="auto"/>
        <w:jc w:val="center"/>
        <w:rPr/>
      </w:pPr>
      <w:r w:rsidDel="00000000" w:rsidR="00000000" w:rsidRPr="00000000">
        <w:rPr>
          <w:rtl w:val="0"/>
        </w:rPr>
      </w:r>
    </w:p>
    <w:p w:rsidR="00000000" w:rsidDel="00000000" w:rsidP="00000000" w:rsidRDefault="00000000" w:rsidRPr="00000000" w14:paraId="00000306">
      <w:pPr>
        <w:rPr/>
      </w:pPr>
      <w:r w:rsidDel="00000000" w:rsidR="00000000" w:rsidRPr="00000000">
        <w:br w:type="page"/>
      </w:r>
      <w:r w:rsidDel="00000000" w:rsidR="00000000" w:rsidRPr="00000000">
        <w:rPr>
          <w:rtl w:val="0"/>
        </w:rPr>
      </w:r>
    </w:p>
    <w:p w:rsidR="00000000" w:rsidDel="00000000" w:rsidP="00000000" w:rsidRDefault="00000000" w:rsidRPr="00000000" w14:paraId="00000307">
      <w:pPr>
        <w:spacing w:before="240" w:lineRule="auto"/>
        <w:jc w:val="center"/>
        <w:rPr/>
      </w:pPr>
      <w:r w:rsidDel="00000000" w:rsidR="00000000" w:rsidRPr="00000000">
        <w:rPr/>
        <w:drawing>
          <wp:inline distB="0" distT="0" distL="0" distR="0">
            <wp:extent cx="6089650" cy="4124325"/>
            <wp:effectExtent b="0" l="0" r="0" t="0"/>
            <wp:docPr id="73" name="image6.jpg"/>
            <a:graphic>
              <a:graphicData uri="http://schemas.openxmlformats.org/drawingml/2006/picture">
                <pic:pic>
                  <pic:nvPicPr>
                    <pic:cNvPr id="0" name="image6.jpg"/>
                    <pic:cNvPicPr preferRelativeResize="0"/>
                  </pic:nvPicPr>
                  <pic:blipFill>
                    <a:blip r:embed="rId19"/>
                    <a:srcRect b="52116" l="0" r="0" t="0"/>
                    <a:stretch>
                      <a:fillRect/>
                    </a:stretch>
                  </pic:blipFill>
                  <pic:spPr>
                    <a:xfrm>
                      <a:off x="0" y="0"/>
                      <a:ext cx="6089650"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spacing w:before="240" w:lineRule="auto"/>
        <w:jc w:val="center"/>
        <w:rPr/>
      </w:pPr>
      <w:r w:rsidDel="00000000" w:rsidR="00000000" w:rsidRPr="00000000">
        <w:rPr>
          <w:b w:val="1"/>
          <w:rtl w:val="0"/>
        </w:rPr>
        <w:t xml:space="preserve">Figure S8.</w:t>
      </w:r>
      <w:r w:rsidDel="00000000" w:rsidR="00000000" w:rsidRPr="00000000">
        <w:rPr>
          <w:rtl w:val="0"/>
        </w:rPr>
        <w:t xml:space="preserve"> GRADE assessment of the methodological quality of studies that evaluated TNFi versus JAKi.</w:t>
      </w:r>
    </w:p>
    <w:p w:rsidR="00000000" w:rsidDel="00000000" w:rsidP="00000000" w:rsidRDefault="00000000" w:rsidRPr="00000000" w14:paraId="00000309">
      <w:pPr>
        <w:spacing w:before="240" w:lineRule="auto"/>
        <w:jc w:val="center"/>
        <w:rPr/>
      </w:pPr>
      <w:r w:rsidDel="00000000" w:rsidR="00000000" w:rsidRPr="00000000">
        <w:rPr>
          <w:rtl w:val="0"/>
        </w:rPr>
      </w:r>
    </w:p>
    <w:sectPr>
      <w:type w:val="nextPage"/>
      <w:pgSz w:h="15840" w:w="12240" w:orient="portrait"/>
      <w:pgMar w:bottom="1138" w:top="1138" w:left="1282" w:right="1181"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Gungsuh"/>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C">
    <w:pPr>
      <w:jc w:val="right"/>
      <w:rPr>
        <w:b w:val="1"/>
        <w:color w:val="999999"/>
      </w:rPr>
    </w:pPr>
    <w:r w:rsidDel="00000000" w:rsidR="00000000" w:rsidRPr="00000000">
      <w:rPr>
        <w:b w:val="1"/>
        <w:color w:val="999999"/>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D">
    <w:pPr>
      <w:jc w:val="right"/>
      <w:rPr>
        <w:color w:val="a6a6a6"/>
      </w:rPr>
    </w:pPr>
    <w:r w:rsidDel="00000000" w:rsidR="00000000" w:rsidRPr="00000000">
      <w:rPr>
        <w:color w:val="a6a6a6"/>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A">
    <w:pPr>
      <w:rPr/>
    </w:pPr>
    <w:r w:rsidDel="00000000" w:rsidR="00000000" w:rsidRPr="00000000">
      <w:rPr>
        <w:b w:val="1"/>
        <w:color w:val="a6a6a6"/>
      </w:rPr>
      <w:drawing>
        <wp:inline distB="0" distT="0" distL="0" distR="0">
          <wp:extent cx="1534909" cy="551877"/>
          <wp:effectExtent b="0" l="0" r="0" t="0"/>
          <wp:docPr descr="C:\Users\Elaine.Scott\Documents\LaTex\____TEST____Frontiers_LaTeX_Templates_V2.5\Frontiers LaTeX (Science, Health and Engineering) V2.5 - with Supplementary material (V1.2)\logo1.jpg" id="72" name="image5.jpg"/>
          <a:graphic>
            <a:graphicData uri="http://schemas.openxmlformats.org/drawingml/2006/picture">
              <pic:pic>
                <pic:nvPicPr>
                  <pic:cNvPr descr="C:\Users\Elaine.Scott\Documents\LaTex\____TEST____Frontiers_LaTeX_Templates_V2.5\Frontiers LaTeX (Science, Health and Engineering) V2.5 - with Supplementary material (V1.2)\logo1.jpg" id="0" name="image5.jpg"/>
                  <pic:cNvPicPr preferRelativeResize="0"/>
                </pic:nvPicPr>
                <pic:blipFill>
                  <a:blip r:embed="rId1"/>
                  <a:srcRect b="0" l="0" r="0" t="0"/>
                  <a:stretch>
                    <a:fillRect/>
                  </a:stretch>
                </pic:blipFill>
                <pic:spPr>
                  <a:xfrm>
                    <a:off x="0" y="0"/>
                    <a:ext cx="1534909" cy="551877"/>
                  </a:xfrm>
                  <a:prstGeom prst="rect"/>
                  <a:ln/>
                </pic:spPr>
              </pic:pic>
            </a:graphicData>
          </a:graphic>
        </wp:inline>
      </w:drawing>
    </w:r>
    <w:r w:rsidDel="00000000" w:rsidR="00000000" w:rsidRPr="00000000">
      <w:rPr>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B">
    <w:pPr>
      <w:rPr/>
    </w:pPr>
    <w:r w:rsidDel="00000000" w:rsidR="00000000" w:rsidRPr="00000000">
      <w:rPr>
        <w:rtl w:val="0"/>
      </w:rPr>
      <w:t xml:space="preserve">Supplementary Material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24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40" w:lineRule="auto"/>
      <w:ind w:left="720" w:hanging="720"/>
    </w:pPr>
    <w:rPr>
      <w:b w:val="1"/>
    </w:rPr>
  </w:style>
  <w:style w:type="paragraph" w:styleId="Heading2">
    <w:name w:val="heading 2"/>
    <w:basedOn w:val="Normal"/>
    <w:next w:val="Normal"/>
    <w:pPr>
      <w:spacing w:after="200" w:before="240" w:lineRule="auto"/>
      <w:ind w:left="720" w:hanging="720"/>
    </w:pPr>
    <w:rPr>
      <w:b w:val="1"/>
    </w:rPr>
  </w:style>
  <w:style w:type="paragraph" w:styleId="Heading3">
    <w:name w:val="heading 3"/>
    <w:basedOn w:val="Normal"/>
    <w:next w:val="Normal"/>
    <w:pPr>
      <w:keepNext w:val="1"/>
      <w:keepLines w:val="1"/>
      <w:spacing w:after="120" w:before="40" w:lineRule="auto"/>
      <w:ind w:left="2160" w:hanging="720"/>
    </w:pPr>
    <w:rPr>
      <w:b w:val="1"/>
    </w:rPr>
  </w:style>
  <w:style w:type="paragraph" w:styleId="Heading4">
    <w:name w:val="heading 4"/>
    <w:basedOn w:val="Normal"/>
    <w:next w:val="Normal"/>
    <w:pPr>
      <w:keepNext w:val="1"/>
      <w:keepLines w:val="1"/>
      <w:spacing w:after="120" w:before="40" w:lineRule="auto"/>
      <w:ind w:left="2160" w:hanging="720"/>
    </w:pPr>
    <w:rPr>
      <w:b w:val="1"/>
    </w:rPr>
  </w:style>
  <w:style w:type="paragraph" w:styleId="Heading5">
    <w:name w:val="heading 5"/>
    <w:basedOn w:val="Normal"/>
    <w:next w:val="Normal"/>
    <w:pPr>
      <w:keepNext w:val="1"/>
      <w:keepLines w:val="1"/>
      <w:spacing w:after="120" w:before="40" w:lineRule="auto"/>
      <w:ind w:left="2160" w:hanging="720"/>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60" w:before="240" w:lineRule="auto"/>
      <w:jc w:val="center"/>
    </w:pPr>
    <w:rPr>
      <w:b w:val="1"/>
      <w:sz w:val="32"/>
      <w:szCs w:val="32"/>
    </w:rPr>
  </w:style>
  <w:style w:type="paragraph" w:styleId="Normal" w:default="1">
    <w:name w:val="Normal"/>
    <w:qFormat w:val="1"/>
    <w:rsid w:val="00AB6715"/>
  </w:style>
  <w:style w:type="paragraph" w:styleId="Ttulo1">
    <w:name w:val="heading 1"/>
    <w:basedOn w:val="PargrafodaLista"/>
    <w:next w:val="Normal"/>
    <w:link w:val="Ttulo1Char"/>
    <w:uiPriority w:val="9"/>
    <w:qFormat w:val="1"/>
    <w:rsid w:val="00AB6715"/>
    <w:pPr>
      <w:numPr>
        <w:numId w:val="1"/>
      </w:numPr>
      <w:spacing w:before="240"/>
      <w:contextualSpacing w:val="0"/>
      <w:outlineLvl w:val="0"/>
    </w:pPr>
    <w:rPr>
      <w:b w:val="1"/>
    </w:rPr>
  </w:style>
  <w:style w:type="paragraph" w:styleId="Ttulo2">
    <w:name w:val="heading 2"/>
    <w:basedOn w:val="Ttulo1"/>
    <w:next w:val="Normal"/>
    <w:link w:val="Ttulo2Char"/>
    <w:uiPriority w:val="9"/>
    <w:semiHidden w:val="1"/>
    <w:unhideWhenUsed w:val="1"/>
    <w:qFormat w:val="1"/>
    <w:rsid w:val="00AB6715"/>
    <w:pPr>
      <w:numPr>
        <w:ilvl w:val="1"/>
      </w:numPr>
      <w:spacing w:after="200"/>
      <w:outlineLvl w:val="1"/>
    </w:pPr>
  </w:style>
  <w:style w:type="paragraph" w:styleId="Ttulo3">
    <w:name w:val="heading 3"/>
    <w:basedOn w:val="Normal"/>
    <w:next w:val="Normal"/>
    <w:link w:val="Ttulo3Char"/>
    <w:uiPriority w:val="9"/>
    <w:semiHidden w:val="1"/>
    <w:unhideWhenUsed w:val="1"/>
    <w:qFormat w:val="1"/>
    <w:rsid w:val="00AB6715"/>
    <w:pPr>
      <w:keepNext w:val="1"/>
      <w:keepLines w:val="1"/>
      <w:numPr>
        <w:ilvl w:val="2"/>
        <w:numId w:val="1"/>
      </w:numPr>
      <w:spacing w:after="120" w:before="40"/>
      <w:outlineLvl w:val="2"/>
    </w:pPr>
    <w:rPr>
      <w:rFonts w:cstheme="majorBidi" w:eastAsiaTheme="majorEastAsia"/>
      <w:b w:val="1"/>
    </w:rPr>
  </w:style>
  <w:style w:type="paragraph" w:styleId="Ttulo4">
    <w:name w:val="heading 4"/>
    <w:basedOn w:val="Ttulo3"/>
    <w:next w:val="Normal"/>
    <w:link w:val="Ttulo4Char"/>
    <w:uiPriority w:val="9"/>
    <w:semiHidden w:val="1"/>
    <w:unhideWhenUsed w:val="1"/>
    <w:qFormat w:val="1"/>
    <w:rsid w:val="00AB6715"/>
    <w:pPr>
      <w:numPr>
        <w:ilvl w:val="3"/>
      </w:numPr>
      <w:outlineLvl w:val="3"/>
    </w:pPr>
    <w:rPr>
      <w:iCs w:val="1"/>
    </w:rPr>
  </w:style>
  <w:style w:type="paragraph" w:styleId="Ttulo5">
    <w:name w:val="heading 5"/>
    <w:basedOn w:val="Ttulo4"/>
    <w:next w:val="Normal"/>
    <w:link w:val="Ttulo5Char"/>
    <w:uiPriority w:val="9"/>
    <w:semiHidden w:val="1"/>
    <w:unhideWhenUsed w:val="1"/>
    <w:qFormat w:val="1"/>
    <w:rsid w:val="00AB6715"/>
    <w:pPr>
      <w:numPr>
        <w:ilvl w:val="4"/>
      </w:numPr>
      <w:outlineLvl w:val="4"/>
    </w:p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rsid w:val="00AB6715"/>
    <w:pPr>
      <w:suppressLineNumbers w:val="1"/>
      <w:spacing w:after="360" w:before="240"/>
      <w:jc w:val="center"/>
    </w:pPr>
    <w:rPr>
      <w:b w:val="1"/>
      <w:sz w:val="32"/>
      <w:szCs w:val="32"/>
    </w:rPr>
  </w:style>
  <w:style w:type="table" w:styleId="TableNormal0" w:customStyle="1">
    <w:name w:val="Table Normal"/>
    <w:tblPr>
      <w:tblCellMar>
        <w:top w:w="0.0" w:type="dxa"/>
        <w:left w:w="0.0" w:type="dxa"/>
        <w:bottom w:w="0.0" w:type="dxa"/>
        <w:right w:w="0.0" w:type="dxa"/>
      </w:tblCellMar>
    </w:tblPr>
  </w:style>
  <w:style w:type="character" w:styleId="Ttulo1Char" w:customStyle="1">
    <w:name w:val="Título 1 Char"/>
    <w:basedOn w:val="Fontepargpadro"/>
    <w:link w:val="Ttulo1"/>
    <w:uiPriority w:val="2"/>
    <w:rsid w:val="00AB6715"/>
    <w:rPr>
      <w:rFonts w:ascii="Times New Roman" w:cs="Times New Roman" w:eastAsia="Cambria" w:hAnsi="Times New Roman"/>
      <w:b w:val="1"/>
      <w:sz w:val="24"/>
      <w:szCs w:val="24"/>
    </w:rPr>
  </w:style>
  <w:style w:type="character" w:styleId="Ttulo2Char" w:customStyle="1">
    <w:name w:val="Título 2 Char"/>
    <w:basedOn w:val="Fontepargpadro"/>
    <w:link w:val="Ttulo2"/>
    <w:uiPriority w:val="2"/>
    <w:rsid w:val="00AB6715"/>
    <w:rPr>
      <w:rFonts w:ascii="Times New Roman" w:cs="Times New Roman" w:eastAsia="Cambria" w:hAnsi="Times New Roman"/>
      <w:b w:val="1"/>
      <w:sz w:val="24"/>
      <w:szCs w:val="24"/>
    </w:rPr>
  </w:style>
  <w:style w:type="paragraph" w:styleId="Subttulo">
    <w:name w:val="Subtitle"/>
    <w:basedOn w:val="Normal"/>
    <w:next w:val="Normal"/>
    <w:link w:val="SubttuloChar"/>
    <w:uiPriority w:val="11"/>
    <w:qFormat w:val="1"/>
    <w:pPr>
      <w:spacing w:before="240"/>
    </w:pPr>
    <w:rPr>
      <w:b w:val="1"/>
    </w:rPr>
  </w:style>
  <w:style w:type="character" w:styleId="SubttuloChar" w:customStyle="1">
    <w:name w:val="Subtítulo Char"/>
    <w:basedOn w:val="Fontepargpadro"/>
    <w:link w:val="Subttulo"/>
    <w:uiPriority w:val="99"/>
    <w:rsid w:val="00AB6715"/>
    <w:rPr>
      <w:rFonts w:ascii="Times New Roman" w:cs="Times New Roman" w:hAnsi="Times New Roman"/>
      <w:b w:val="1"/>
      <w:sz w:val="24"/>
      <w:szCs w:val="24"/>
    </w:rPr>
  </w:style>
  <w:style w:type="paragraph" w:styleId="AuthorList" w:customStyle="1">
    <w:name w:val="Author List"/>
    <w:aliases w:val="Keywords,Abstract"/>
    <w:basedOn w:val="Subttulo"/>
    <w:next w:val="Normal"/>
    <w:uiPriority w:val="1"/>
    <w:qFormat w:val="1"/>
    <w:rsid w:val="00AB6715"/>
  </w:style>
  <w:style w:type="paragraph" w:styleId="Textodebalo">
    <w:name w:val="Balloon Text"/>
    <w:basedOn w:val="Normal"/>
    <w:link w:val="TextodebaloChar"/>
    <w:uiPriority w:val="99"/>
    <w:semiHidden w:val="1"/>
    <w:unhideWhenUsed w:val="1"/>
    <w:rsid w:val="00AB6715"/>
    <w:pPr>
      <w:spacing w:after="0"/>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AB6715"/>
    <w:rPr>
      <w:rFonts w:ascii="Tahoma" w:cs="Tahoma" w:hAnsi="Tahoma"/>
      <w:sz w:val="16"/>
      <w:szCs w:val="16"/>
    </w:rPr>
  </w:style>
  <w:style w:type="character" w:styleId="TtulodoLivro">
    <w:name w:val="Book Title"/>
    <w:basedOn w:val="Fontepargpadro"/>
    <w:uiPriority w:val="33"/>
    <w:qFormat w:val="1"/>
    <w:rsid w:val="00AB6715"/>
    <w:rPr>
      <w:rFonts w:ascii="Times New Roman" w:hAnsi="Times New Roman"/>
      <w:b w:val="1"/>
      <w:bCs w:val="1"/>
      <w:i w:val="1"/>
      <w:iCs w:val="1"/>
      <w:spacing w:val="5"/>
    </w:rPr>
  </w:style>
  <w:style w:type="paragraph" w:styleId="Legenda">
    <w:name w:val="caption"/>
    <w:basedOn w:val="Normal"/>
    <w:next w:val="SemEspaamento"/>
    <w:uiPriority w:val="35"/>
    <w:unhideWhenUsed w:val="1"/>
    <w:qFormat w:val="1"/>
    <w:rsid w:val="00AB6715"/>
    <w:pPr>
      <w:keepNext w:val="1"/>
    </w:pPr>
    <w:rPr>
      <w:b w:val="1"/>
      <w:bCs w:val="1"/>
    </w:rPr>
  </w:style>
  <w:style w:type="paragraph" w:styleId="SemEspaamento">
    <w:name w:val="No Spacing"/>
    <w:uiPriority w:val="99"/>
    <w:unhideWhenUsed w:val="1"/>
    <w:qFormat w:val="1"/>
    <w:rsid w:val="00AB6715"/>
    <w:pPr>
      <w:spacing w:after="0"/>
    </w:pPr>
  </w:style>
  <w:style w:type="character" w:styleId="Refdecomentrio">
    <w:name w:val="annotation reference"/>
    <w:basedOn w:val="Fontepargpadro"/>
    <w:uiPriority w:val="99"/>
    <w:semiHidden w:val="1"/>
    <w:unhideWhenUsed w:val="1"/>
    <w:rsid w:val="00AB6715"/>
    <w:rPr>
      <w:sz w:val="16"/>
      <w:szCs w:val="16"/>
    </w:rPr>
  </w:style>
  <w:style w:type="paragraph" w:styleId="Textodecomentrio">
    <w:name w:val="annotation text"/>
    <w:basedOn w:val="Normal"/>
    <w:link w:val="TextodecomentrioChar"/>
    <w:uiPriority w:val="99"/>
    <w:semiHidden w:val="1"/>
    <w:unhideWhenUsed w:val="1"/>
    <w:rsid w:val="00AB6715"/>
    <w:rPr>
      <w:sz w:val="20"/>
      <w:szCs w:val="20"/>
    </w:rPr>
  </w:style>
  <w:style w:type="character" w:styleId="TextodecomentrioChar" w:customStyle="1">
    <w:name w:val="Texto de comentário Char"/>
    <w:basedOn w:val="Fontepargpadro"/>
    <w:link w:val="Textodecomentrio"/>
    <w:uiPriority w:val="99"/>
    <w:semiHidden w:val="1"/>
    <w:rsid w:val="00AB6715"/>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val="1"/>
    <w:unhideWhenUsed w:val="1"/>
    <w:rsid w:val="00AB6715"/>
    <w:rPr>
      <w:b w:val="1"/>
      <w:bCs w:val="1"/>
    </w:rPr>
  </w:style>
  <w:style w:type="character" w:styleId="AssuntodocomentrioChar" w:customStyle="1">
    <w:name w:val="Assunto do comentário Char"/>
    <w:basedOn w:val="TextodecomentrioChar"/>
    <w:link w:val="Assuntodocomentrio"/>
    <w:uiPriority w:val="99"/>
    <w:semiHidden w:val="1"/>
    <w:rsid w:val="00AB6715"/>
    <w:rPr>
      <w:rFonts w:ascii="Times New Roman" w:hAnsi="Times New Roman"/>
      <w:b w:val="1"/>
      <w:bCs w:val="1"/>
      <w:sz w:val="20"/>
      <w:szCs w:val="20"/>
    </w:rPr>
  </w:style>
  <w:style w:type="character" w:styleId="nfase">
    <w:name w:val="Emphasis"/>
    <w:basedOn w:val="Fontepargpadro"/>
    <w:uiPriority w:val="20"/>
    <w:qFormat w:val="1"/>
    <w:rsid w:val="00AB6715"/>
    <w:rPr>
      <w:rFonts w:ascii="Times New Roman" w:hAnsi="Times New Roman"/>
      <w:i w:val="1"/>
      <w:iCs w:val="1"/>
    </w:rPr>
  </w:style>
  <w:style w:type="character" w:styleId="Refdenotadefim">
    <w:name w:val="endnote reference"/>
    <w:basedOn w:val="Fontepargpadro"/>
    <w:uiPriority w:val="99"/>
    <w:semiHidden w:val="1"/>
    <w:unhideWhenUsed w:val="1"/>
    <w:rsid w:val="00AB6715"/>
    <w:rPr>
      <w:vertAlign w:val="superscript"/>
    </w:rPr>
  </w:style>
  <w:style w:type="paragraph" w:styleId="Textodenotadefim">
    <w:name w:val="endnote text"/>
    <w:basedOn w:val="Normal"/>
    <w:link w:val="TextodenotadefimChar"/>
    <w:uiPriority w:val="99"/>
    <w:semiHidden w:val="1"/>
    <w:unhideWhenUsed w:val="1"/>
    <w:rsid w:val="00AB6715"/>
    <w:pPr>
      <w:spacing w:after="0"/>
    </w:pPr>
    <w:rPr>
      <w:sz w:val="20"/>
      <w:szCs w:val="20"/>
    </w:rPr>
  </w:style>
  <w:style w:type="character" w:styleId="TextodenotadefimChar" w:customStyle="1">
    <w:name w:val="Texto de nota de fim Char"/>
    <w:basedOn w:val="Fontepargpadro"/>
    <w:link w:val="Textodenotadefim"/>
    <w:uiPriority w:val="99"/>
    <w:semiHidden w:val="1"/>
    <w:rsid w:val="00AB6715"/>
    <w:rPr>
      <w:rFonts w:ascii="Times New Roman" w:hAnsi="Times New Roman"/>
      <w:sz w:val="20"/>
      <w:szCs w:val="20"/>
    </w:rPr>
  </w:style>
  <w:style w:type="character" w:styleId="HiperlinkVisitado">
    <w:name w:val="FollowedHyperlink"/>
    <w:basedOn w:val="Fontepargpadro"/>
    <w:uiPriority w:val="99"/>
    <w:semiHidden w:val="1"/>
    <w:unhideWhenUsed w:val="1"/>
    <w:rsid w:val="00AB6715"/>
    <w:rPr>
      <w:color w:val="800080" w:themeColor="followedHyperlink"/>
      <w:u w:val="single"/>
    </w:rPr>
  </w:style>
  <w:style w:type="paragraph" w:styleId="Rodap">
    <w:name w:val="footer"/>
    <w:basedOn w:val="Normal"/>
    <w:link w:val="RodapChar"/>
    <w:uiPriority w:val="99"/>
    <w:unhideWhenUsed w:val="1"/>
    <w:rsid w:val="00AB6715"/>
    <w:pPr>
      <w:tabs>
        <w:tab w:val="center" w:pos="4844"/>
        <w:tab w:val="right" w:pos="9689"/>
      </w:tabs>
      <w:spacing w:after="0"/>
    </w:pPr>
  </w:style>
  <w:style w:type="character" w:styleId="RodapChar" w:customStyle="1">
    <w:name w:val="Rodapé Char"/>
    <w:basedOn w:val="Fontepargpadro"/>
    <w:link w:val="Rodap"/>
    <w:uiPriority w:val="99"/>
    <w:rsid w:val="00AB6715"/>
    <w:rPr>
      <w:rFonts w:ascii="Times New Roman" w:hAnsi="Times New Roman"/>
      <w:sz w:val="24"/>
    </w:rPr>
  </w:style>
  <w:style w:type="character" w:styleId="Refdenotaderodap">
    <w:name w:val="footnote reference"/>
    <w:basedOn w:val="Fontepargpadro"/>
    <w:uiPriority w:val="99"/>
    <w:semiHidden w:val="1"/>
    <w:unhideWhenUsed w:val="1"/>
    <w:rsid w:val="00AB6715"/>
    <w:rPr>
      <w:vertAlign w:val="superscript"/>
    </w:rPr>
  </w:style>
  <w:style w:type="paragraph" w:styleId="Textodenotaderodap">
    <w:name w:val="footnote text"/>
    <w:basedOn w:val="Normal"/>
    <w:link w:val="TextodenotaderodapChar"/>
    <w:uiPriority w:val="99"/>
    <w:semiHidden w:val="1"/>
    <w:unhideWhenUsed w:val="1"/>
    <w:rsid w:val="00AB6715"/>
    <w:pPr>
      <w:spacing w:after="0"/>
    </w:pPr>
    <w:rPr>
      <w:sz w:val="20"/>
      <w:szCs w:val="20"/>
    </w:rPr>
  </w:style>
  <w:style w:type="character" w:styleId="TextodenotaderodapChar" w:customStyle="1">
    <w:name w:val="Texto de nota de rodapé Char"/>
    <w:basedOn w:val="Fontepargpadro"/>
    <w:link w:val="Textodenotaderodap"/>
    <w:uiPriority w:val="99"/>
    <w:semiHidden w:val="1"/>
    <w:rsid w:val="00AB6715"/>
    <w:rPr>
      <w:rFonts w:ascii="Times New Roman" w:hAnsi="Times New Roman"/>
      <w:sz w:val="20"/>
      <w:szCs w:val="20"/>
    </w:rPr>
  </w:style>
  <w:style w:type="paragraph" w:styleId="Cabealho">
    <w:name w:val="header"/>
    <w:basedOn w:val="Normal"/>
    <w:link w:val="CabealhoChar"/>
    <w:uiPriority w:val="99"/>
    <w:unhideWhenUsed w:val="1"/>
    <w:rsid w:val="00AB6715"/>
    <w:pPr>
      <w:tabs>
        <w:tab w:val="center" w:pos="4844"/>
        <w:tab w:val="right" w:pos="9689"/>
      </w:tabs>
    </w:pPr>
    <w:rPr>
      <w:b w:val="1"/>
    </w:rPr>
  </w:style>
  <w:style w:type="character" w:styleId="CabealhoChar" w:customStyle="1">
    <w:name w:val="Cabeçalho Char"/>
    <w:basedOn w:val="Fontepargpadro"/>
    <w:link w:val="Cabealho"/>
    <w:uiPriority w:val="99"/>
    <w:rsid w:val="00AB6715"/>
    <w:rPr>
      <w:rFonts w:ascii="Times New Roman" w:hAnsi="Times New Roman"/>
      <w:b w:val="1"/>
      <w:sz w:val="24"/>
    </w:rPr>
  </w:style>
  <w:style w:type="paragraph" w:styleId="PargrafodaLista">
    <w:name w:val="List Paragraph"/>
    <w:basedOn w:val="Normal"/>
    <w:uiPriority w:val="34"/>
    <w:qFormat w:val="1"/>
    <w:rsid w:val="00AB6715"/>
    <w:pPr>
      <w:tabs>
        <w:tab w:val="num" w:pos="720"/>
      </w:tabs>
      <w:ind w:left="720" w:hanging="720"/>
      <w:contextualSpacing w:val="1"/>
    </w:pPr>
    <w:rPr>
      <w:rFonts w:eastAsia="Cambria"/>
    </w:rPr>
  </w:style>
  <w:style w:type="numbering" w:styleId="Headings" w:customStyle="1">
    <w:name w:val="Headings"/>
    <w:uiPriority w:val="99"/>
    <w:rsid w:val="00AB6715"/>
  </w:style>
  <w:style w:type="character" w:styleId="Hyperlink">
    <w:name w:val="Hyperlink"/>
    <w:basedOn w:val="Fontepargpadro"/>
    <w:uiPriority w:val="99"/>
    <w:unhideWhenUsed w:val="1"/>
    <w:rsid w:val="00AB6715"/>
    <w:rPr>
      <w:color w:val="0000ff"/>
      <w:u w:val="single"/>
    </w:rPr>
  </w:style>
  <w:style w:type="character" w:styleId="nfaseIntensa">
    <w:name w:val="Intense Emphasis"/>
    <w:basedOn w:val="Fontepargpadro"/>
    <w:uiPriority w:val="21"/>
    <w:unhideWhenUsed w:val="1"/>
    <w:rsid w:val="00AB6715"/>
    <w:rPr>
      <w:rFonts w:ascii="Times New Roman" w:hAnsi="Times New Roman"/>
      <w:i w:val="1"/>
      <w:iCs w:val="1"/>
      <w:color w:val="auto"/>
    </w:rPr>
  </w:style>
  <w:style w:type="character" w:styleId="RefernciaIntensa">
    <w:name w:val="Intense Reference"/>
    <w:basedOn w:val="Fontepargpadro"/>
    <w:uiPriority w:val="32"/>
    <w:qFormat w:val="1"/>
    <w:rsid w:val="00AB6715"/>
    <w:rPr>
      <w:b w:val="1"/>
      <w:bCs w:val="1"/>
      <w:smallCaps w:val="1"/>
      <w:color w:val="auto"/>
      <w:spacing w:val="5"/>
    </w:rPr>
  </w:style>
  <w:style w:type="character" w:styleId="Nmerodelinha">
    <w:name w:val="line number"/>
    <w:basedOn w:val="Fontepargpadro"/>
    <w:uiPriority w:val="99"/>
    <w:semiHidden w:val="1"/>
    <w:unhideWhenUsed w:val="1"/>
    <w:rsid w:val="00AB6715"/>
  </w:style>
  <w:style w:type="character" w:styleId="Ttulo3Char" w:customStyle="1">
    <w:name w:val="Título 3 Char"/>
    <w:basedOn w:val="Fontepargpadro"/>
    <w:link w:val="Ttulo3"/>
    <w:uiPriority w:val="2"/>
    <w:rsid w:val="00AB6715"/>
    <w:rPr>
      <w:rFonts w:ascii="Times New Roman" w:hAnsi="Times New Roman" w:cstheme="majorBidi" w:eastAsiaTheme="majorEastAsia"/>
      <w:b w:val="1"/>
      <w:sz w:val="24"/>
      <w:szCs w:val="24"/>
    </w:rPr>
  </w:style>
  <w:style w:type="character" w:styleId="Ttulo4Char" w:customStyle="1">
    <w:name w:val="Título 4 Char"/>
    <w:basedOn w:val="Fontepargpadro"/>
    <w:link w:val="Ttulo4"/>
    <w:uiPriority w:val="2"/>
    <w:rsid w:val="00AB6715"/>
    <w:rPr>
      <w:rFonts w:ascii="Times New Roman" w:hAnsi="Times New Roman" w:cstheme="majorBidi" w:eastAsiaTheme="majorEastAsia"/>
      <w:b w:val="1"/>
      <w:iCs w:val="1"/>
      <w:sz w:val="24"/>
      <w:szCs w:val="24"/>
    </w:rPr>
  </w:style>
  <w:style w:type="character" w:styleId="Ttulo5Char" w:customStyle="1">
    <w:name w:val="Título 5 Char"/>
    <w:basedOn w:val="Fontepargpadro"/>
    <w:link w:val="Ttulo5"/>
    <w:uiPriority w:val="2"/>
    <w:rsid w:val="00AB6715"/>
    <w:rPr>
      <w:rFonts w:ascii="Times New Roman" w:hAnsi="Times New Roman" w:cstheme="majorBidi" w:eastAsiaTheme="majorEastAsia"/>
      <w:b w:val="1"/>
      <w:iCs w:val="1"/>
      <w:sz w:val="24"/>
      <w:szCs w:val="24"/>
    </w:rPr>
  </w:style>
  <w:style w:type="paragraph" w:styleId="NormalWeb">
    <w:name w:val="Normal (Web)"/>
    <w:basedOn w:val="Normal"/>
    <w:uiPriority w:val="99"/>
    <w:unhideWhenUsed w:val="1"/>
    <w:rsid w:val="00AB6715"/>
    <w:pPr>
      <w:spacing w:after="100" w:afterAutospacing="1" w:before="100" w:beforeAutospacing="1"/>
    </w:pPr>
  </w:style>
  <w:style w:type="paragraph" w:styleId="Citao">
    <w:name w:val="Quote"/>
    <w:basedOn w:val="Normal"/>
    <w:next w:val="Normal"/>
    <w:link w:val="CitaoChar"/>
    <w:uiPriority w:val="29"/>
    <w:qFormat w:val="1"/>
    <w:rsid w:val="00AB6715"/>
    <w:pPr>
      <w:spacing w:after="160" w:before="200"/>
      <w:ind w:left="864" w:right="864"/>
      <w:jc w:val="center"/>
    </w:pPr>
    <w:rPr>
      <w:i w:val="1"/>
      <w:iCs w:val="1"/>
      <w:color w:val="404040" w:themeColor="text1" w:themeTint="0000BF"/>
    </w:rPr>
  </w:style>
  <w:style w:type="character" w:styleId="CitaoChar" w:customStyle="1">
    <w:name w:val="Citação Char"/>
    <w:basedOn w:val="Fontepargpadro"/>
    <w:link w:val="Citao"/>
    <w:uiPriority w:val="29"/>
    <w:rsid w:val="00AB6715"/>
    <w:rPr>
      <w:rFonts w:ascii="Times New Roman" w:hAnsi="Times New Roman"/>
      <w:i w:val="1"/>
      <w:iCs w:val="1"/>
      <w:color w:val="404040" w:themeColor="text1" w:themeTint="0000BF"/>
      <w:sz w:val="24"/>
    </w:rPr>
  </w:style>
  <w:style w:type="character" w:styleId="Forte">
    <w:name w:val="Strong"/>
    <w:basedOn w:val="Fontepargpadro"/>
    <w:uiPriority w:val="22"/>
    <w:qFormat w:val="1"/>
    <w:rsid w:val="00AB6715"/>
    <w:rPr>
      <w:rFonts w:ascii="Times New Roman" w:hAnsi="Times New Roman"/>
      <w:b w:val="1"/>
      <w:bCs w:val="1"/>
    </w:rPr>
  </w:style>
  <w:style w:type="character" w:styleId="nfaseSutil">
    <w:name w:val="Subtle Emphasis"/>
    <w:basedOn w:val="Fontepargpadro"/>
    <w:uiPriority w:val="19"/>
    <w:qFormat w:val="1"/>
    <w:rsid w:val="00AB6715"/>
    <w:rPr>
      <w:rFonts w:ascii="Times New Roman" w:hAnsi="Times New Roman"/>
      <w:i w:val="1"/>
      <w:iCs w:val="1"/>
      <w:color w:val="404040" w:themeColor="text1" w:themeTint="0000BF"/>
    </w:rPr>
  </w:style>
  <w:style w:type="table" w:styleId="Tabelacomgrade">
    <w:name w:val="Table Grid"/>
    <w:basedOn w:val="Tabelanormal"/>
    <w:uiPriority w:val="39"/>
    <w:rsid w:val="00AB6715"/>
    <w:pPr>
      <w:spacing w:after="0"/>
    </w:pPr>
    <w:rPr>
      <w:rFonts w:asciiTheme="majorHAnsi" w:hAnsiTheme="maj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Char" w:customStyle="1">
    <w:name w:val="Título Char"/>
    <w:basedOn w:val="Fontepargpadro"/>
    <w:link w:val="Ttulo"/>
    <w:rsid w:val="00AB6715"/>
    <w:rPr>
      <w:rFonts w:ascii="Times New Roman" w:cs="Times New Roman" w:hAnsi="Times New Roman"/>
      <w:b w:val="1"/>
      <w:sz w:val="32"/>
      <w:szCs w:val="32"/>
    </w:rPr>
  </w:style>
  <w:style w:type="paragraph" w:styleId="SupplementaryMaterial" w:customStyle="1">
    <w:name w:val="Supplementary Material"/>
    <w:basedOn w:val="Ttulo"/>
    <w:next w:val="Ttulo"/>
    <w:qFormat w:val="1"/>
    <w:rsid w:val="0001436A"/>
    <w:pPr>
      <w:spacing w:after="120"/>
    </w:pPr>
    <w:rPr>
      <w:i w:val="1"/>
    </w:rPr>
  </w:style>
  <w:style w:type="table" w:styleId="a" w:customStyle="1">
    <w:basedOn w:val="Tabelanormal"/>
    <w:tblPr>
      <w:tblStyleRowBandSize w:val="1"/>
      <w:tblStyleColBandSize w:val="1"/>
      <w:tblCellMar>
        <w:top w:w="100.0" w:type="dxa"/>
        <w:left w:w="100.0" w:type="dxa"/>
        <w:bottom w:w="100.0" w:type="dxa"/>
        <w:right w:w="100.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table" w:styleId="a1" w:customStyle="1">
    <w:basedOn w:val="TableNormal0"/>
    <w:pPr>
      <w:spacing w:after="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spacing w:before="240" w:lineRule="auto"/>
    </w:pPr>
    <w:rPr>
      <w:b w:val="1"/>
    </w:rPr>
  </w:style>
  <w:style w:type="table" w:styleId="Table1">
    <w:basedOn w:val="TableNormal"/>
    <w:pPr>
      <w:spacing w:after="0" w:lineRule="auto"/>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Rule="auto"/>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3.xml"/><Relationship Id="rId13" Type="http://schemas.openxmlformats.org/officeDocument/2006/relationships/image" Target="media/image9.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7.jpg"/><Relationship Id="rId14" Type="http://schemas.openxmlformats.org/officeDocument/2006/relationships/image" Target="media/image2.jpg"/><Relationship Id="rId17" Type="http://schemas.openxmlformats.org/officeDocument/2006/relationships/image" Target="media/image1.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image" Target="media/image6.jpg"/><Relationship Id="rId6" Type="http://schemas.openxmlformats.org/officeDocument/2006/relationships/customXml" Target="../customXML/item1.xml"/><Relationship Id="rId18" Type="http://schemas.openxmlformats.org/officeDocument/2006/relationships/image" Target="media/image8.jp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qzXHeT53wSGxI3Lbj24mQPVr9w==">AMUW2mU7NKKtStf2AEYdBstul08M28tNCcpyXwr9CQoqtMsiORWGi0tZOxd/As0NqpZhcKAuU3p/2rK3W2f/bBciaCBeGQxtlDfzlCvhBAY1S+g0kW00cAaL+BhEomp4DzyjsrWjqyUyc9yZySYQWLnoNNtKNqntsxtKp/FXjDL/eCvs2oU68UQ=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2022-06-11T19:39:00Z</dcterms:created>
  <dc:creator>Frontiers Media SA</dc:creator>
</cp:coreProperties>
</file>