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A6D22" w14:textId="4C7C1C9A" w:rsidR="00210F6A" w:rsidRPr="00B10E49" w:rsidRDefault="00B10E49" w:rsidP="00275F2C">
      <w:pPr>
        <w:widowControl/>
        <w:rPr>
          <w:rFonts w:asciiTheme="majorBidi" w:hAnsiTheme="majorBidi" w:cstheme="majorBidi"/>
          <w:b/>
          <w:bCs/>
        </w:rPr>
      </w:pPr>
      <w:r w:rsidRPr="00B10E49">
        <w:rPr>
          <w:rFonts w:asciiTheme="majorBidi" w:hAnsiTheme="majorBidi" w:cstheme="majorBidi"/>
          <w:b/>
          <w:bCs/>
        </w:rPr>
        <w:t>Online Appendix</w:t>
      </w:r>
    </w:p>
    <w:p w14:paraId="6FDE90D4" w14:textId="77777777" w:rsidR="004E2086" w:rsidRPr="001B648F" w:rsidRDefault="004E2086" w:rsidP="004E2086">
      <w:pPr>
        <w:pStyle w:val="a8"/>
        <w:widowControl/>
        <w:numPr>
          <w:ilvl w:val="0"/>
          <w:numId w:val="6"/>
        </w:numPr>
        <w:ind w:leftChars="0"/>
        <w:rPr>
          <w:rFonts w:asciiTheme="majorBidi" w:hAnsiTheme="majorBidi" w:cstheme="majorBidi"/>
          <w:b/>
          <w:bCs/>
        </w:rPr>
      </w:pPr>
      <w:r w:rsidRPr="001B648F">
        <w:rPr>
          <w:rFonts w:asciiTheme="majorBidi" w:hAnsiTheme="majorBidi" w:cstheme="majorBidi" w:hint="eastAsia"/>
          <w:b/>
          <w:bCs/>
        </w:rPr>
        <w:t>L</w:t>
      </w:r>
      <w:r w:rsidRPr="001B648F">
        <w:rPr>
          <w:rFonts w:asciiTheme="majorBidi" w:hAnsiTheme="majorBidi" w:cstheme="majorBidi"/>
          <w:b/>
          <w:bCs/>
        </w:rPr>
        <w:t>ogit Regression</w:t>
      </w:r>
    </w:p>
    <w:p w14:paraId="4867051C" w14:textId="08F938BB" w:rsidR="004E2086" w:rsidRPr="00977569" w:rsidRDefault="004E2086" w:rsidP="00315C00">
      <w:pPr>
        <w:widowControl/>
        <w:ind w:firstLine="315"/>
        <w:rPr>
          <w:rFonts w:ascii="Times New Roman" w:hAnsi="Times New Roman" w:cs="Times New Roman"/>
        </w:rPr>
      </w:pPr>
      <w:r w:rsidRPr="00977569">
        <w:rPr>
          <w:rFonts w:ascii="Times New Roman" w:hAnsi="Times New Roman" w:cs="Times New Roman"/>
        </w:rPr>
        <w:t>All models employ the logit regression with corresponding variables.</w:t>
      </w:r>
      <w:r w:rsidR="00250363">
        <w:rPr>
          <w:rFonts w:ascii="Times New Roman" w:hAnsi="Times New Roman" w:cs="Times New Roman"/>
        </w:rPr>
        <w:t xml:space="preserve"> </w:t>
      </w:r>
      <w:r w:rsidRPr="00977569">
        <w:rPr>
          <w:rFonts w:ascii="Times New Roman" w:hAnsi="Times New Roman" w:cs="Times New Roman"/>
        </w:rPr>
        <w:t>In each model,</w:t>
      </w:r>
      <w:r w:rsidR="00250363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i,j</m:t>
            </m:r>
          </m:sub>
        </m:sSub>
      </m:oMath>
      <w:r w:rsidRPr="00977569">
        <w:rPr>
          <w:rFonts w:ascii="Times New Roman" w:hAnsi="Times New Roman" w:cs="Times New Roman"/>
        </w:rPr>
        <w:t xml:space="preserve"> is the probability of a government </w:t>
      </w:r>
      <w:proofErr w:type="spellStart"/>
      <w:r w:rsidRPr="002277AD">
        <w:rPr>
          <w:rFonts w:ascii="Times New Roman" w:hAnsi="Times New Roman" w:cs="Times New Roman"/>
          <w:i/>
          <w:iCs/>
        </w:rPr>
        <w:t>i</w:t>
      </w:r>
      <w:proofErr w:type="spellEnd"/>
      <w:r w:rsidRPr="00977569">
        <w:rPr>
          <w:rFonts w:ascii="Times New Roman" w:hAnsi="Times New Roman" w:cs="Times New Roman"/>
        </w:rPr>
        <w:t xml:space="preserve"> grants ICRC access to detention centers in year of </w:t>
      </w:r>
      <w:r w:rsidRPr="00977569">
        <w:rPr>
          <w:rFonts w:ascii="Times New Roman" w:hAnsi="Times New Roman" w:cs="Times New Roman"/>
          <w:i/>
          <w:iCs/>
        </w:rPr>
        <w:t>j</w:t>
      </w:r>
      <w:r w:rsidRPr="00977569">
        <w:rPr>
          <w:rFonts w:ascii="Times New Roman" w:hAnsi="Times New Roman" w:cs="Times New Roman"/>
        </w:rPr>
        <w:t xml:space="preserve">, in other words ICRC’s accessibility to detainees.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i,j</m:t>
            </m:r>
          </m:sub>
        </m:sSub>
      </m:oMath>
      <w:r w:rsidRPr="00977569">
        <w:rPr>
          <w:rFonts w:ascii="Times New Roman" w:hAnsi="Times New Roman" w:cs="Times New Roman"/>
        </w:rPr>
        <w:t xml:space="preserve"> is a vector including variable that each model orders. </w:t>
      </w:r>
      <m:oMath>
        <m:r>
          <w:rPr>
            <w:rFonts w:ascii="Cambria Math" w:hAnsi="Cambria Math" w:cs="Times New Roman"/>
          </w:rPr>
          <m:t>β</m:t>
        </m:r>
      </m:oMath>
      <w:r w:rsidRPr="00977569">
        <w:rPr>
          <w:rFonts w:ascii="Times New Roman" w:hAnsi="Times New Roman" w:cs="Times New Roman"/>
        </w:rPr>
        <w:t xml:space="preserve"> is a coefficient vector.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Pr="00977569">
        <w:rPr>
          <w:rFonts w:ascii="Times New Roman" w:hAnsi="Times New Roman" w:cs="Times New Roman"/>
        </w:rPr>
        <w:t xml:space="preserve"> is a intercept common for all country – year dyads.</w:t>
      </w:r>
    </w:p>
    <w:p w14:paraId="333BD2D2" w14:textId="77777777" w:rsidR="004E2086" w:rsidRPr="00977569" w:rsidRDefault="004E2086" w:rsidP="004E2086">
      <w:pPr>
        <w:widowControl/>
        <w:ind w:firstLineChars="150" w:firstLine="315"/>
        <w:rPr>
          <w:rFonts w:ascii="Times New Roman" w:hAnsi="Times New Roman" w:cs="Times New Roman"/>
        </w:rPr>
      </w:pPr>
    </w:p>
    <w:p w14:paraId="19139F5A" w14:textId="77777777" w:rsidR="004E2086" w:rsidRPr="00977569" w:rsidRDefault="006025B2" w:rsidP="004E2086">
      <w:pPr>
        <w:widowControl/>
        <w:ind w:firstLineChars="150" w:firstLine="315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Y</m:t>
              </m:r>
            </m:e>
            <m:sub>
              <m:r>
                <w:rPr>
                  <w:rFonts w:ascii="Cambria Math" w:hAnsi="Cambria Math" w:cs="Times New Roman"/>
                </w:rPr>
                <m:t>i,j</m:t>
              </m:r>
            </m:sub>
          </m:sSub>
          <m:r>
            <w:rPr>
              <w:rFonts w:ascii="Cambria Math" w:hAnsi="Cambria Math" w:cs="Times New Roman"/>
            </w:rPr>
            <m:t>=</m:t>
          </m:r>
          <m:f>
            <m:fPr>
              <m:type m:val="lin"/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1+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e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-logit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i,j</m:t>
                          </m:r>
                        </m:sub>
                      </m:sSub>
                    </m:e>
                  </m:d>
                </m:sup>
              </m:sSup>
            </m:den>
          </m:f>
        </m:oMath>
      </m:oMathPara>
    </w:p>
    <w:p w14:paraId="20D50A1A" w14:textId="77777777" w:rsidR="004E2086" w:rsidRPr="00977569" w:rsidRDefault="004E2086" w:rsidP="004E2086">
      <w:pPr>
        <w:widowControl/>
        <w:ind w:firstLineChars="150" w:firstLine="315"/>
        <w:rPr>
          <w:rFonts w:ascii="Times New Roman" w:hAnsi="Times New Roman" w:cs="Times New Roman"/>
        </w:rPr>
      </w:pPr>
    </w:p>
    <w:p w14:paraId="27F14916" w14:textId="77777777" w:rsidR="004E2086" w:rsidRPr="00977569" w:rsidRDefault="004E2086" w:rsidP="004E2086">
      <w:pPr>
        <w:widowControl/>
        <w:ind w:firstLineChars="150" w:firstLine="315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logit(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i,j</m:t>
              </m:r>
            </m:sub>
          </m:sSub>
          <m:r>
            <w:rPr>
              <w:rFonts w:ascii="Cambria Math" w:hAnsi="Cambria Math" w:cs="Times New Roman"/>
            </w:rPr>
            <m:t xml:space="preserve">) 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β</m:t>
              </m:r>
            </m:e>
            <m:sub>
              <m:r>
                <w:rPr>
                  <w:rFonts w:ascii="Cambria Math" w:hAnsi="Cambria Math" w:cs="Times New Roman"/>
                </w:rPr>
                <m:t>0</m:t>
              </m:r>
            </m:sub>
          </m:sSub>
          <m:r>
            <w:rPr>
              <w:rFonts w:ascii="Cambria Math" w:hAnsi="Cambria Math" w:cs="Times New Roman"/>
            </w:rPr>
            <m:t>+β∙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X</m:t>
              </m:r>
            </m:e>
            <m:sub>
              <m:r>
                <w:rPr>
                  <w:rFonts w:ascii="Cambria Math" w:hAnsi="Cambria Math" w:cs="Times New Roman"/>
                </w:rPr>
                <m:t>i,j</m:t>
              </m:r>
            </m:sub>
          </m:sSub>
        </m:oMath>
      </m:oMathPara>
    </w:p>
    <w:p w14:paraId="578DA422" w14:textId="77777777" w:rsidR="004E2086" w:rsidRDefault="004E2086" w:rsidP="004E2086">
      <w:pPr>
        <w:pStyle w:val="a8"/>
        <w:widowControl/>
        <w:ind w:leftChars="0" w:left="420"/>
        <w:rPr>
          <w:rFonts w:asciiTheme="majorBidi" w:hAnsiTheme="majorBidi" w:cstheme="majorBidi"/>
          <w:b/>
          <w:bCs/>
        </w:rPr>
      </w:pPr>
    </w:p>
    <w:p w14:paraId="0FF769B6" w14:textId="120E29E7" w:rsidR="00275F2C" w:rsidRPr="001B648F" w:rsidRDefault="00EF5234" w:rsidP="001B648F">
      <w:pPr>
        <w:pStyle w:val="a8"/>
        <w:widowControl/>
        <w:numPr>
          <w:ilvl w:val="0"/>
          <w:numId w:val="6"/>
        </w:numPr>
        <w:ind w:leftChars="0"/>
        <w:rPr>
          <w:rFonts w:asciiTheme="majorBidi" w:hAnsiTheme="majorBidi" w:cstheme="majorBidi"/>
          <w:b/>
          <w:bCs/>
        </w:rPr>
      </w:pPr>
      <w:bookmarkStart w:id="0" w:name="_Hlk106225519"/>
      <w:r>
        <w:rPr>
          <w:rFonts w:asciiTheme="majorBidi" w:hAnsiTheme="majorBidi" w:cstheme="majorBidi"/>
          <w:b/>
          <w:bCs/>
        </w:rPr>
        <w:t>The number of cases in original revised datasets</w:t>
      </w:r>
      <w:bookmarkEnd w:id="0"/>
    </w:p>
    <w:p w14:paraId="67CB8188" w14:textId="05352609" w:rsidR="00A62C9B" w:rsidRPr="00A62C9B" w:rsidRDefault="00A62C9B" w:rsidP="00D147A3">
      <w:pPr>
        <w:widowControl/>
        <w:ind w:firstLineChars="100" w:firstLine="210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FB5A9F" w14:paraId="450B7072" w14:textId="77777777" w:rsidTr="005D068C">
        <w:tc>
          <w:tcPr>
            <w:tcW w:w="1698" w:type="dxa"/>
            <w:vAlign w:val="center"/>
          </w:tcPr>
          <w:p w14:paraId="6EF315EE" w14:textId="7511ABA0" w:rsidR="00FB5A9F" w:rsidRDefault="00D12290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nalysis I</w:t>
            </w:r>
          </w:p>
        </w:tc>
        <w:tc>
          <w:tcPr>
            <w:tcW w:w="3398" w:type="dxa"/>
            <w:gridSpan w:val="2"/>
            <w:vAlign w:val="center"/>
          </w:tcPr>
          <w:p w14:paraId="6F397ADF" w14:textId="365844D0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riginal</w:t>
            </w:r>
          </w:p>
        </w:tc>
        <w:tc>
          <w:tcPr>
            <w:tcW w:w="3398" w:type="dxa"/>
            <w:gridSpan w:val="2"/>
            <w:vAlign w:val="center"/>
          </w:tcPr>
          <w:p w14:paraId="2446A3ED" w14:textId="2F76C616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evised</w:t>
            </w:r>
          </w:p>
        </w:tc>
      </w:tr>
      <w:tr w:rsidR="00FB5A9F" w14:paraId="4F2E0876" w14:textId="77777777" w:rsidTr="00D12290">
        <w:tc>
          <w:tcPr>
            <w:tcW w:w="1698" w:type="dxa"/>
            <w:vAlign w:val="center"/>
          </w:tcPr>
          <w:p w14:paraId="62E5ABD7" w14:textId="5CC52070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alue</w:t>
            </w:r>
          </w:p>
        </w:tc>
        <w:tc>
          <w:tcPr>
            <w:tcW w:w="1699" w:type="dxa"/>
            <w:vAlign w:val="center"/>
          </w:tcPr>
          <w:p w14:paraId="1FFE3C90" w14:textId="747F2ACA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requency</w:t>
            </w:r>
          </w:p>
        </w:tc>
        <w:tc>
          <w:tcPr>
            <w:tcW w:w="1699" w:type="dxa"/>
            <w:vAlign w:val="center"/>
          </w:tcPr>
          <w:p w14:paraId="7766118A" w14:textId="442E825F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atio</w:t>
            </w:r>
          </w:p>
        </w:tc>
        <w:tc>
          <w:tcPr>
            <w:tcW w:w="1699" w:type="dxa"/>
            <w:vAlign w:val="center"/>
          </w:tcPr>
          <w:p w14:paraId="21BBC1F0" w14:textId="34AA4542" w:rsidR="00FB5A9F" w:rsidRDefault="00FB5A9F" w:rsidP="00D1229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requency</w:t>
            </w:r>
          </w:p>
        </w:tc>
        <w:tc>
          <w:tcPr>
            <w:tcW w:w="1699" w:type="dxa"/>
            <w:vAlign w:val="center"/>
          </w:tcPr>
          <w:p w14:paraId="3B0BCFC2" w14:textId="093AA641" w:rsidR="00FB5A9F" w:rsidRDefault="00FB5A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atio</w:t>
            </w:r>
          </w:p>
        </w:tc>
      </w:tr>
      <w:tr w:rsidR="00FB5A9F" w14:paraId="0E21F80D" w14:textId="77777777" w:rsidTr="00FB5A9F">
        <w:tc>
          <w:tcPr>
            <w:tcW w:w="1698" w:type="dxa"/>
            <w:vAlign w:val="center"/>
          </w:tcPr>
          <w:p w14:paraId="34077F8B" w14:textId="690F7390" w:rsidR="00FB5A9F" w:rsidRDefault="009776F5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ccess</w:t>
            </w:r>
          </w:p>
        </w:tc>
        <w:tc>
          <w:tcPr>
            <w:tcW w:w="1699" w:type="dxa"/>
            <w:vAlign w:val="center"/>
          </w:tcPr>
          <w:p w14:paraId="1EB4C7D2" w14:textId="0922448E" w:rsidR="00FB5A9F" w:rsidRDefault="006802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699" w:type="dxa"/>
            <w:vAlign w:val="center"/>
          </w:tcPr>
          <w:p w14:paraId="18629257" w14:textId="3A51034F" w:rsidR="00FB5A9F" w:rsidRDefault="006802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5347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1894DF49" w14:textId="072B9A43" w:rsidR="00FB5A9F" w:rsidRDefault="00D12290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8</w:t>
            </w: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699" w:type="dxa"/>
            <w:vAlign w:val="center"/>
          </w:tcPr>
          <w:p w14:paraId="2246B888" w14:textId="1CEE73A8" w:rsidR="00FB5A9F" w:rsidRDefault="00D12290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029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B5A9F" w14:paraId="6A18A154" w14:textId="77777777" w:rsidTr="00FB5A9F">
        <w:tc>
          <w:tcPr>
            <w:tcW w:w="1698" w:type="dxa"/>
            <w:vAlign w:val="center"/>
          </w:tcPr>
          <w:p w14:paraId="4835B881" w14:textId="1FF2A1FE" w:rsidR="00FB5A9F" w:rsidRDefault="009776F5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 Access</w:t>
            </w:r>
          </w:p>
        </w:tc>
        <w:tc>
          <w:tcPr>
            <w:tcW w:w="1699" w:type="dxa"/>
            <w:vAlign w:val="center"/>
          </w:tcPr>
          <w:p w14:paraId="4FF40607" w14:textId="1C68FAA8" w:rsidR="00FB5A9F" w:rsidRDefault="006802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699" w:type="dxa"/>
            <w:vAlign w:val="center"/>
          </w:tcPr>
          <w:p w14:paraId="5F981A3A" w14:textId="6B102C72" w:rsidR="00FB5A9F" w:rsidRDefault="006802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5347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6932FB2F" w14:textId="417E010E" w:rsidR="00FB5A9F" w:rsidRDefault="00D12290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68029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699" w:type="dxa"/>
            <w:vAlign w:val="center"/>
          </w:tcPr>
          <w:p w14:paraId="63DB2B4A" w14:textId="1388D815" w:rsidR="00FB5A9F" w:rsidRDefault="0068029F" w:rsidP="00FB5A9F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12290">
              <w:rPr>
                <w:rFonts w:ascii="Times New Roman" w:hAnsi="Times New Roman" w:cs="Times New Roman"/>
              </w:rPr>
              <w:t>%</w:t>
            </w:r>
          </w:p>
        </w:tc>
      </w:tr>
      <w:tr w:rsidR="00FB5A9F" w14:paraId="1028C59D" w14:textId="77777777" w:rsidTr="009776F5">
        <w:tc>
          <w:tcPr>
            <w:tcW w:w="1698" w:type="dxa"/>
            <w:vAlign w:val="center"/>
          </w:tcPr>
          <w:p w14:paraId="4DF1FF7D" w14:textId="0446D7DE" w:rsidR="00FB5A9F" w:rsidRDefault="009776F5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issing</w:t>
            </w:r>
          </w:p>
        </w:tc>
        <w:tc>
          <w:tcPr>
            <w:tcW w:w="1699" w:type="dxa"/>
            <w:vAlign w:val="center"/>
          </w:tcPr>
          <w:p w14:paraId="57E32E6F" w14:textId="34259846" w:rsidR="00FB5A9F" w:rsidRDefault="0068029F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699" w:type="dxa"/>
            <w:vAlign w:val="center"/>
          </w:tcPr>
          <w:p w14:paraId="417931DD" w14:textId="1FD71C48" w:rsidR="00FB5A9F" w:rsidRDefault="0068029F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3477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617AC772" w14:textId="549E5D0C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699" w:type="dxa"/>
            <w:vAlign w:val="center"/>
          </w:tcPr>
          <w:p w14:paraId="3E424A4A" w14:textId="2302B6A4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FB5A9F" w14:paraId="2DF39149" w14:textId="77777777" w:rsidTr="009776F5">
        <w:tc>
          <w:tcPr>
            <w:tcW w:w="1698" w:type="dxa"/>
            <w:vAlign w:val="center"/>
          </w:tcPr>
          <w:p w14:paraId="0731CB84" w14:textId="3F40E8C4" w:rsidR="00FB5A9F" w:rsidRDefault="009776F5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</w:t>
            </w:r>
            <w:r>
              <w:rPr>
                <w:rFonts w:ascii="Times New Roman" w:hAnsi="Times New Roman" w:cs="Times New Roman"/>
              </w:rPr>
              <w:t>xcluded</w:t>
            </w:r>
          </w:p>
        </w:tc>
        <w:tc>
          <w:tcPr>
            <w:tcW w:w="1699" w:type="dxa"/>
            <w:vAlign w:val="center"/>
          </w:tcPr>
          <w:p w14:paraId="1C593244" w14:textId="52727FC3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699" w:type="dxa"/>
            <w:vAlign w:val="center"/>
          </w:tcPr>
          <w:p w14:paraId="24EA0DBB" w14:textId="7B25D54C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421D8D29" w14:textId="20F9029F" w:rsidR="00FB5A9F" w:rsidRDefault="00D12290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68029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699" w:type="dxa"/>
            <w:vAlign w:val="center"/>
          </w:tcPr>
          <w:p w14:paraId="02BD29A7" w14:textId="26E8B066" w:rsidR="00FB5A9F" w:rsidRDefault="00D12290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029F">
              <w:rPr>
                <w:rFonts w:ascii="Times New Roman" w:hAnsi="Times New Roman" w:cs="Times New Roman"/>
              </w:rPr>
              <w:t>1</w:t>
            </w:r>
            <w:r w:rsidR="00534771">
              <w:rPr>
                <w:rFonts w:ascii="Times New Roman" w:hAnsi="Times New Roman" w:cs="Times New Roman"/>
              </w:rPr>
              <w:t>%</w:t>
            </w:r>
          </w:p>
        </w:tc>
      </w:tr>
      <w:tr w:rsidR="00FB5A9F" w14:paraId="48545CC5" w14:textId="77777777" w:rsidTr="009776F5">
        <w:tc>
          <w:tcPr>
            <w:tcW w:w="1698" w:type="dxa"/>
            <w:vAlign w:val="center"/>
          </w:tcPr>
          <w:p w14:paraId="7419580A" w14:textId="6ACAE951" w:rsidR="00FB5A9F" w:rsidRDefault="009776F5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</w:t>
            </w:r>
          </w:p>
        </w:tc>
        <w:tc>
          <w:tcPr>
            <w:tcW w:w="1699" w:type="dxa"/>
            <w:vAlign w:val="center"/>
          </w:tcPr>
          <w:p w14:paraId="0B536329" w14:textId="0DF25975" w:rsidR="00FB5A9F" w:rsidRDefault="0068029F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99" w:type="dxa"/>
            <w:vAlign w:val="center"/>
          </w:tcPr>
          <w:p w14:paraId="190FC230" w14:textId="72350931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699" w:type="dxa"/>
            <w:vAlign w:val="center"/>
          </w:tcPr>
          <w:p w14:paraId="0C9957F3" w14:textId="4A798B01" w:rsidR="00FB5A9F" w:rsidRDefault="00D12290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699" w:type="dxa"/>
            <w:vAlign w:val="center"/>
          </w:tcPr>
          <w:p w14:paraId="71CFB4B4" w14:textId="6E49F99A" w:rsidR="00FB5A9F" w:rsidRDefault="00534771" w:rsidP="009776F5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</w:p>
        </w:tc>
      </w:tr>
    </w:tbl>
    <w:p w14:paraId="01DB21C4" w14:textId="0B95F698" w:rsidR="00DD6366" w:rsidRDefault="00DD6366" w:rsidP="00275F2C">
      <w:pPr>
        <w:widowControl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D12290" w14:paraId="6CFD07D6" w14:textId="77777777" w:rsidTr="003E4EC4">
        <w:tc>
          <w:tcPr>
            <w:tcW w:w="1698" w:type="dxa"/>
            <w:vAlign w:val="center"/>
          </w:tcPr>
          <w:p w14:paraId="4B7F8463" w14:textId="602AE1FA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nalysis II</w:t>
            </w:r>
          </w:p>
        </w:tc>
        <w:tc>
          <w:tcPr>
            <w:tcW w:w="3398" w:type="dxa"/>
            <w:gridSpan w:val="2"/>
            <w:vAlign w:val="center"/>
          </w:tcPr>
          <w:p w14:paraId="7606B9AE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</w:t>
            </w:r>
            <w:r>
              <w:rPr>
                <w:rFonts w:ascii="Times New Roman" w:hAnsi="Times New Roman" w:cs="Times New Roman"/>
              </w:rPr>
              <w:t>riginal</w:t>
            </w:r>
          </w:p>
        </w:tc>
        <w:tc>
          <w:tcPr>
            <w:tcW w:w="3398" w:type="dxa"/>
            <w:gridSpan w:val="2"/>
            <w:vAlign w:val="center"/>
          </w:tcPr>
          <w:p w14:paraId="7B0E41BE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evised</w:t>
            </w:r>
          </w:p>
        </w:tc>
      </w:tr>
      <w:tr w:rsidR="00D12290" w14:paraId="36325088" w14:textId="77777777" w:rsidTr="003E4EC4">
        <w:tc>
          <w:tcPr>
            <w:tcW w:w="1698" w:type="dxa"/>
            <w:vAlign w:val="center"/>
          </w:tcPr>
          <w:p w14:paraId="422299A6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V</w:t>
            </w:r>
            <w:r>
              <w:rPr>
                <w:rFonts w:ascii="Times New Roman" w:hAnsi="Times New Roman" w:cs="Times New Roman"/>
              </w:rPr>
              <w:t>alue</w:t>
            </w:r>
          </w:p>
        </w:tc>
        <w:tc>
          <w:tcPr>
            <w:tcW w:w="1699" w:type="dxa"/>
            <w:vAlign w:val="center"/>
          </w:tcPr>
          <w:p w14:paraId="446D475A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requency</w:t>
            </w:r>
          </w:p>
        </w:tc>
        <w:tc>
          <w:tcPr>
            <w:tcW w:w="1699" w:type="dxa"/>
            <w:vAlign w:val="center"/>
          </w:tcPr>
          <w:p w14:paraId="2F571D91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atio</w:t>
            </w:r>
          </w:p>
        </w:tc>
        <w:tc>
          <w:tcPr>
            <w:tcW w:w="1699" w:type="dxa"/>
            <w:vAlign w:val="center"/>
          </w:tcPr>
          <w:p w14:paraId="3C15FD4C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requency</w:t>
            </w:r>
          </w:p>
        </w:tc>
        <w:tc>
          <w:tcPr>
            <w:tcW w:w="1699" w:type="dxa"/>
            <w:vAlign w:val="center"/>
          </w:tcPr>
          <w:p w14:paraId="32A31A3C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R</w:t>
            </w:r>
            <w:r>
              <w:rPr>
                <w:rFonts w:ascii="Times New Roman" w:hAnsi="Times New Roman" w:cs="Times New Roman"/>
              </w:rPr>
              <w:t>atio</w:t>
            </w:r>
          </w:p>
        </w:tc>
      </w:tr>
      <w:tr w:rsidR="00D12290" w14:paraId="33B4B760" w14:textId="77777777" w:rsidTr="003E4EC4">
        <w:tc>
          <w:tcPr>
            <w:tcW w:w="1698" w:type="dxa"/>
            <w:vAlign w:val="center"/>
          </w:tcPr>
          <w:p w14:paraId="434837FD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A</w:t>
            </w:r>
            <w:r>
              <w:rPr>
                <w:rFonts w:ascii="Times New Roman" w:hAnsi="Times New Roman" w:cs="Times New Roman"/>
              </w:rPr>
              <w:t>ccess</w:t>
            </w:r>
          </w:p>
        </w:tc>
        <w:tc>
          <w:tcPr>
            <w:tcW w:w="1699" w:type="dxa"/>
            <w:vAlign w:val="center"/>
          </w:tcPr>
          <w:p w14:paraId="4498C2CC" w14:textId="31A2B399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680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vAlign w:val="center"/>
          </w:tcPr>
          <w:p w14:paraId="3375D670" w14:textId="7ED792A1" w:rsidR="00D12290" w:rsidRDefault="00867793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122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4AB067B8" w14:textId="1F3658B0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</w:t>
            </w:r>
            <w:r w:rsidR="006802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9" w:type="dxa"/>
            <w:vAlign w:val="center"/>
          </w:tcPr>
          <w:p w14:paraId="6C87E04C" w14:textId="2D323236" w:rsidR="00D12290" w:rsidRDefault="00867793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12290">
              <w:rPr>
                <w:rFonts w:ascii="Times New Roman" w:hAnsi="Times New Roman" w:cs="Times New Roman"/>
              </w:rPr>
              <w:t>%</w:t>
            </w:r>
          </w:p>
        </w:tc>
      </w:tr>
      <w:tr w:rsidR="00D12290" w14:paraId="0B94DC54" w14:textId="77777777" w:rsidTr="00D12290">
        <w:tc>
          <w:tcPr>
            <w:tcW w:w="1698" w:type="dxa"/>
            <w:vAlign w:val="center"/>
          </w:tcPr>
          <w:p w14:paraId="36EBA9C7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o Access</w:t>
            </w:r>
          </w:p>
        </w:tc>
        <w:tc>
          <w:tcPr>
            <w:tcW w:w="1699" w:type="dxa"/>
            <w:vAlign w:val="center"/>
          </w:tcPr>
          <w:p w14:paraId="09DD1136" w14:textId="301EF580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 w:rsidR="0068029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699" w:type="dxa"/>
            <w:vAlign w:val="center"/>
          </w:tcPr>
          <w:p w14:paraId="00E9F6E6" w14:textId="0DA8EB65" w:rsidR="00D12290" w:rsidRDefault="00867793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D1229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2AB18476" w14:textId="12E1E7EF" w:rsidR="00D12290" w:rsidRDefault="00D12290" w:rsidP="00D12290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68029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699" w:type="dxa"/>
            <w:vAlign w:val="center"/>
          </w:tcPr>
          <w:p w14:paraId="77337177" w14:textId="1B24B32B" w:rsidR="00D12290" w:rsidRDefault="0068029F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  <w:r w:rsidR="00D12290">
              <w:rPr>
                <w:rFonts w:ascii="Times New Roman" w:hAnsi="Times New Roman" w:cs="Times New Roman"/>
              </w:rPr>
              <w:t>%</w:t>
            </w:r>
          </w:p>
        </w:tc>
      </w:tr>
      <w:tr w:rsidR="00D12290" w14:paraId="521A49F3" w14:textId="77777777" w:rsidTr="003E4EC4">
        <w:tc>
          <w:tcPr>
            <w:tcW w:w="1698" w:type="dxa"/>
            <w:vAlign w:val="center"/>
          </w:tcPr>
          <w:p w14:paraId="68D54892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issing</w:t>
            </w:r>
          </w:p>
        </w:tc>
        <w:tc>
          <w:tcPr>
            <w:tcW w:w="1699" w:type="dxa"/>
            <w:vAlign w:val="center"/>
          </w:tcPr>
          <w:p w14:paraId="594E02DF" w14:textId="21256DEE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 w:rsidR="00867793">
              <w:rPr>
                <w:rFonts w:ascii="Times New Roman" w:hAnsi="Times New Roman" w:cs="Times New Roman"/>
              </w:rPr>
              <w:t>2</w:t>
            </w:r>
            <w:r w:rsidR="006802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  <w:vAlign w:val="center"/>
          </w:tcPr>
          <w:p w14:paraId="20D10C31" w14:textId="58E5B1DF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6779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9" w:type="dxa"/>
            <w:vAlign w:val="center"/>
          </w:tcPr>
          <w:p w14:paraId="0ECD6BDA" w14:textId="51DDA449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699" w:type="dxa"/>
            <w:vAlign w:val="center"/>
          </w:tcPr>
          <w:p w14:paraId="79AF3893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</w:tr>
      <w:tr w:rsidR="00D12290" w14:paraId="0E403E28" w14:textId="77777777" w:rsidTr="003E4EC4">
        <w:tc>
          <w:tcPr>
            <w:tcW w:w="1698" w:type="dxa"/>
            <w:vAlign w:val="center"/>
          </w:tcPr>
          <w:p w14:paraId="139223A8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</w:t>
            </w:r>
          </w:p>
        </w:tc>
        <w:tc>
          <w:tcPr>
            <w:tcW w:w="1699" w:type="dxa"/>
            <w:vAlign w:val="center"/>
          </w:tcPr>
          <w:p w14:paraId="686E9B40" w14:textId="10593C94" w:rsidR="00D12290" w:rsidRDefault="00867793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6802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9" w:type="dxa"/>
            <w:vAlign w:val="center"/>
          </w:tcPr>
          <w:p w14:paraId="7646E16E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</w:p>
        </w:tc>
        <w:tc>
          <w:tcPr>
            <w:tcW w:w="1699" w:type="dxa"/>
            <w:vAlign w:val="center"/>
          </w:tcPr>
          <w:p w14:paraId="18432A7B" w14:textId="414E7165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 w:rsidR="0068029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99" w:type="dxa"/>
            <w:vAlign w:val="center"/>
          </w:tcPr>
          <w:p w14:paraId="63C16B5A" w14:textId="77777777" w:rsidR="00D12290" w:rsidRDefault="00D12290" w:rsidP="003E4EC4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00%</w:t>
            </w:r>
          </w:p>
        </w:tc>
      </w:tr>
    </w:tbl>
    <w:p w14:paraId="72629874" w14:textId="5C021827" w:rsidR="00D12290" w:rsidRDefault="00250363" w:rsidP="00250363">
      <w:pPr>
        <w:widowControl/>
        <w:tabs>
          <w:tab w:val="left" w:pos="283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E26D8C" w14:textId="43052F22" w:rsidR="001B648F" w:rsidRPr="001B648F" w:rsidRDefault="001B648F" w:rsidP="001B648F">
      <w:pPr>
        <w:pStyle w:val="a8"/>
        <w:widowControl/>
        <w:numPr>
          <w:ilvl w:val="0"/>
          <w:numId w:val="6"/>
        </w:numPr>
        <w:ind w:leftChars="0"/>
        <w:rPr>
          <w:rFonts w:ascii="Times New Roman" w:hAnsi="Times New Roman" w:cs="Times New Roman"/>
          <w:b/>
          <w:bCs/>
        </w:rPr>
      </w:pPr>
      <w:r w:rsidRPr="001B648F">
        <w:rPr>
          <w:rFonts w:ascii="Times New Roman" w:hAnsi="Times New Roman" w:cs="Times New Roman"/>
          <w:b/>
          <w:bCs/>
        </w:rPr>
        <w:t>Omitted C</w:t>
      </w:r>
      <w:r w:rsidR="00EF5234">
        <w:rPr>
          <w:rFonts w:ascii="Times New Roman" w:hAnsi="Times New Roman" w:cs="Times New Roman"/>
          <w:b/>
          <w:bCs/>
        </w:rPr>
        <w:t>ountries</w:t>
      </w:r>
    </w:p>
    <w:p w14:paraId="09BF7AC7" w14:textId="77777777" w:rsidR="001B648F" w:rsidRDefault="001B648F" w:rsidP="001B648F">
      <w:pPr>
        <w:pStyle w:val="a8"/>
        <w:widowControl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incomplete data of independent variables</w:t>
      </w:r>
    </w:p>
    <w:p w14:paraId="73000A82" w14:textId="18E619E9" w:rsidR="001B648F" w:rsidRDefault="001B648F" w:rsidP="001B648F">
      <w:pPr>
        <w:pStyle w:val="a8"/>
        <w:widowControl/>
        <w:numPr>
          <w:ilvl w:val="1"/>
          <w:numId w:val="5"/>
        </w:numPr>
        <w:ind w:leftChars="0"/>
        <w:rPr>
          <w:rFonts w:ascii="Times New Roman" w:hAnsi="Times New Roman" w:cs="Times New Roman"/>
        </w:rPr>
      </w:pPr>
      <w:r w:rsidRPr="001B648F">
        <w:rPr>
          <w:rFonts w:ascii="Times New Roman" w:hAnsi="Times New Roman" w:cs="Times New Roman"/>
        </w:rPr>
        <w:t xml:space="preserve">Malta, </w:t>
      </w:r>
      <w:r w:rsidR="00250363">
        <w:rPr>
          <w:rFonts w:ascii="Times New Roman" w:hAnsi="Times New Roman" w:cs="Times New Roman"/>
        </w:rPr>
        <w:t>Cyprus</w:t>
      </w:r>
    </w:p>
    <w:p w14:paraId="2123229D" w14:textId="639C89C1" w:rsidR="001B648F" w:rsidRDefault="001B648F" w:rsidP="001B648F">
      <w:pPr>
        <w:pStyle w:val="a8"/>
        <w:widowControl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or non-governmentality</w:t>
      </w:r>
    </w:p>
    <w:p w14:paraId="1915F2F5" w14:textId="04C68D6F" w:rsidR="001B648F" w:rsidRDefault="001B648F" w:rsidP="001B648F">
      <w:pPr>
        <w:pStyle w:val="a8"/>
        <w:widowControl/>
        <w:numPr>
          <w:ilvl w:val="1"/>
          <w:numId w:val="5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Detention by supervision of </w:t>
      </w:r>
      <w:r w:rsidRPr="001B648F">
        <w:rPr>
          <w:rFonts w:ascii="Times New Roman" w:hAnsi="Times New Roman" w:cs="Times New Roman"/>
        </w:rPr>
        <w:t>international courts</w:t>
      </w:r>
      <w:r>
        <w:rPr>
          <w:rFonts w:ascii="Times New Roman" w:hAnsi="Times New Roman" w:cs="Times New Roman"/>
        </w:rPr>
        <w:t xml:space="preserve"> of</w:t>
      </w:r>
      <w:r w:rsidRPr="001B648F">
        <w:rPr>
          <w:rFonts w:ascii="Times New Roman" w:hAnsi="Times New Roman" w:cs="Times New Roman"/>
        </w:rPr>
        <w:t xml:space="preserve"> ICTY ICTR;</w:t>
      </w:r>
    </w:p>
    <w:p w14:paraId="04A669A7" w14:textId="65EB8D08" w:rsidR="00275F2C" w:rsidRPr="00250363" w:rsidRDefault="00AD3A37" w:rsidP="00C26065">
      <w:pPr>
        <w:pStyle w:val="a8"/>
        <w:widowControl/>
        <w:numPr>
          <w:ilvl w:val="1"/>
          <w:numId w:val="5"/>
        </w:numPr>
        <w:ind w:leftChars="0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</w:rPr>
        <w:t>Palestine, Kosovo, Occupation Forces in Afghanistan and Iraq</w:t>
      </w:r>
    </w:p>
    <w:p w14:paraId="27174499" w14:textId="7FA65C6B" w:rsidR="00250363" w:rsidRPr="00250363" w:rsidRDefault="00AD3A37" w:rsidP="00250363">
      <w:pPr>
        <w:pStyle w:val="a8"/>
        <w:widowControl/>
        <w:numPr>
          <w:ilvl w:val="0"/>
          <w:numId w:val="5"/>
        </w:numPr>
        <w:ind w:leftChars="0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</w:rPr>
        <w:t>for not being referred of detainees in ICRC’s annual reports</w:t>
      </w:r>
    </w:p>
    <w:p w14:paraId="2562DBB1" w14:textId="37E5B7B0" w:rsidR="00250363" w:rsidRPr="001B648F" w:rsidRDefault="00250363" w:rsidP="00250363">
      <w:pPr>
        <w:pStyle w:val="a8"/>
        <w:widowControl/>
        <w:numPr>
          <w:ilvl w:val="1"/>
          <w:numId w:val="5"/>
        </w:numPr>
        <w:ind w:leftChars="0"/>
        <w:rPr>
          <w:rFonts w:asciiTheme="majorBidi" w:hAnsiTheme="majorBidi" w:cstheme="majorBidi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Andorra, Antigua and Barbuda, Bahamas, Barbados, Belize, Brunei, Bulgaria, Cook Islands, Costa Rica, </w:t>
      </w:r>
      <w:r w:rsidR="00AD3A37" w:rsidRPr="00AD3A37">
        <w:rPr>
          <w:rFonts w:ascii="Times New Roman" w:hAnsi="Times New Roman" w:cs="Times New Roman"/>
        </w:rPr>
        <w:t>Czech Republic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</w:t>
      </w:r>
      <w:r w:rsidR="00AD3A37">
        <w:rPr>
          <w:rFonts w:ascii="Times New Roman" w:hAnsi="Times New Roman" w:cs="Times New Roman"/>
        </w:rPr>
        <w:t xml:space="preserve">Dominica, Dominican Republic, North Korea, Ghana, Guyana, Holy See, Iceland, Ireland, Kiribati, Latvia, </w:t>
      </w:r>
      <w:r w:rsidR="00AD3A37" w:rsidRPr="00AD3A37">
        <w:rPr>
          <w:rFonts w:ascii="Times New Roman" w:hAnsi="Times New Roman" w:cs="Times New Roman"/>
        </w:rPr>
        <w:t>Liechtenstein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Lithuania</w:t>
      </w:r>
      <w:r w:rsidR="00AD3A37">
        <w:rPr>
          <w:rFonts w:ascii="Times New Roman" w:hAnsi="Times New Roman" w:cs="Times New Roman"/>
        </w:rPr>
        <w:t xml:space="preserve">, </w:t>
      </w:r>
      <w:r w:rsidR="00AD3A37" w:rsidRPr="00AD3A37">
        <w:rPr>
          <w:rFonts w:ascii="Times New Roman" w:hAnsi="Times New Roman" w:cs="Times New Roman"/>
        </w:rPr>
        <w:t>Luxembourg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Marshall Islands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</w:t>
      </w:r>
      <w:r w:rsidR="00AD3A37">
        <w:rPr>
          <w:rFonts w:ascii="Times New Roman" w:hAnsi="Times New Roman" w:cs="Times New Roman"/>
        </w:rPr>
        <w:t xml:space="preserve">Mauritius, Micronesia, Monaco, Mozambique, Netherlands, New Zealand, Nicaragua, Oman, Palau, Panama, Portugal, Romania, </w:t>
      </w:r>
      <w:r w:rsidR="00AD3A37" w:rsidRPr="00AD3A37">
        <w:rPr>
          <w:rFonts w:ascii="Times New Roman" w:hAnsi="Times New Roman" w:cs="Times New Roman"/>
        </w:rPr>
        <w:t>St. Kitts and Nevis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St. Lucia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St. Vincent and the Grenadines</w:t>
      </w:r>
      <w:r w:rsidR="00AD3A37">
        <w:rPr>
          <w:rFonts w:ascii="Times New Roman" w:hAnsi="Times New Roman" w:cs="Times New Roman"/>
        </w:rPr>
        <w:t>,</w:t>
      </w:r>
      <w:r w:rsidR="00AD3A37" w:rsidRPr="00AD3A37">
        <w:rPr>
          <w:rFonts w:ascii="Times New Roman" w:hAnsi="Times New Roman" w:cs="Times New Roman"/>
        </w:rPr>
        <w:t xml:space="preserve"> </w:t>
      </w:r>
      <w:r w:rsidR="00AD3A37">
        <w:rPr>
          <w:rFonts w:ascii="Times New Roman" w:hAnsi="Times New Roman" w:cs="Times New Roman"/>
        </w:rPr>
        <w:t xml:space="preserve">Samoa, San Marino, </w:t>
      </w:r>
      <w:r>
        <w:rPr>
          <w:rFonts w:ascii="Times New Roman" w:hAnsi="Times New Roman" w:cs="Times New Roman"/>
        </w:rPr>
        <w:t>Sao Tome and Principle, Singapore,</w:t>
      </w:r>
      <w:r w:rsidR="00AD3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Slovakia, Slovenia, Suriname Switzerland, Tonga, Trinidad and Tobago, Tuvalu, UAE</w:t>
      </w:r>
    </w:p>
    <w:p w14:paraId="086B25E4" w14:textId="77777777" w:rsidR="00E80E2F" w:rsidRDefault="00E80E2F" w:rsidP="001B648F">
      <w:pPr>
        <w:rPr>
          <w:rFonts w:asciiTheme="majorBidi" w:hAnsiTheme="majorBidi" w:cstheme="majorBidi" w:hint="eastAsia"/>
          <w:szCs w:val="18"/>
        </w:rPr>
      </w:pPr>
    </w:p>
    <w:sectPr w:rsidR="00E80E2F" w:rsidSect="00275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F1EA" w14:textId="77777777" w:rsidR="006025B2" w:rsidRDefault="006025B2" w:rsidP="005F6A8B">
      <w:r>
        <w:separator/>
      </w:r>
    </w:p>
  </w:endnote>
  <w:endnote w:type="continuationSeparator" w:id="0">
    <w:p w14:paraId="0A26EED9" w14:textId="77777777" w:rsidR="006025B2" w:rsidRDefault="006025B2" w:rsidP="005F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78666" w14:textId="77777777" w:rsidR="006025B2" w:rsidRDefault="006025B2" w:rsidP="005F6A8B">
      <w:r>
        <w:separator/>
      </w:r>
    </w:p>
  </w:footnote>
  <w:footnote w:type="continuationSeparator" w:id="0">
    <w:p w14:paraId="0F7CB819" w14:textId="77777777" w:rsidR="006025B2" w:rsidRDefault="006025B2" w:rsidP="005F6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51333"/>
    <w:multiLevelType w:val="hybridMultilevel"/>
    <w:tmpl w:val="A09ADA10"/>
    <w:lvl w:ilvl="0" w:tplc="C9D81CAA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3D2AA3"/>
    <w:multiLevelType w:val="hybridMultilevel"/>
    <w:tmpl w:val="043E173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5ADB4E27"/>
    <w:multiLevelType w:val="hybridMultilevel"/>
    <w:tmpl w:val="E21A940A"/>
    <w:lvl w:ilvl="0" w:tplc="C9D81CAA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1C5FDD"/>
    <w:multiLevelType w:val="hybridMultilevel"/>
    <w:tmpl w:val="DB747C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8F26DC"/>
    <w:multiLevelType w:val="hybridMultilevel"/>
    <w:tmpl w:val="111220BC"/>
    <w:lvl w:ilvl="0" w:tplc="C9D81CAA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EE540E"/>
    <w:multiLevelType w:val="hybridMultilevel"/>
    <w:tmpl w:val="B4D6F950"/>
    <w:lvl w:ilvl="0" w:tplc="C9D81CAA">
      <w:start w:val="5"/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9917975">
    <w:abstractNumId w:val="1"/>
  </w:num>
  <w:num w:numId="2" w16cid:durableId="2120761111">
    <w:abstractNumId w:val="0"/>
  </w:num>
  <w:num w:numId="3" w16cid:durableId="1083837310">
    <w:abstractNumId w:val="2"/>
  </w:num>
  <w:num w:numId="4" w16cid:durableId="1555387721">
    <w:abstractNumId w:val="4"/>
  </w:num>
  <w:num w:numId="5" w16cid:durableId="387188743">
    <w:abstractNumId w:val="5"/>
  </w:num>
  <w:num w:numId="6" w16cid:durableId="1911886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NDQ0NzczsDC1MLBQ0lEKTi0uzszPAykwNKkFAKNIKuotAAAA"/>
  </w:docVars>
  <w:rsids>
    <w:rsidRoot w:val="003E3619"/>
    <w:rsid w:val="00002F32"/>
    <w:rsid w:val="0001420C"/>
    <w:rsid w:val="00015A61"/>
    <w:rsid w:val="00032FBF"/>
    <w:rsid w:val="00037CCA"/>
    <w:rsid w:val="0004729B"/>
    <w:rsid w:val="000542AA"/>
    <w:rsid w:val="00056C62"/>
    <w:rsid w:val="00072756"/>
    <w:rsid w:val="000812E1"/>
    <w:rsid w:val="00085969"/>
    <w:rsid w:val="00096DEE"/>
    <w:rsid w:val="000B5DAE"/>
    <w:rsid w:val="000E05CC"/>
    <w:rsid w:val="00103CD7"/>
    <w:rsid w:val="00114589"/>
    <w:rsid w:val="001400A3"/>
    <w:rsid w:val="001475AF"/>
    <w:rsid w:val="00157CFA"/>
    <w:rsid w:val="0016478E"/>
    <w:rsid w:val="0018708A"/>
    <w:rsid w:val="00196247"/>
    <w:rsid w:val="001B141A"/>
    <w:rsid w:val="001B648F"/>
    <w:rsid w:val="00210F6A"/>
    <w:rsid w:val="002131F1"/>
    <w:rsid w:val="0022697A"/>
    <w:rsid w:val="00250363"/>
    <w:rsid w:val="002536F8"/>
    <w:rsid w:val="00262515"/>
    <w:rsid w:val="002634A8"/>
    <w:rsid w:val="002728F4"/>
    <w:rsid w:val="00275F2C"/>
    <w:rsid w:val="0029276B"/>
    <w:rsid w:val="002C12FD"/>
    <w:rsid w:val="002C395F"/>
    <w:rsid w:val="002C3B33"/>
    <w:rsid w:val="002D70BA"/>
    <w:rsid w:val="002E7662"/>
    <w:rsid w:val="003004AD"/>
    <w:rsid w:val="00304DF1"/>
    <w:rsid w:val="00315C00"/>
    <w:rsid w:val="00346D04"/>
    <w:rsid w:val="00371F3A"/>
    <w:rsid w:val="0038610F"/>
    <w:rsid w:val="0039222F"/>
    <w:rsid w:val="00393997"/>
    <w:rsid w:val="003B2AC7"/>
    <w:rsid w:val="003E3619"/>
    <w:rsid w:val="0043055F"/>
    <w:rsid w:val="00435DB4"/>
    <w:rsid w:val="004511FD"/>
    <w:rsid w:val="00456F03"/>
    <w:rsid w:val="00473127"/>
    <w:rsid w:val="00480ADE"/>
    <w:rsid w:val="00490319"/>
    <w:rsid w:val="0049100E"/>
    <w:rsid w:val="004B2FDE"/>
    <w:rsid w:val="004C143C"/>
    <w:rsid w:val="004D7721"/>
    <w:rsid w:val="004E1427"/>
    <w:rsid w:val="004E2086"/>
    <w:rsid w:val="004E25A2"/>
    <w:rsid w:val="004F01B5"/>
    <w:rsid w:val="004F5EA9"/>
    <w:rsid w:val="00512E74"/>
    <w:rsid w:val="00513741"/>
    <w:rsid w:val="00534771"/>
    <w:rsid w:val="00553547"/>
    <w:rsid w:val="005540FC"/>
    <w:rsid w:val="0059065B"/>
    <w:rsid w:val="00591F3C"/>
    <w:rsid w:val="005F0D18"/>
    <w:rsid w:val="005F6A8B"/>
    <w:rsid w:val="006025B2"/>
    <w:rsid w:val="00614024"/>
    <w:rsid w:val="00614364"/>
    <w:rsid w:val="00646155"/>
    <w:rsid w:val="0068029F"/>
    <w:rsid w:val="00692B76"/>
    <w:rsid w:val="006A4D15"/>
    <w:rsid w:val="006D3974"/>
    <w:rsid w:val="00700B82"/>
    <w:rsid w:val="0076450E"/>
    <w:rsid w:val="00797DA4"/>
    <w:rsid w:val="007A5208"/>
    <w:rsid w:val="00811262"/>
    <w:rsid w:val="008334CF"/>
    <w:rsid w:val="00853D87"/>
    <w:rsid w:val="00855112"/>
    <w:rsid w:val="00867793"/>
    <w:rsid w:val="008B58F3"/>
    <w:rsid w:val="008D5403"/>
    <w:rsid w:val="008D6FE9"/>
    <w:rsid w:val="008E76F9"/>
    <w:rsid w:val="00904DAA"/>
    <w:rsid w:val="0090687F"/>
    <w:rsid w:val="0092479F"/>
    <w:rsid w:val="00936D79"/>
    <w:rsid w:val="0094193C"/>
    <w:rsid w:val="00943FE3"/>
    <w:rsid w:val="00946717"/>
    <w:rsid w:val="0095543E"/>
    <w:rsid w:val="009776F5"/>
    <w:rsid w:val="00980CDC"/>
    <w:rsid w:val="0099380F"/>
    <w:rsid w:val="009B159D"/>
    <w:rsid w:val="009B1FD2"/>
    <w:rsid w:val="009B5580"/>
    <w:rsid w:val="009F53E7"/>
    <w:rsid w:val="009F7A13"/>
    <w:rsid w:val="00A00923"/>
    <w:rsid w:val="00A32B2B"/>
    <w:rsid w:val="00A62C9B"/>
    <w:rsid w:val="00A67151"/>
    <w:rsid w:val="00A7003E"/>
    <w:rsid w:val="00A773E0"/>
    <w:rsid w:val="00AB0F25"/>
    <w:rsid w:val="00AD1D49"/>
    <w:rsid w:val="00AD3A37"/>
    <w:rsid w:val="00AE72C5"/>
    <w:rsid w:val="00AF1698"/>
    <w:rsid w:val="00B10E49"/>
    <w:rsid w:val="00B11983"/>
    <w:rsid w:val="00B15883"/>
    <w:rsid w:val="00B227F9"/>
    <w:rsid w:val="00B25DBB"/>
    <w:rsid w:val="00B533FF"/>
    <w:rsid w:val="00B703F1"/>
    <w:rsid w:val="00B70D26"/>
    <w:rsid w:val="00B71E18"/>
    <w:rsid w:val="00B7206F"/>
    <w:rsid w:val="00B82865"/>
    <w:rsid w:val="00B86022"/>
    <w:rsid w:val="00B97862"/>
    <w:rsid w:val="00BA1D4A"/>
    <w:rsid w:val="00BA41A6"/>
    <w:rsid w:val="00BB7781"/>
    <w:rsid w:val="00BE3A46"/>
    <w:rsid w:val="00C06B78"/>
    <w:rsid w:val="00C06DB0"/>
    <w:rsid w:val="00C402B9"/>
    <w:rsid w:val="00C51B94"/>
    <w:rsid w:val="00C54967"/>
    <w:rsid w:val="00C5660E"/>
    <w:rsid w:val="00C77129"/>
    <w:rsid w:val="00C9229B"/>
    <w:rsid w:val="00CB1DA2"/>
    <w:rsid w:val="00CD303F"/>
    <w:rsid w:val="00D0356D"/>
    <w:rsid w:val="00D12290"/>
    <w:rsid w:val="00D147A3"/>
    <w:rsid w:val="00D42024"/>
    <w:rsid w:val="00D60E21"/>
    <w:rsid w:val="00DA52B6"/>
    <w:rsid w:val="00DB0F3F"/>
    <w:rsid w:val="00DB161E"/>
    <w:rsid w:val="00DB6365"/>
    <w:rsid w:val="00DB725A"/>
    <w:rsid w:val="00DC0CDC"/>
    <w:rsid w:val="00DD6366"/>
    <w:rsid w:val="00E001C0"/>
    <w:rsid w:val="00E01E4A"/>
    <w:rsid w:val="00E046B9"/>
    <w:rsid w:val="00E068E1"/>
    <w:rsid w:val="00E12249"/>
    <w:rsid w:val="00E32BA9"/>
    <w:rsid w:val="00E347BD"/>
    <w:rsid w:val="00E40E2E"/>
    <w:rsid w:val="00E80E2F"/>
    <w:rsid w:val="00E92584"/>
    <w:rsid w:val="00EB3BB2"/>
    <w:rsid w:val="00EF5234"/>
    <w:rsid w:val="00F21F0E"/>
    <w:rsid w:val="00F32421"/>
    <w:rsid w:val="00F7590F"/>
    <w:rsid w:val="00F92D79"/>
    <w:rsid w:val="00FB4812"/>
    <w:rsid w:val="00FB5A9F"/>
    <w:rsid w:val="00FC0A65"/>
    <w:rsid w:val="00F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D6C63"/>
  <w15:chartTrackingRefBased/>
  <w15:docId w15:val="{B5B62702-DBE3-4E65-B80D-D8D79B1F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A8B"/>
  </w:style>
  <w:style w:type="paragraph" w:styleId="a5">
    <w:name w:val="footer"/>
    <w:basedOn w:val="a"/>
    <w:link w:val="a6"/>
    <w:uiPriority w:val="99"/>
    <w:unhideWhenUsed/>
    <w:rsid w:val="005F6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A8B"/>
  </w:style>
  <w:style w:type="table" w:styleId="a7">
    <w:name w:val="Table Grid"/>
    <w:basedOn w:val="a1"/>
    <w:uiPriority w:val="39"/>
    <w:rsid w:val="005F6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6A8B"/>
    <w:pPr>
      <w:ind w:leftChars="400" w:left="840"/>
    </w:pPr>
  </w:style>
  <w:style w:type="paragraph" w:styleId="a9">
    <w:name w:val="Revision"/>
    <w:hidden/>
    <w:uiPriority w:val="99"/>
    <w:semiHidden/>
    <w:rsid w:val="00B703F1"/>
  </w:style>
  <w:style w:type="character" w:styleId="aa">
    <w:name w:val="Placeholder Text"/>
    <w:basedOn w:val="a0"/>
    <w:uiPriority w:val="99"/>
    <w:semiHidden/>
    <w:rsid w:val="005F0D18"/>
    <w:rPr>
      <w:color w:val="808080"/>
    </w:rPr>
  </w:style>
  <w:style w:type="paragraph" w:styleId="ab">
    <w:name w:val="footnote text"/>
    <w:basedOn w:val="a"/>
    <w:link w:val="ac"/>
    <w:uiPriority w:val="99"/>
    <w:unhideWhenUsed/>
    <w:rsid w:val="00210F6A"/>
    <w:pPr>
      <w:snapToGrid w:val="0"/>
      <w:jc w:val="left"/>
    </w:pPr>
    <w:rPr>
      <w:rFonts w:eastAsia="Times New Roman"/>
      <w:sz w:val="18"/>
    </w:rPr>
  </w:style>
  <w:style w:type="character" w:customStyle="1" w:styleId="ac">
    <w:name w:val="脚注文字列 (文字)"/>
    <w:basedOn w:val="a0"/>
    <w:link w:val="ab"/>
    <w:uiPriority w:val="99"/>
    <w:rsid w:val="00210F6A"/>
    <w:rPr>
      <w:rFonts w:eastAsia="Times New Roman"/>
      <w:sz w:val="18"/>
    </w:rPr>
  </w:style>
  <w:style w:type="character" w:styleId="ad">
    <w:name w:val="footnote reference"/>
    <w:basedOn w:val="a0"/>
    <w:uiPriority w:val="99"/>
    <w:semiHidden/>
    <w:unhideWhenUsed/>
    <w:rsid w:val="00210F6A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38610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8610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8610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8610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861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B47B287E-0A7D-49A9-8F16-2622FA04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夫津木 廣大</dc:creator>
  <cp:keywords/>
  <dc:description/>
  <cp:lastModifiedBy>夫津木 廣大</cp:lastModifiedBy>
  <cp:revision>26</cp:revision>
  <dcterms:created xsi:type="dcterms:W3CDTF">2022-02-15T14:02:00Z</dcterms:created>
  <dcterms:modified xsi:type="dcterms:W3CDTF">2022-06-15T14:32:00Z</dcterms:modified>
</cp:coreProperties>
</file>