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spacing w:line="240" w:lineRule="auto"/>
        <w:rPr>
          <w:b w:val="0"/>
        </w:rPr>
      </w:pPr>
      <w:r>
        <w:t>Supplementary Material</w:t>
      </w:r>
    </w:p>
    <w:p>
      <w:pPr>
        <w:pStyle w:val="2"/>
        <w:spacing w:line="240" w:lineRule="auto"/>
      </w:pPr>
      <w:r>
        <w:t>Supplementary Data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>Table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GB"/>
        </w:rPr>
        <w:t>. Participants’ demographic characteristics and the total scores of SCL-90-R (n=1262)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7"/>
        <w:gridCol w:w="2640"/>
        <w:gridCol w:w="1352"/>
        <w:gridCol w:w="1408"/>
        <w:gridCol w:w="9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tcBorders>
              <w:bottom w:val="single" w:color="auto" w:sz="4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color="000000"/>
              </w:rPr>
              <w:t>V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ariables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color="000000"/>
              </w:rPr>
              <w:t>Categories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u w:color="000000"/>
              </w:rPr>
              <w:t>n (%)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Mean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4"/>
                <w:szCs w:val="24"/>
                <w:u w:color="000000"/>
              </w:rPr>
              <w:t>± S. D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  <w:u w:color="000000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9" w:hRule="atLeast"/>
          <w:jc w:val="center"/>
        </w:trPr>
        <w:tc>
          <w:tcPr>
            <w:tcW w:w="3557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Sex</w:t>
            </w:r>
          </w:p>
        </w:tc>
        <w:tc>
          <w:tcPr>
            <w:tcW w:w="264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Male</w:t>
            </w:r>
          </w:p>
        </w:tc>
        <w:tc>
          <w:tcPr>
            <w:tcW w:w="13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613 (48.57)</w:t>
            </w:r>
          </w:p>
        </w:tc>
        <w:tc>
          <w:tcPr>
            <w:tcW w:w="140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1.25 ± 0.21</w:t>
            </w:r>
          </w:p>
        </w:tc>
        <w:tc>
          <w:tcPr>
            <w:tcW w:w="9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Female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649 (51.43)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1.31 ± 0.31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Age (years)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60-64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356 (28.21)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1.43 ± 0.37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65-69</w:t>
            </w:r>
          </w:p>
        </w:tc>
        <w:tc>
          <w:tcPr>
            <w:tcW w:w="1352" w:type="dxa"/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248 (19.65)</w:t>
            </w:r>
          </w:p>
        </w:tc>
        <w:tc>
          <w:tcPr>
            <w:tcW w:w="1408" w:type="dxa"/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0.09</w:t>
            </w:r>
          </w:p>
        </w:tc>
        <w:tc>
          <w:tcPr>
            <w:tcW w:w="930" w:type="dxa"/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8" w:hRule="atLeast"/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70-74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227 (17.9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1.27 ± 0.3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75-79</w:t>
            </w:r>
          </w:p>
        </w:tc>
        <w:tc>
          <w:tcPr>
            <w:tcW w:w="1352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204 (16.16)</w:t>
            </w:r>
          </w:p>
        </w:tc>
        <w:tc>
          <w:tcPr>
            <w:tcW w:w="1408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0.17</w:t>
            </w:r>
          </w:p>
        </w:tc>
        <w:tc>
          <w:tcPr>
            <w:tcW w:w="930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≥ 80</w:t>
            </w:r>
          </w:p>
        </w:tc>
        <w:tc>
          <w:tcPr>
            <w:tcW w:w="1352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227 (17.9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1.23 ± 0.14</w:t>
            </w:r>
          </w:p>
        </w:tc>
        <w:tc>
          <w:tcPr>
            <w:tcW w:w="930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Marital status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Married/ Cohabitation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843 (66.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1.27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Widowed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291 (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23.06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1.29 ± 0.26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Others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128 (10.14)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1.34 ± 0.29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Hukou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Agricultural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787 (6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.36)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1.32 ± 0.27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Non-agricultural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475 (37.6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Current residence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Village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478 (37.8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1.33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Town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274 (21.71)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1.33 ± 0.32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County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510 (40.41)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Education level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Illiterate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674 (53.4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1.32 ± 0.28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Literacy class/ home school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192 (15.21)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Primary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school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192 (15.21)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1.22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≥ Junior high school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204 (16.1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1.29 ± 0.3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Average annual household incomes (CNY)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15,000 or lower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260 (20.60)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15,001 ~ 30,000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349 (27.6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1.32 ± 0.27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30,001 ~ 45,000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339 (26.86)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45,001 ~ 60,000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214 (16.96)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60,001 or higher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100 (7.92)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Survival of parents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Both died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741 (58.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1.26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0.00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Father or/ and mother alive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521 (41.28)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1.31 ± 0.32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Living arrangement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Living alone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104 (8.24)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Living with spouse only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400 (31.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Living with children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435 (34.4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0.30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Mixed habitation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235 (18.62)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Others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88 (6.97)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1.37 ± 0.28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Self-rated health status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Very good/ Good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374 (29.6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General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711 (56.3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1.27 ± 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3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Very poor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Poor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177 (14.0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± 0.3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en-US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CNY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China Yuan.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Table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GB"/>
        </w:rPr>
        <w:t>. Assessment results of the respondents’ scores in all dimensions of SCL-90-R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17"/>
        <w:gridCol w:w="2825"/>
        <w:gridCol w:w="3546"/>
        <w:gridCol w:w="1134"/>
        <w:gridCol w:w="8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Dimensions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Reference range of China (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drawing>
                <wp:inline distT="0" distB="0" distL="0" distR="0">
                  <wp:extent cx="381635" cy="203200"/>
                  <wp:effectExtent l="0" t="0" r="14605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48" cy="20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Respondents’ scores in this study (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drawing>
                <wp:inline distT="0" distB="0" distL="0" distR="0">
                  <wp:extent cx="398780" cy="212725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93" cy="2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SOM</w:t>
            </w:r>
          </w:p>
        </w:tc>
        <w:tc>
          <w:tcPr>
            <w:tcW w:w="282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1.40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0.46</w:t>
            </w:r>
          </w:p>
        </w:tc>
        <w:tc>
          <w:tcPr>
            <w:tcW w:w="354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1.78 ± 0.55</w:t>
            </w:r>
          </w:p>
        </w:tc>
        <w:tc>
          <w:tcPr>
            <w:tcW w:w="113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24.67</w:t>
            </w:r>
          </w:p>
        </w:tc>
        <w:tc>
          <w:tcPr>
            <w:tcW w:w="86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OCS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0.56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1.19 ± 0.35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-38.86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INTS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1.38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0.45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1.19 ± 0.27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-23.60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DEPR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0.44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1.17 ± 0.28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-23.31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ANX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0.40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1.19 ± 0.29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HOS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0.44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1.13 ± 0.28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-26.86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PHOA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0.31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1.21 ± 0.36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PARI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1.30 ± 0.42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1.17 ± 0.30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-14.56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PSY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0.35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1.19 ± 0.29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-5.33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Sleeping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 eating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0.59</w:t>
            </w:r>
          </w:p>
        </w:tc>
        <w:tc>
          <w:tcPr>
            <w:tcW w:w="3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1.34 ± 0.48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-12.81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SOM, Somatization; OCS, Obsessive-Compulsive Disorder; INTS, Interpersonal Sensitivity; DEPR, Depression; ANX, Anxiety; HOS, Hostility; PHOA, Phobic Anxiety; PARI, Paranoid Ideation; PSY, Psychoticism.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Table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GB"/>
        </w:rPr>
        <w:t>. Predictors of factors associated with the total score of SCL-90-R among the Hakka elderly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20"/>
        <w:tblW w:w="10837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33"/>
        <w:gridCol w:w="3002"/>
        <w:gridCol w:w="828"/>
        <w:gridCol w:w="689"/>
        <w:gridCol w:w="840"/>
        <w:gridCol w:w="1015"/>
        <w:gridCol w:w="17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  <w:t>Variables</w:t>
            </w:r>
          </w:p>
        </w:tc>
        <w:tc>
          <w:tcPr>
            <w:tcW w:w="3002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sz w:val="24"/>
                <w:szCs w:val="24"/>
                <w:u w:color="000000"/>
                <w:lang w:bidi="en-US"/>
              </w:rPr>
              <w:t>Categories</w:t>
            </w:r>
          </w:p>
        </w:tc>
        <w:tc>
          <w:tcPr>
            <w:tcW w:w="828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β</w:t>
            </w:r>
          </w:p>
        </w:tc>
        <w:tc>
          <w:tcPr>
            <w:tcW w:w="689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sz w:val="24"/>
                <w:szCs w:val="24"/>
                <w:lang w:bidi="en-US"/>
              </w:rPr>
              <w:t>S. E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en-US" w:eastAsia="de-DE" w:bidi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bidi="en-US"/>
              </w:rPr>
              <w:t>t</w:t>
            </w:r>
          </w:p>
        </w:tc>
        <w:tc>
          <w:tcPr>
            <w:tcW w:w="1015" w:type="dxa"/>
            <w:tcBorders>
              <w:bottom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napToGrid w:val="0"/>
                <w:sz w:val="24"/>
                <w:szCs w:val="24"/>
                <w:u w:color="000000"/>
                <w:lang w:bidi="en-US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b/>
                <w:snapToGrid w:val="0"/>
                <w:sz w:val="24"/>
                <w:szCs w:val="24"/>
                <w:u w:color="000000"/>
                <w:lang w:val="de-DE" w:eastAsia="de-DE" w:bidi="en-US"/>
              </w:rPr>
              <w:t xml:space="preserve"> value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vAlign w:val="center"/>
          </w:tcPr>
          <w:p>
            <w:pPr>
              <w:pStyle w:val="5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β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Sex (ref= male)</w:t>
            </w:r>
          </w:p>
        </w:tc>
        <w:tc>
          <w:tcPr>
            <w:tcW w:w="3002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Female</w:t>
            </w:r>
          </w:p>
        </w:tc>
        <w:tc>
          <w:tcPr>
            <w:tcW w:w="82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0.030</w:t>
            </w:r>
          </w:p>
        </w:tc>
        <w:tc>
          <w:tcPr>
            <w:tcW w:w="689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0.015</w:t>
            </w:r>
          </w:p>
        </w:tc>
        <w:tc>
          <w:tcPr>
            <w:tcW w:w="840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2.019</w:t>
            </w:r>
          </w:p>
        </w:tc>
        <w:tc>
          <w:tcPr>
            <w:tcW w:w="1015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0.044</w:t>
            </w:r>
          </w:p>
        </w:tc>
        <w:tc>
          <w:tcPr>
            <w:tcW w:w="1730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(0.001, 0.060)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Age (ref= 60-64)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65-69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-0.222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-9.907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(-2.267, -0.178)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70-74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-0.145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-5.903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(-0.193, -0.097)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75-79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-0.243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-9.040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(-0.296, -0.190)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≥ 80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-0.224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-8.053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u w:color="000000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(-0.278, -0.169)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Marital status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(ref = 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arried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cohabitation)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Widowed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0.053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2.319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(0.008, 0.097)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Others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0.047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1.739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0.082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(-0.006, 0.100)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Hukou (ref = 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gricultural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on-agricultur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al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-0.009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-0.336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0.737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(-0.059, 0.042)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Current residence (ref = village)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Town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-0.091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-4.356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(-0.132, -0.050)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County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0.028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0.972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0.331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(-0.029, 0.086)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Education level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(ref = illiterate)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Literacy class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home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school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-0.071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-2.796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(-0.120, -0.021)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Primary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school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-0.061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-2.189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0.029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(-0.115, -0.006)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≥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Junior high school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0.012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0.408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0.683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(-0.047, 0.072)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Average annual household incomes (ref = 15,000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color="000000"/>
                <w:lang w:val="en-US" w:eastAsia="zh-CN" w:bidi="ar-SA"/>
              </w:rPr>
              <w:t>or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lower)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15,000 ~ 30,000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-0.028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-1.329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0.184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(-0.068, 0.013)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30,001 ~ 45,000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-0.087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-3.342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(-0.138, -0.036)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45,001 ~ 60,000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-0.103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-3.294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(-0.164, -0.042)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60,001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color="000000"/>
                <w:lang w:val="en-US" w:eastAsia="zh-CN" w:bidi="ar-SA"/>
              </w:rPr>
              <w:t>or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higher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-0.138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-3.550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(-0.214, -0.062)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Survival of parents (ref= both died)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Father or/ and mother alive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0.047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0.019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2.431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0.015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(0.009, 0.085)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Living arrangement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(ref = living alone)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Living with spouse only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-0.075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-2.167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(-0.142, -0.007)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Living with children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-0.104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-3.170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(-0.169, -0.040)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Mixed habitation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0.100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3.225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(0.039, 0.160)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Others 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0.123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0.039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3.175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0.002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(0.047, 0.198)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restart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de-DE" w:eastAsia="de-DE" w:bidi="ar-SA"/>
              </w:rPr>
              <w:t>Self-rated health status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(ref = very good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Good)</w:t>
            </w: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de-DE" w:bidi="ar-SA"/>
              </w:rPr>
              <w:t>General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0.021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0.018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1.130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0.259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(-0.015, 0.056)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 w:hRule="atLeast"/>
          <w:jc w:val="center"/>
        </w:trPr>
        <w:tc>
          <w:tcPr>
            <w:tcW w:w="2733" w:type="dxa"/>
            <w:vMerge w:val="continue"/>
            <w:tcBorders>
              <w:tl2br w:val="nil"/>
              <w:tr2bl w:val="nil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</w:p>
        </w:tc>
        <w:tc>
          <w:tcPr>
            <w:tcW w:w="300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>Very poor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color="000000"/>
                <w:lang w:val="en-US" w:eastAsia="en-US" w:bidi="ar-SA"/>
              </w:rPr>
              <w:t xml:space="preserve"> Poor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u w:color="000000"/>
                <w:lang w:bidi="en-US"/>
              </w:rPr>
              <w:t>0.110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0.026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4.182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&lt; 0.001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val="en-US" w:eastAsia="en-US" w:bidi="en-US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sz w:val="24"/>
                <w:szCs w:val="24"/>
                <w:u w:color="000000"/>
                <w:lang w:bidi="en-US"/>
              </w:rPr>
              <w:t>(0.058, 0.162)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40" w:line="240" w:lineRule="auto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 Pro">
    <w:altName w:val="Segoe Print"/>
    <w:panose1 w:val="02040503050306020203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ZmYyZjkxOWEzZmNkNjlhYmExMjJiNWIzZjNjZTY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4AA0EF1"/>
    <w:rsid w:val="09196B84"/>
    <w:rsid w:val="1D2969E7"/>
    <w:rsid w:val="282E1D16"/>
    <w:rsid w:val="2E1075E3"/>
    <w:rsid w:val="497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M_deck_5_table_body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hAnsi="Minion Pro" w:eastAsia="Times New Roman"/>
    </w:rPr>
  </w:style>
  <w:style w:type="paragraph" w:customStyle="1" w:styleId="54">
    <w:name w:val="列表段落1"/>
    <w:basedOn w:val="1"/>
    <w:qFormat/>
    <w:uiPriority w:val="0"/>
    <w:pPr>
      <w:ind w:firstLine="420" w:firstLineChars="200"/>
    </w:pPr>
  </w:style>
  <w:style w:type="paragraph" w:customStyle="1" w:styleId="55">
    <w:name w:val="列表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7</Pages>
  <Words>1042</Words>
  <Characters>5205</Characters>
  <Lines>11</Lines>
  <Paragraphs>3</Paragraphs>
  <TotalTime>6</TotalTime>
  <ScaleCrop>false</ScaleCrop>
  <LinksUpToDate>false</LinksUpToDate>
  <CharactersWithSpaces>5734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刘晓君</cp:lastModifiedBy>
  <cp:lastPrinted>2013-10-03T12:51:00Z</cp:lastPrinted>
  <dcterms:modified xsi:type="dcterms:W3CDTF">2022-06-27T08:19:54Z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2C50A16367C24F1DB944FCDED0F13411</vt:lpwstr>
  </property>
</Properties>
</file>