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A9FC328" w14:textId="77777777" w:rsidR="00077417" w:rsidRDefault="00077417" w:rsidP="00077417">
      <w:pPr>
        <w:spacing w:after="0" w:line="300" w:lineRule="atLeast"/>
        <w:jc w:val="both"/>
        <w:rPr>
          <w:rFonts w:asciiTheme="majorHAnsi" w:hAnsiTheme="majorHAnsi"/>
          <w:szCs w:val="24"/>
        </w:rPr>
      </w:pPr>
    </w:p>
    <w:p w14:paraId="6161323C" w14:textId="4F42B4E3" w:rsidR="00C9338E" w:rsidRPr="003A0A10" w:rsidRDefault="00C9338E" w:rsidP="00C9338E">
      <w:pPr>
        <w:spacing w:line="300" w:lineRule="atLeast"/>
        <w:jc w:val="center"/>
        <w:rPr>
          <w:rFonts w:asciiTheme="majorHAnsi" w:hAnsiTheme="majorHAnsi"/>
          <w:b/>
          <w:bCs/>
          <w:szCs w:val="24"/>
        </w:rPr>
      </w:pPr>
      <w:r w:rsidRPr="003A0A10">
        <w:rPr>
          <w:rFonts w:asciiTheme="majorHAnsi" w:hAnsiTheme="majorHAnsi"/>
          <w:b/>
          <w:bCs/>
        </w:rPr>
        <w:t>The d</w:t>
      </w:r>
      <w:r w:rsidRPr="003A0A10">
        <w:rPr>
          <w:rFonts w:asciiTheme="majorHAnsi" w:hAnsiTheme="majorHAnsi"/>
          <w:b/>
          <w:bCs/>
        </w:rPr>
        <w:t xml:space="preserve">etermination of </w:t>
      </w:r>
      <w:r w:rsidRPr="003A0A10">
        <w:rPr>
          <w:rFonts w:asciiTheme="majorHAnsi" w:hAnsiTheme="majorHAnsi"/>
          <w:b/>
          <w:bCs/>
        </w:rPr>
        <w:t xml:space="preserve">the </w:t>
      </w:r>
      <w:r w:rsidRPr="003A0A10">
        <w:rPr>
          <w:rFonts w:asciiTheme="majorHAnsi" w:hAnsiTheme="majorHAnsi"/>
          <w:b/>
          <w:bCs/>
        </w:rPr>
        <w:t>composition</w:t>
      </w:r>
      <w:r w:rsidRPr="003A0A10">
        <w:rPr>
          <w:rFonts w:asciiTheme="majorHAnsi" w:hAnsiTheme="majorHAnsi"/>
          <w:b/>
          <w:bCs/>
        </w:rPr>
        <w:t xml:space="preserve"> of</w:t>
      </w:r>
      <w:r w:rsidRPr="003A0A10">
        <w:rPr>
          <w:rFonts w:asciiTheme="majorHAnsi" w:hAnsiTheme="majorHAnsi"/>
          <w:b/>
          <w:bCs/>
        </w:rPr>
        <w:t xml:space="preserve"> hydrogel</w:t>
      </w:r>
      <w:r w:rsidRPr="003A0A10">
        <w:rPr>
          <w:rFonts w:asciiTheme="majorHAnsi" w:hAnsiTheme="majorHAnsi"/>
          <w:b/>
          <w:bCs/>
        </w:rPr>
        <w:t>s</w:t>
      </w:r>
    </w:p>
    <w:p w14:paraId="2E0E7FDE" w14:textId="6A192304" w:rsidR="00077417" w:rsidRDefault="00077417" w:rsidP="00077417">
      <w:pPr>
        <w:spacing w:line="300" w:lineRule="atLeast"/>
        <w:jc w:val="both"/>
        <w:rPr>
          <w:rFonts w:asciiTheme="majorHAnsi" w:hAnsiTheme="majorHAnsi"/>
          <w:b/>
          <w:szCs w:val="24"/>
        </w:rPr>
      </w:pPr>
      <w:r w:rsidRPr="00D55FA5">
        <w:rPr>
          <w:rFonts w:asciiTheme="majorHAnsi" w:hAnsiTheme="majorHAnsi"/>
          <w:b/>
          <w:szCs w:val="24"/>
        </w:rPr>
        <w:t xml:space="preserve">Calibration </w:t>
      </w:r>
      <w:r>
        <w:rPr>
          <w:rFonts w:asciiTheme="majorHAnsi" w:hAnsiTheme="majorHAnsi"/>
          <w:b/>
          <w:szCs w:val="24"/>
        </w:rPr>
        <w:t>solutions</w:t>
      </w:r>
    </w:p>
    <w:p w14:paraId="7D4C332C" w14:textId="77777777" w:rsidR="00077417" w:rsidRDefault="00077417" w:rsidP="00077417">
      <w:pPr>
        <w:spacing w:after="0" w:line="300" w:lineRule="atLeast"/>
        <w:ind w:firstLine="22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Stock solutions of native hyaluronan of two different molecular weights (LMW and HMW) and </w:t>
      </w:r>
      <w:proofErr w:type="spellStart"/>
      <w:r>
        <w:rPr>
          <w:rFonts w:asciiTheme="majorHAnsi" w:hAnsiTheme="majorHAnsi"/>
          <w:szCs w:val="24"/>
        </w:rPr>
        <w:t>Septonex</w:t>
      </w:r>
      <w:proofErr w:type="spellEnd"/>
      <w:r>
        <w:rPr>
          <w:rFonts w:asciiTheme="majorHAnsi" w:hAnsiTheme="majorHAnsi"/>
          <w:szCs w:val="24"/>
        </w:rPr>
        <w:t xml:space="preserve"> were prepared in deionized water (</w:t>
      </w:r>
      <w:proofErr w:type="spellStart"/>
      <w:r>
        <w:rPr>
          <w:rFonts w:asciiTheme="majorHAnsi" w:hAnsiTheme="majorHAnsi"/>
          <w:szCs w:val="24"/>
        </w:rPr>
        <w:t>UltraPure</w:t>
      </w:r>
      <w:proofErr w:type="spellEnd"/>
      <w:r>
        <w:rPr>
          <w:rFonts w:asciiTheme="majorHAnsi" w:hAnsiTheme="majorHAnsi"/>
          <w:szCs w:val="24"/>
        </w:rPr>
        <w:t xml:space="preserve"> water system,) to a concentration of 1% (</w:t>
      </w:r>
      <w:proofErr w:type="spellStart"/>
      <w:r>
        <w:rPr>
          <w:rFonts w:asciiTheme="majorHAnsi" w:hAnsiTheme="majorHAnsi"/>
          <w:szCs w:val="24"/>
        </w:rPr>
        <w:t>wt</w:t>
      </w:r>
      <w:proofErr w:type="spellEnd"/>
      <w:r>
        <w:rPr>
          <w:rFonts w:asciiTheme="majorHAnsi" w:hAnsiTheme="majorHAnsi"/>
          <w:szCs w:val="24"/>
        </w:rPr>
        <w:t>/vol) and 500 mM, respectively.</w:t>
      </w:r>
    </w:p>
    <w:p w14:paraId="6F5422C8" w14:textId="3087014B" w:rsidR="00077417" w:rsidRDefault="00077417" w:rsidP="00077417">
      <w:pPr>
        <w:spacing w:after="0" w:line="300" w:lineRule="atLeast"/>
        <w:ind w:firstLine="22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Calibration solutions of hyaluronan were prepared at the concentration range between 0.01–0.2% (</w:t>
      </w:r>
      <w:proofErr w:type="spellStart"/>
      <w:r>
        <w:rPr>
          <w:rFonts w:asciiTheme="majorHAnsi" w:hAnsiTheme="majorHAnsi"/>
          <w:szCs w:val="24"/>
        </w:rPr>
        <w:t>wt</w:t>
      </w:r>
      <w:proofErr w:type="spellEnd"/>
      <w:r>
        <w:rPr>
          <w:rFonts w:asciiTheme="majorHAnsi" w:hAnsiTheme="majorHAnsi"/>
          <w:szCs w:val="24"/>
        </w:rPr>
        <w:t>/vol) for the HMW-hyaluronan and 0.01–1 (</w:t>
      </w:r>
      <w:proofErr w:type="spellStart"/>
      <w:r>
        <w:rPr>
          <w:rFonts w:asciiTheme="majorHAnsi" w:hAnsiTheme="majorHAnsi"/>
          <w:szCs w:val="24"/>
        </w:rPr>
        <w:t>wt</w:t>
      </w:r>
      <w:proofErr w:type="spellEnd"/>
      <w:r>
        <w:rPr>
          <w:rFonts w:asciiTheme="majorHAnsi" w:hAnsiTheme="majorHAnsi"/>
          <w:szCs w:val="24"/>
        </w:rPr>
        <w:t xml:space="preserve">/vol) for the LMW hyaluronan. Furthermore, the calibration solutions of </w:t>
      </w:r>
      <w:proofErr w:type="spellStart"/>
      <w:r>
        <w:rPr>
          <w:rFonts w:asciiTheme="majorHAnsi" w:hAnsiTheme="majorHAnsi"/>
          <w:szCs w:val="24"/>
        </w:rPr>
        <w:t>Septonex</w:t>
      </w:r>
      <w:proofErr w:type="spellEnd"/>
      <w:r>
        <w:rPr>
          <w:rFonts w:asciiTheme="majorHAnsi" w:hAnsiTheme="majorHAnsi"/>
          <w:szCs w:val="24"/>
        </w:rPr>
        <w:t xml:space="preserve"> in the range 1–30 mM were prepared.</w:t>
      </w:r>
    </w:p>
    <w:p w14:paraId="09C73FFB" w14:textId="77777777" w:rsidR="00077417" w:rsidRPr="00036A66" w:rsidRDefault="00077417" w:rsidP="00077417">
      <w:pPr>
        <w:spacing w:before="240" w:line="300" w:lineRule="atLeast"/>
        <w:jc w:val="both"/>
        <w:rPr>
          <w:rFonts w:asciiTheme="majorHAnsi" w:hAnsiTheme="majorHAnsi"/>
          <w:b/>
          <w:szCs w:val="24"/>
        </w:rPr>
      </w:pPr>
      <w:r w:rsidRPr="00036A66">
        <w:rPr>
          <w:rFonts w:asciiTheme="majorHAnsi" w:hAnsiTheme="majorHAnsi"/>
          <w:b/>
          <w:szCs w:val="24"/>
        </w:rPr>
        <w:t>ATR</w:t>
      </w:r>
      <w:r>
        <w:rPr>
          <w:rFonts w:asciiTheme="majorHAnsi" w:hAnsiTheme="majorHAnsi"/>
          <w:b/>
          <w:szCs w:val="24"/>
        </w:rPr>
        <w:t xml:space="preserve">-FTIR </w:t>
      </w:r>
      <w:r w:rsidRPr="00036A66">
        <w:rPr>
          <w:rFonts w:asciiTheme="majorHAnsi" w:hAnsiTheme="majorHAnsi"/>
          <w:b/>
          <w:szCs w:val="24"/>
        </w:rPr>
        <w:t>spectroscopy</w:t>
      </w:r>
    </w:p>
    <w:p w14:paraId="3BEE3442" w14:textId="77777777" w:rsidR="00077417" w:rsidRDefault="00077417" w:rsidP="00077417">
      <w:pPr>
        <w:spacing w:after="0" w:line="300" w:lineRule="atLeast"/>
        <w:ind w:firstLine="22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The ATR-FTIR technique was used for measurement of calibration curves. Fourier transform infrared (FTIR) spectra of the solutions were recorded on Nicolet </w:t>
      </w:r>
      <w:r w:rsidRPr="009B758C">
        <w:rPr>
          <w:rFonts w:asciiTheme="majorHAnsi" w:hAnsiTheme="majorHAnsi"/>
          <w:i/>
          <w:szCs w:val="24"/>
        </w:rPr>
        <w:t>i</w:t>
      </w:r>
      <w:r>
        <w:rPr>
          <w:rFonts w:asciiTheme="majorHAnsi" w:hAnsiTheme="majorHAnsi"/>
          <w:szCs w:val="24"/>
        </w:rPr>
        <w:t>S50 spectrometer (</w:t>
      </w:r>
      <w:proofErr w:type="spellStart"/>
      <w:r>
        <w:rPr>
          <w:rFonts w:asciiTheme="majorHAnsi" w:hAnsiTheme="majorHAnsi"/>
          <w:szCs w:val="24"/>
        </w:rPr>
        <w:t>Thermo</w:t>
      </w:r>
      <w:proofErr w:type="spellEnd"/>
      <w:r>
        <w:rPr>
          <w:rFonts w:asciiTheme="majorHAnsi" w:hAnsiTheme="majorHAnsi"/>
          <w:szCs w:val="24"/>
        </w:rPr>
        <w:t xml:space="preserve"> Fisher Scientific, Waltham, MA, USA) using the Attenuated Total Reflectance (ATR) measuring technique (single-reflection built-in diamond ATR crystal). All measurements were taken at 25°C in the spectral range 4000–400 cm</w:t>
      </w:r>
      <w:r w:rsidRPr="009B758C">
        <w:rPr>
          <w:rFonts w:asciiTheme="majorHAnsi" w:hAnsiTheme="majorHAnsi"/>
          <w:szCs w:val="24"/>
          <w:vertAlign w:val="superscript"/>
        </w:rPr>
        <w:t>–1</w:t>
      </w:r>
      <w:r>
        <w:rPr>
          <w:rFonts w:asciiTheme="majorHAnsi" w:hAnsiTheme="majorHAnsi"/>
          <w:szCs w:val="24"/>
        </w:rPr>
        <w:t xml:space="preserve"> at 4 cm</w:t>
      </w:r>
      <w:r w:rsidRPr="009B758C">
        <w:rPr>
          <w:rFonts w:cs="Times New Roman"/>
          <w:szCs w:val="24"/>
          <w:vertAlign w:val="superscript"/>
        </w:rPr>
        <w:t>−</w:t>
      </w:r>
      <w:r w:rsidRPr="009B758C">
        <w:rPr>
          <w:rFonts w:asciiTheme="majorHAnsi" w:hAnsiTheme="majorHAnsi"/>
          <w:szCs w:val="24"/>
          <w:vertAlign w:val="superscript"/>
        </w:rPr>
        <w:t>1</w:t>
      </w:r>
      <w:r>
        <w:rPr>
          <w:rFonts w:asciiTheme="majorHAnsi" w:hAnsiTheme="majorHAnsi"/>
          <w:szCs w:val="24"/>
        </w:rPr>
        <w:t xml:space="preserve"> resolutions as an average of 64 scans. For steady-state measurement, a very small amount (exactly 0.4 </w:t>
      </w:r>
      <w:proofErr w:type="spellStart"/>
      <w:r w:rsidRPr="00114B84">
        <w:rPr>
          <w:rFonts w:asciiTheme="majorHAnsi" w:hAnsiTheme="majorHAnsi" w:cs="Times New Roman"/>
          <w:szCs w:val="24"/>
        </w:rPr>
        <w:t>μ</w:t>
      </w:r>
      <w:r w:rsidRPr="00114B84">
        <w:rPr>
          <w:rFonts w:asciiTheme="majorHAnsi" w:hAnsiTheme="majorHAnsi"/>
          <w:szCs w:val="24"/>
        </w:rPr>
        <w:t>l</w:t>
      </w:r>
      <w:proofErr w:type="spellEnd"/>
      <w:r>
        <w:rPr>
          <w:rFonts w:asciiTheme="majorHAnsi" w:hAnsiTheme="majorHAnsi"/>
          <w:szCs w:val="24"/>
        </w:rPr>
        <w:t>) of the calibration solution was placed directly on the clean dry surface of the diamond ATR crystal. After evaporated solvent (water) from sample measurement was started.</w:t>
      </w:r>
    </w:p>
    <w:p w14:paraId="3C57AB08" w14:textId="5F37403B" w:rsidR="00077417" w:rsidRDefault="00077417" w:rsidP="00077417">
      <w:pPr>
        <w:spacing w:after="360" w:line="300" w:lineRule="atLeast"/>
        <w:jc w:val="both"/>
        <w:rPr>
          <w:rFonts w:asciiTheme="majorHAnsi" w:hAnsiTheme="majorHAnsi"/>
          <w:szCs w:val="24"/>
        </w:rPr>
      </w:pPr>
      <w:r w:rsidRPr="00E04AD4">
        <w:rPr>
          <w:rFonts w:asciiTheme="majorHAnsi" w:hAnsiTheme="majorHAnsi"/>
          <w:szCs w:val="24"/>
        </w:rPr>
        <w:t xml:space="preserve">Calibration curves </w:t>
      </w:r>
      <w:r w:rsidR="00464BC4">
        <w:rPr>
          <w:rFonts w:asciiTheme="majorHAnsi" w:hAnsiTheme="majorHAnsi"/>
          <w:szCs w:val="24"/>
        </w:rPr>
        <w:t>are shown in supplementary figures</w:t>
      </w:r>
      <w:r w:rsidR="00626319">
        <w:rPr>
          <w:rFonts w:asciiTheme="majorHAnsi" w:hAnsiTheme="majorHAnsi"/>
          <w:szCs w:val="24"/>
        </w:rPr>
        <w:t xml:space="preserve"> S1-S3</w:t>
      </w:r>
      <w:r w:rsidR="00464BC4">
        <w:rPr>
          <w:rFonts w:asciiTheme="majorHAnsi" w:hAnsiTheme="majorHAnsi"/>
          <w:szCs w:val="24"/>
        </w:rPr>
        <w:t>.</w:t>
      </w:r>
    </w:p>
    <w:p w14:paraId="0A4930B2" w14:textId="77777777" w:rsidR="00077417" w:rsidRDefault="00077417" w:rsidP="00077417">
      <w:pPr>
        <w:spacing w:after="0" w:line="300" w:lineRule="atLeast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  <w:lang w:val="cs-CZ" w:eastAsia="cs-CZ"/>
        </w:rPr>
        <w:lastRenderedPageBreak/>
        <w:drawing>
          <wp:inline distT="0" distB="0" distL="0" distR="0" wp14:anchorId="4152AE34" wp14:editId="1BF1D051">
            <wp:extent cx="4464000" cy="3625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bration_HM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C786" w14:textId="00C3FF3E" w:rsidR="00077417" w:rsidRDefault="00077417" w:rsidP="00077417">
      <w:pPr>
        <w:spacing w:before="240" w:after="0" w:line="300" w:lineRule="atLeast"/>
        <w:rPr>
          <w:rFonts w:asciiTheme="majorHAnsi" w:hAnsiTheme="majorHAnsi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E04AD4">
        <w:rPr>
          <w:rFonts w:asciiTheme="majorHAnsi" w:hAnsiTheme="majorHAnsi"/>
          <w:b/>
          <w:szCs w:val="24"/>
        </w:rPr>
        <w:t>Figure S1</w:t>
      </w:r>
      <w:r>
        <w:rPr>
          <w:rFonts w:asciiTheme="majorHAnsi" w:hAnsiTheme="majorHAnsi"/>
          <w:szCs w:val="24"/>
        </w:rPr>
        <w:t>: Calibration curve for HMW hyaluronan at frequencies characteristic for alcoholic functional group (C–O at 1042 cm</w:t>
      </w:r>
      <w:r w:rsidRPr="00E04AD4">
        <w:rPr>
          <w:rFonts w:cs="Times New Roman"/>
          <w:szCs w:val="24"/>
          <w:vertAlign w:val="superscript"/>
        </w:rPr>
        <w:t>−</w:t>
      </w:r>
      <w:r w:rsidRPr="00E04AD4">
        <w:rPr>
          <w:rFonts w:asciiTheme="majorHAnsi" w:hAnsiTheme="majorHAnsi"/>
          <w:szCs w:val="24"/>
          <w:vertAlign w:val="superscript"/>
        </w:rPr>
        <w:t>1</w:t>
      </w:r>
      <w:r>
        <w:rPr>
          <w:rFonts w:asciiTheme="majorHAnsi" w:hAnsiTheme="majorHAnsi"/>
          <w:szCs w:val="24"/>
        </w:rPr>
        <w:t>).</w:t>
      </w:r>
    </w:p>
    <w:p w14:paraId="7A23B05B" w14:textId="46319429" w:rsidR="00464BC4" w:rsidRDefault="00464BC4" w:rsidP="00077417">
      <w:pPr>
        <w:spacing w:before="240" w:after="0" w:line="300" w:lineRule="atLeast"/>
        <w:rPr>
          <w:rFonts w:asciiTheme="majorHAnsi" w:hAnsiTheme="majorHAnsi"/>
          <w:szCs w:val="24"/>
        </w:rPr>
      </w:pPr>
    </w:p>
    <w:p w14:paraId="770DCD12" w14:textId="77777777" w:rsidR="00464BC4" w:rsidRDefault="00464BC4" w:rsidP="00077417">
      <w:pPr>
        <w:spacing w:before="240" w:after="0" w:line="300" w:lineRule="atLeast"/>
        <w:rPr>
          <w:rFonts w:asciiTheme="majorHAnsi" w:hAnsiTheme="majorHAnsi"/>
          <w:szCs w:val="24"/>
        </w:rPr>
      </w:pPr>
    </w:p>
    <w:p w14:paraId="3B3C35A0" w14:textId="77777777" w:rsidR="00077417" w:rsidRDefault="00077417" w:rsidP="00077417">
      <w:pPr>
        <w:spacing w:before="240" w:after="0" w:line="300" w:lineRule="atLeast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  <w:lang w:val="cs-CZ" w:eastAsia="cs-CZ"/>
        </w:rPr>
        <w:lastRenderedPageBreak/>
        <w:drawing>
          <wp:inline distT="0" distB="0" distL="0" distR="0" wp14:anchorId="26D17B95" wp14:editId="4D7ED9E5">
            <wp:extent cx="4222800" cy="362880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bration_LMW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8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FBB7" w14:textId="2C268688" w:rsidR="00077417" w:rsidRDefault="00077417" w:rsidP="00077417">
      <w:pPr>
        <w:spacing w:before="240" w:after="0" w:line="300" w:lineRule="atLeast"/>
        <w:rPr>
          <w:rFonts w:asciiTheme="majorHAnsi" w:hAnsiTheme="majorHAnsi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E04AD4">
        <w:rPr>
          <w:rFonts w:asciiTheme="majorHAnsi" w:hAnsiTheme="majorHAnsi"/>
          <w:b/>
          <w:szCs w:val="24"/>
        </w:rPr>
        <w:t>Figure S</w:t>
      </w:r>
      <w:r>
        <w:rPr>
          <w:rFonts w:asciiTheme="majorHAnsi" w:hAnsiTheme="majorHAnsi"/>
          <w:b/>
          <w:szCs w:val="24"/>
        </w:rPr>
        <w:t>2</w:t>
      </w:r>
      <w:r>
        <w:rPr>
          <w:rFonts w:asciiTheme="majorHAnsi" w:hAnsiTheme="majorHAnsi"/>
          <w:szCs w:val="24"/>
        </w:rPr>
        <w:t>: Calibration curve for LMW hyaluronan at frequencies characteristic for alcoholic functional group (C–O at 1042 cm</w:t>
      </w:r>
      <w:r w:rsidRPr="00E04AD4">
        <w:rPr>
          <w:rFonts w:cs="Times New Roman"/>
          <w:szCs w:val="24"/>
          <w:vertAlign w:val="superscript"/>
        </w:rPr>
        <w:t>−</w:t>
      </w:r>
      <w:r w:rsidRPr="00E04AD4">
        <w:rPr>
          <w:rFonts w:asciiTheme="majorHAnsi" w:hAnsiTheme="majorHAnsi"/>
          <w:szCs w:val="24"/>
          <w:vertAlign w:val="superscript"/>
        </w:rPr>
        <w:t>1</w:t>
      </w:r>
      <w:r>
        <w:rPr>
          <w:rFonts w:asciiTheme="majorHAnsi" w:hAnsiTheme="majorHAnsi"/>
          <w:szCs w:val="24"/>
        </w:rPr>
        <w:t>).</w:t>
      </w:r>
    </w:p>
    <w:p w14:paraId="6B8264FC" w14:textId="77777777" w:rsidR="00077417" w:rsidRDefault="00077417" w:rsidP="00077417">
      <w:pPr>
        <w:spacing w:before="240" w:after="0" w:line="300" w:lineRule="atLeast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  <w:lang w:val="cs-CZ" w:eastAsia="cs-CZ"/>
        </w:rPr>
        <w:drawing>
          <wp:inline distT="0" distB="0" distL="0" distR="0" wp14:anchorId="167A0D12" wp14:editId="63542E13">
            <wp:extent cx="4399200" cy="356400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bration_Septonex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6781261F" w:rsidR="00DE23E8" w:rsidRDefault="00077417" w:rsidP="00464BC4">
      <w:pPr>
        <w:spacing w:before="240" w:after="0" w:line="300" w:lineRule="atLeast"/>
        <w:rPr>
          <w:rFonts w:asciiTheme="majorHAnsi" w:hAnsiTheme="majorHAnsi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E04AD4">
        <w:rPr>
          <w:rFonts w:asciiTheme="majorHAnsi" w:hAnsiTheme="majorHAnsi"/>
          <w:b/>
          <w:szCs w:val="24"/>
        </w:rPr>
        <w:t>Figure S</w:t>
      </w:r>
      <w:r>
        <w:rPr>
          <w:rFonts w:asciiTheme="majorHAnsi" w:hAnsiTheme="majorHAnsi"/>
          <w:b/>
          <w:szCs w:val="24"/>
        </w:rPr>
        <w:t>3</w:t>
      </w:r>
      <w:r>
        <w:rPr>
          <w:rFonts w:asciiTheme="majorHAnsi" w:hAnsiTheme="majorHAnsi"/>
          <w:szCs w:val="24"/>
        </w:rPr>
        <w:t xml:space="preserve">: Calibration curve for </w:t>
      </w:r>
      <w:proofErr w:type="spellStart"/>
      <w:r>
        <w:rPr>
          <w:rFonts w:asciiTheme="majorHAnsi" w:hAnsiTheme="majorHAnsi"/>
          <w:szCs w:val="24"/>
        </w:rPr>
        <w:t>Septonex</w:t>
      </w:r>
      <w:proofErr w:type="spellEnd"/>
      <w:r>
        <w:rPr>
          <w:rFonts w:asciiTheme="majorHAnsi" w:hAnsiTheme="majorHAnsi"/>
          <w:szCs w:val="24"/>
        </w:rPr>
        <w:t xml:space="preserve"> at frequencies characteristic for aliphatic ester functional group (C=O at 1738 cm</w:t>
      </w:r>
      <w:r w:rsidRPr="00E04AD4">
        <w:rPr>
          <w:rFonts w:cs="Times New Roman"/>
          <w:szCs w:val="24"/>
          <w:vertAlign w:val="superscript"/>
        </w:rPr>
        <w:t>−</w:t>
      </w:r>
      <w:r w:rsidRPr="00E04AD4">
        <w:rPr>
          <w:rFonts w:asciiTheme="majorHAnsi" w:hAnsiTheme="majorHAnsi"/>
          <w:szCs w:val="24"/>
          <w:vertAlign w:val="superscript"/>
        </w:rPr>
        <w:t>1</w:t>
      </w:r>
      <w:r>
        <w:rPr>
          <w:rFonts w:asciiTheme="majorHAnsi" w:hAnsiTheme="majorHAnsi"/>
          <w:szCs w:val="24"/>
        </w:rPr>
        <w:t>).</w:t>
      </w:r>
    </w:p>
    <w:p w14:paraId="757F8C73" w14:textId="7070F7AB" w:rsidR="002E0FDA" w:rsidRDefault="002E0FDA" w:rsidP="00464BC4">
      <w:pPr>
        <w:spacing w:before="240" w:after="0" w:line="300" w:lineRule="atLeast"/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  <w:lang w:val="cs-CZ" w:eastAsia="cs-CZ"/>
        </w:rPr>
        <w:lastRenderedPageBreak/>
        <w:drawing>
          <wp:inline distT="0" distB="0" distL="0" distR="0" wp14:anchorId="38DA575A" wp14:editId="60F31541">
            <wp:extent cx="6208395" cy="2762885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4C4E" w14:textId="29C1310C" w:rsidR="002E0FDA" w:rsidRDefault="002E0FDA" w:rsidP="00464BC4">
      <w:pPr>
        <w:spacing w:before="240" w:after="0" w:line="300" w:lineRule="atLeast"/>
        <w:rPr>
          <w:rFonts w:ascii="Cambria" w:hAnsi="Cambria"/>
          <w:szCs w:val="24"/>
        </w:rPr>
      </w:pPr>
      <w:r w:rsidRPr="002E0FDA">
        <w:rPr>
          <w:rFonts w:ascii="Cambria" w:hAnsi="Cambria"/>
          <w:b/>
          <w:szCs w:val="24"/>
        </w:rPr>
        <w:t>Supplementary Figure S4</w:t>
      </w:r>
      <w:r>
        <w:rPr>
          <w:rFonts w:ascii="Cambria" w:hAnsi="Cambria"/>
          <w:szCs w:val="24"/>
        </w:rPr>
        <w:t>: Total part (0–360 min) of raw TGA thermograms recorded during isothermal</w:t>
      </w:r>
      <w:r w:rsidR="00FD5CA4">
        <w:rPr>
          <w:rFonts w:ascii="Cambria" w:hAnsi="Cambria"/>
          <w:szCs w:val="24"/>
        </w:rPr>
        <w:t xml:space="preserve"> drying of all tested hydrogels, (</w:t>
      </w:r>
      <w:r w:rsidR="00FD5CA4" w:rsidRPr="00FD5CA4">
        <w:rPr>
          <w:rFonts w:ascii="Cambria" w:hAnsi="Cambria"/>
          <w:b/>
          <w:szCs w:val="24"/>
        </w:rPr>
        <w:t>a</w:t>
      </w:r>
      <w:r w:rsidR="00FD5CA4">
        <w:rPr>
          <w:rFonts w:ascii="Cambria" w:hAnsi="Cambria"/>
          <w:szCs w:val="24"/>
        </w:rPr>
        <w:t>) hydrogels prepared using high molecular weight hyaluronan, (</w:t>
      </w:r>
      <w:r w:rsidR="00FD5CA4" w:rsidRPr="00FD5CA4">
        <w:rPr>
          <w:rFonts w:ascii="Cambria" w:hAnsi="Cambria"/>
          <w:b/>
          <w:szCs w:val="24"/>
        </w:rPr>
        <w:t>b</w:t>
      </w:r>
      <w:r w:rsidR="00FD5CA4">
        <w:rPr>
          <w:rFonts w:ascii="Cambria" w:hAnsi="Cambria"/>
          <w:szCs w:val="24"/>
        </w:rPr>
        <w:t>) hydrogels prepared using low molecular weight hyaluronan.</w:t>
      </w:r>
    </w:p>
    <w:p w14:paraId="1BC6B27D" w14:textId="39D8B49A" w:rsidR="003D5719" w:rsidRDefault="003D5719" w:rsidP="00916C1C">
      <w:pPr>
        <w:spacing w:before="480" w:line="300" w:lineRule="atLeast"/>
        <w:rPr>
          <w:rFonts w:ascii="Cambria" w:hAnsi="Cambria"/>
          <w:szCs w:val="24"/>
          <w:lang w:val="en-GB"/>
        </w:rPr>
      </w:pPr>
      <w:r w:rsidRPr="00916C1C">
        <w:rPr>
          <w:rFonts w:ascii="Cambria" w:hAnsi="Cambria"/>
          <w:b/>
          <w:szCs w:val="24"/>
        </w:rPr>
        <w:t>Table S1</w:t>
      </w:r>
      <w:r>
        <w:rPr>
          <w:rFonts w:ascii="Cambria" w:hAnsi="Cambria"/>
          <w:szCs w:val="24"/>
        </w:rPr>
        <w:t xml:space="preserve">: </w:t>
      </w:r>
      <w:r w:rsidR="00916C1C" w:rsidRPr="00916C1C">
        <w:rPr>
          <w:rFonts w:ascii="Cambria" w:hAnsi="Cambria"/>
          <w:szCs w:val="24"/>
          <w:lang w:val="en-GB"/>
        </w:rPr>
        <w:t>Summary of</w:t>
      </w:r>
      <w:r w:rsidR="00AB30B5">
        <w:rPr>
          <w:rFonts w:ascii="Cambria" w:hAnsi="Cambria"/>
          <w:szCs w:val="24"/>
          <w:lang w:val="en-GB"/>
        </w:rPr>
        <w:t xml:space="preserve"> the</w:t>
      </w:r>
      <w:r w:rsidR="00916C1C" w:rsidRPr="00916C1C">
        <w:rPr>
          <w:rFonts w:ascii="Cambria" w:hAnsi="Cambria"/>
          <w:szCs w:val="24"/>
          <w:lang w:val="en-GB"/>
        </w:rPr>
        <w:t xml:space="preserve"> infrared band positions for</w:t>
      </w:r>
      <w:r w:rsidR="00AB30B5">
        <w:rPr>
          <w:rFonts w:ascii="Cambria" w:hAnsi="Cambria"/>
          <w:szCs w:val="24"/>
          <w:lang w:val="en-GB"/>
        </w:rPr>
        <w:t xml:space="preserve"> the</w:t>
      </w:r>
      <w:r w:rsidR="00916C1C" w:rsidRPr="00916C1C">
        <w:rPr>
          <w:rFonts w:ascii="Cambria" w:hAnsi="Cambria"/>
          <w:szCs w:val="24"/>
          <w:lang w:val="en-GB"/>
        </w:rPr>
        <w:t xml:space="preserve"> hyaluronan/</w:t>
      </w:r>
      <w:proofErr w:type="spellStart"/>
      <w:r w:rsidR="00916C1C" w:rsidRPr="00916C1C">
        <w:rPr>
          <w:rFonts w:ascii="Cambria" w:hAnsi="Cambria"/>
          <w:szCs w:val="24"/>
          <w:lang w:val="en-GB"/>
        </w:rPr>
        <w:t>Septonex</w:t>
      </w:r>
      <w:proofErr w:type="spellEnd"/>
      <w:r w:rsidR="00916C1C" w:rsidRPr="00916C1C">
        <w:rPr>
          <w:rFonts w:ascii="Cambria" w:hAnsi="Cambria"/>
          <w:szCs w:val="24"/>
          <w:lang w:val="en-GB"/>
        </w:rPr>
        <w:t xml:space="preserve"> hydrogels</w:t>
      </w:r>
      <w:r w:rsidR="00916C1C">
        <w:rPr>
          <w:rFonts w:ascii="Cambria" w:hAnsi="Cambria"/>
          <w:szCs w:val="24"/>
          <w:lang w:val="en-GB"/>
        </w:rPr>
        <w:t>.</w:t>
      </w:r>
    </w:p>
    <w:tbl>
      <w:tblPr>
        <w:tblStyle w:val="Mkatabulky1"/>
        <w:tblW w:w="0" w:type="auto"/>
        <w:tblLook w:val="04A0" w:firstRow="1" w:lastRow="0" w:firstColumn="1" w:lastColumn="0" w:noHBand="0" w:noVBand="1"/>
      </w:tblPr>
      <w:tblGrid>
        <w:gridCol w:w="2235"/>
        <w:gridCol w:w="7053"/>
      </w:tblGrid>
      <w:tr w:rsidR="00916C1C" w:rsidRPr="00916C1C" w14:paraId="60334DBB" w14:textId="77777777" w:rsidTr="0042531E">
        <w:tc>
          <w:tcPr>
            <w:tcW w:w="2235" w:type="dxa"/>
          </w:tcPr>
          <w:p w14:paraId="65890112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b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b/>
                <w:sz w:val="20"/>
                <w:szCs w:val="20"/>
                <w:lang w:val="en-GB"/>
              </w:rPr>
              <w:t>band position (cm</w:t>
            </w:r>
            <w:r w:rsidRPr="00916C1C">
              <w:rPr>
                <w:rFonts w:ascii="Cambria" w:eastAsia="Calibri" w:hAnsi="Cambria" w:cs="Times New Roman"/>
                <w:b/>
                <w:sz w:val="20"/>
                <w:szCs w:val="20"/>
                <w:vertAlign w:val="superscript"/>
                <w:lang w:val="en-GB"/>
              </w:rPr>
              <w:t>–1</w:t>
            </w:r>
            <w:r w:rsidRPr="00916C1C">
              <w:rPr>
                <w:rFonts w:ascii="Cambria" w:eastAsia="Calibri" w:hAnsi="Cambria" w:cs="Times New Roman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7053" w:type="dxa"/>
          </w:tcPr>
          <w:p w14:paraId="53FB0673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b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b/>
                <w:sz w:val="20"/>
                <w:szCs w:val="20"/>
                <w:lang w:val="en-GB"/>
              </w:rPr>
              <w:t xml:space="preserve">assignment </w:t>
            </w:r>
          </w:p>
        </w:tc>
      </w:tr>
      <w:tr w:rsidR="00916C1C" w:rsidRPr="00916C1C" w14:paraId="5BF4A781" w14:textId="77777777" w:rsidTr="0042531E">
        <w:tc>
          <w:tcPr>
            <w:tcW w:w="2235" w:type="dxa"/>
          </w:tcPr>
          <w:p w14:paraId="2B39E49D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3700–3100</w:t>
            </w:r>
          </w:p>
        </w:tc>
        <w:tc>
          <w:tcPr>
            <w:tcW w:w="7053" w:type="dxa"/>
          </w:tcPr>
          <w:p w14:paraId="6704212A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O–H stretching of bulk water molecules</w:t>
            </w:r>
          </w:p>
          <w:p w14:paraId="24794910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N–H stretching of secondary amide groups</w:t>
            </w:r>
          </w:p>
        </w:tc>
      </w:tr>
      <w:tr w:rsidR="00916C1C" w:rsidRPr="00916C1C" w14:paraId="4246ABFC" w14:textId="77777777" w:rsidTr="0042531E">
        <w:tc>
          <w:tcPr>
            <w:tcW w:w="2235" w:type="dxa"/>
          </w:tcPr>
          <w:p w14:paraId="53CADEA6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2923</w:t>
            </w:r>
          </w:p>
        </w:tc>
        <w:tc>
          <w:tcPr>
            <w:tcW w:w="7053" w:type="dxa"/>
          </w:tcPr>
          <w:p w14:paraId="28CC5787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C–H asymmetric stretching of –CH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– groups</w:t>
            </w:r>
          </w:p>
        </w:tc>
      </w:tr>
      <w:tr w:rsidR="00916C1C" w:rsidRPr="00916C1C" w14:paraId="3EBCF079" w14:textId="77777777" w:rsidTr="0042531E">
        <w:tc>
          <w:tcPr>
            <w:tcW w:w="2235" w:type="dxa"/>
          </w:tcPr>
          <w:p w14:paraId="2C40C980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2853</w:t>
            </w:r>
          </w:p>
        </w:tc>
        <w:tc>
          <w:tcPr>
            <w:tcW w:w="7053" w:type="dxa"/>
          </w:tcPr>
          <w:p w14:paraId="4C7EFD01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C–H symmetric stretching of –CH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– groups</w:t>
            </w:r>
          </w:p>
        </w:tc>
      </w:tr>
      <w:tr w:rsidR="00916C1C" w:rsidRPr="00916C1C" w14:paraId="0BD4CD70" w14:textId="77777777" w:rsidTr="0042531E">
        <w:tc>
          <w:tcPr>
            <w:tcW w:w="2235" w:type="dxa"/>
          </w:tcPr>
          <w:p w14:paraId="71621504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1738</w:t>
            </w:r>
          </w:p>
        </w:tc>
        <w:tc>
          <w:tcPr>
            <w:tcW w:w="7053" w:type="dxa"/>
          </w:tcPr>
          <w:p w14:paraId="5ACD2A18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C=O symmetric stretching of alkyl-ester</w:t>
            </w:r>
          </w:p>
        </w:tc>
      </w:tr>
      <w:tr w:rsidR="00916C1C" w:rsidRPr="00916C1C" w14:paraId="0B397DCA" w14:textId="77777777" w:rsidTr="0042531E">
        <w:tc>
          <w:tcPr>
            <w:tcW w:w="2235" w:type="dxa"/>
          </w:tcPr>
          <w:p w14:paraId="7DD9F8AE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1636</w:t>
            </w:r>
          </w:p>
        </w:tc>
        <w:tc>
          <w:tcPr>
            <w:tcW w:w="7053" w:type="dxa"/>
          </w:tcPr>
          <w:p w14:paraId="2E2637DA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O–H bending of bulk water molecules</w:t>
            </w:r>
          </w:p>
        </w:tc>
      </w:tr>
      <w:tr w:rsidR="00916C1C" w:rsidRPr="00916C1C" w14:paraId="0ACD5DB2" w14:textId="77777777" w:rsidTr="0042531E">
        <w:tc>
          <w:tcPr>
            <w:tcW w:w="2235" w:type="dxa"/>
          </w:tcPr>
          <w:p w14:paraId="379B6ED2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1605</w:t>
            </w:r>
          </w:p>
        </w:tc>
        <w:tc>
          <w:tcPr>
            <w:tcW w:w="7053" w:type="dxa"/>
          </w:tcPr>
          <w:p w14:paraId="60F75038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  <w:t>–</w:t>
            </w:r>
            <m:oMath>
              <m:sSubSup>
                <m:sSubSup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  <w:lang w:val="en-GB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  <w:lang w:val="en-GB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  <w:lang w:val="en-GB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  <w:lang w:val="en-GB"/>
                    </w:rPr>
                    <m:t>-</m:t>
                  </m:r>
                </m:sup>
              </m:sSubSup>
            </m:oMath>
            <w:r w:rsidRPr="00916C1C"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  <w:t xml:space="preserve"> 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 xml:space="preserve">asymmetric stretching of carboxylate ion </w:t>
            </w:r>
          </w:p>
        </w:tc>
      </w:tr>
      <w:tr w:rsidR="00916C1C" w:rsidRPr="00916C1C" w14:paraId="40B6547E" w14:textId="77777777" w:rsidTr="0042531E">
        <w:tc>
          <w:tcPr>
            <w:tcW w:w="2235" w:type="dxa"/>
          </w:tcPr>
          <w:p w14:paraId="039037FB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1566</w:t>
            </w:r>
          </w:p>
        </w:tc>
        <w:tc>
          <w:tcPr>
            <w:tcW w:w="7053" w:type="dxa"/>
          </w:tcPr>
          <w:p w14:paraId="4EC04225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N–H bending of secondary amide groups</w:t>
            </w:r>
          </w:p>
        </w:tc>
      </w:tr>
      <w:tr w:rsidR="00916C1C" w:rsidRPr="00916C1C" w14:paraId="21983ACF" w14:textId="77777777" w:rsidTr="0042531E">
        <w:tc>
          <w:tcPr>
            <w:tcW w:w="2235" w:type="dxa"/>
          </w:tcPr>
          <w:p w14:paraId="2DD43174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1467</w:t>
            </w:r>
          </w:p>
        </w:tc>
        <w:tc>
          <w:tcPr>
            <w:tcW w:w="7053" w:type="dxa"/>
          </w:tcPr>
          <w:p w14:paraId="4079F426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C–H asymmetric and symmetric bending of –CH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vertAlign w:val="subscript"/>
                <w:lang w:val="en-GB"/>
              </w:rPr>
              <w:t>3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 xml:space="preserve"> and –CH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–groups</w:t>
            </w:r>
          </w:p>
        </w:tc>
      </w:tr>
      <w:tr w:rsidR="00916C1C" w:rsidRPr="00916C1C" w14:paraId="4FC8C009" w14:textId="77777777" w:rsidTr="0042531E">
        <w:tc>
          <w:tcPr>
            <w:tcW w:w="2235" w:type="dxa"/>
          </w:tcPr>
          <w:p w14:paraId="6814EB57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1406</w:t>
            </w:r>
          </w:p>
        </w:tc>
        <w:tc>
          <w:tcPr>
            <w:tcW w:w="7053" w:type="dxa"/>
          </w:tcPr>
          <w:p w14:paraId="05956823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  <w:t>–</w:t>
            </w:r>
            <m:oMath>
              <m:sSubSup>
                <m:sSubSup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  <w:lang w:val="en-GB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  <w:lang w:val="en-GB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  <w:lang w:val="en-GB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  <w:lang w:val="en-GB"/>
                    </w:rPr>
                    <m:t>-</m:t>
                  </m:r>
                </m:sup>
              </m:sSubSup>
            </m:oMath>
            <w:r w:rsidRPr="00916C1C"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  <w:t xml:space="preserve"> 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 xml:space="preserve">symmetric stretching of carboxylate ion </w:t>
            </w:r>
          </w:p>
        </w:tc>
      </w:tr>
      <w:tr w:rsidR="00916C1C" w:rsidRPr="00916C1C" w14:paraId="7A32965F" w14:textId="77777777" w:rsidTr="0042531E">
        <w:tc>
          <w:tcPr>
            <w:tcW w:w="2235" w:type="dxa"/>
          </w:tcPr>
          <w:p w14:paraId="637BF162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1375</w:t>
            </w:r>
          </w:p>
        </w:tc>
        <w:tc>
          <w:tcPr>
            <w:tcW w:w="7053" w:type="dxa"/>
          </w:tcPr>
          <w:p w14:paraId="24E82DD2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C–H symmetric (umbrella) bending of –CH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vertAlign w:val="subscript"/>
                <w:lang w:val="en-GB"/>
              </w:rPr>
              <w:t>3</w:t>
            </w: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 xml:space="preserve"> groups</w:t>
            </w:r>
          </w:p>
        </w:tc>
      </w:tr>
      <w:tr w:rsidR="00916C1C" w:rsidRPr="00916C1C" w14:paraId="557F72F3" w14:textId="77777777" w:rsidTr="0042531E">
        <w:tc>
          <w:tcPr>
            <w:tcW w:w="2235" w:type="dxa"/>
          </w:tcPr>
          <w:p w14:paraId="01BFA67D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1340</w:t>
            </w:r>
          </w:p>
        </w:tc>
        <w:tc>
          <w:tcPr>
            <w:tcW w:w="7053" w:type="dxa"/>
          </w:tcPr>
          <w:p w14:paraId="3062B326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 xml:space="preserve">C–H bending of </w:t>
            </w:r>
            <w:proofErr w:type="spellStart"/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methyne</w:t>
            </w:r>
            <w:proofErr w:type="spellEnd"/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 xml:space="preserve"> groups</w:t>
            </w:r>
          </w:p>
        </w:tc>
      </w:tr>
      <w:tr w:rsidR="00916C1C" w:rsidRPr="00916C1C" w14:paraId="1193777D" w14:textId="77777777" w:rsidTr="0042531E">
        <w:tc>
          <w:tcPr>
            <w:tcW w:w="2235" w:type="dxa"/>
          </w:tcPr>
          <w:p w14:paraId="1569C353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1245</w:t>
            </w:r>
          </w:p>
        </w:tc>
        <w:tc>
          <w:tcPr>
            <w:tcW w:w="7053" w:type="dxa"/>
          </w:tcPr>
          <w:p w14:paraId="157701F9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C–C–O symmetric stretching of alkyl-ester</w:t>
            </w:r>
          </w:p>
        </w:tc>
      </w:tr>
      <w:tr w:rsidR="00916C1C" w:rsidRPr="00916C1C" w14:paraId="4B80254D" w14:textId="77777777" w:rsidTr="0042531E">
        <w:tc>
          <w:tcPr>
            <w:tcW w:w="2235" w:type="dxa"/>
          </w:tcPr>
          <w:p w14:paraId="615BBB91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1200</w:t>
            </w:r>
          </w:p>
        </w:tc>
        <w:tc>
          <w:tcPr>
            <w:tcW w:w="7053" w:type="dxa"/>
          </w:tcPr>
          <w:p w14:paraId="17379C9E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C–N stretching of tertiary amine groups</w:t>
            </w:r>
          </w:p>
        </w:tc>
      </w:tr>
      <w:tr w:rsidR="00916C1C" w:rsidRPr="00916C1C" w14:paraId="298A9E14" w14:textId="77777777" w:rsidTr="0042531E">
        <w:tc>
          <w:tcPr>
            <w:tcW w:w="2235" w:type="dxa"/>
          </w:tcPr>
          <w:p w14:paraId="0E23D4E4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1154</w:t>
            </w:r>
          </w:p>
        </w:tc>
        <w:tc>
          <w:tcPr>
            <w:tcW w:w="7053" w:type="dxa"/>
          </w:tcPr>
          <w:p w14:paraId="0FAAE11C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 xml:space="preserve">C–O–C asymmetric stretching of glycosidic groups </w:t>
            </w:r>
          </w:p>
        </w:tc>
      </w:tr>
      <w:tr w:rsidR="00916C1C" w:rsidRPr="00916C1C" w14:paraId="0296FC7A" w14:textId="77777777" w:rsidTr="0042531E">
        <w:tc>
          <w:tcPr>
            <w:tcW w:w="2235" w:type="dxa"/>
          </w:tcPr>
          <w:p w14:paraId="45DF33DE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1082</w:t>
            </w:r>
          </w:p>
        </w:tc>
        <w:tc>
          <w:tcPr>
            <w:tcW w:w="7053" w:type="dxa"/>
          </w:tcPr>
          <w:p w14:paraId="1ED593E2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 xml:space="preserve">C–O stretching of secondary alcohols and/or C–O–C stretching of polysaccharide ring </w:t>
            </w:r>
          </w:p>
        </w:tc>
      </w:tr>
      <w:tr w:rsidR="00916C1C" w:rsidRPr="00916C1C" w14:paraId="52D01809" w14:textId="77777777" w:rsidTr="0042531E">
        <w:tc>
          <w:tcPr>
            <w:tcW w:w="2235" w:type="dxa"/>
          </w:tcPr>
          <w:p w14:paraId="756090B6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1042</w:t>
            </w:r>
          </w:p>
        </w:tc>
        <w:tc>
          <w:tcPr>
            <w:tcW w:w="7053" w:type="dxa"/>
          </w:tcPr>
          <w:p w14:paraId="149C7F66" w14:textId="77777777" w:rsidR="00916C1C" w:rsidRPr="00916C1C" w:rsidRDefault="00916C1C" w:rsidP="00916C1C">
            <w:pPr>
              <w:spacing w:before="0" w:after="0" w:line="300" w:lineRule="atLeast"/>
              <w:jc w:val="both"/>
              <w:rPr>
                <w:rFonts w:ascii="Cambria" w:eastAsia="Calibri" w:hAnsi="Cambria" w:cs="Times New Roman"/>
                <w:sz w:val="20"/>
                <w:szCs w:val="20"/>
                <w:lang w:val="en-GB"/>
              </w:rPr>
            </w:pPr>
            <w:r w:rsidRPr="00916C1C">
              <w:rPr>
                <w:rFonts w:ascii="Cambria" w:eastAsia="Calibri" w:hAnsi="Cambria" w:cs="Times New Roman"/>
                <w:sz w:val="20"/>
                <w:szCs w:val="20"/>
                <w:lang w:val="en-GB"/>
              </w:rPr>
              <w:t>C–O stretching of primary alcohols</w:t>
            </w:r>
          </w:p>
        </w:tc>
      </w:tr>
    </w:tbl>
    <w:p w14:paraId="6D9EB632" w14:textId="77777777" w:rsidR="00916C1C" w:rsidRPr="00916C1C" w:rsidRDefault="00916C1C" w:rsidP="00464BC4">
      <w:pPr>
        <w:spacing w:before="240" w:after="0" w:line="300" w:lineRule="atLeast"/>
        <w:rPr>
          <w:rFonts w:ascii="Cambria" w:hAnsi="Cambria"/>
          <w:szCs w:val="24"/>
          <w:lang w:val="cs-CZ"/>
        </w:rPr>
      </w:pPr>
    </w:p>
    <w:sectPr w:rsidR="00916C1C" w:rsidRPr="00916C1C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16C1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16C1C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16C1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16C1C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cs-CZ" w:eastAsia="cs-CZ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Odstavecseseznamem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317689515">
    <w:abstractNumId w:val="0"/>
  </w:num>
  <w:num w:numId="2" w16cid:durableId="1154570460">
    <w:abstractNumId w:val="4"/>
  </w:num>
  <w:num w:numId="3" w16cid:durableId="857541851">
    <w:abstractNumId w:val="1"/>
  </w:num>
  <w:num w:numId="4" w16cid:durableId="826946148">
    <w:abstractNumId w:val="5"/>
  </w:num>
  <w:num w:numId="5" w16cid:durableId="3068597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07575149">
    <w:abstractNumId w:val="3"/>
  </w:num>
  <w:num w:numId="7" w16cid:durableId="1578518709">
    <w:abstractNumId w:val="6"/>
  </w:num>
  <w:num w:numId="8" w16cid:durableId="492071035">
    <w:abstractNumId w:val="6"/>
  </w:num>
  <w:num w:numId="9" w16cid:durableId="1301380457">
    <w:abstractNumId w:val="6"/>
  </w:num>
  <w:num w:numId="10" w16cid:durableId="1822041291">
    <w:abstractNumId w:val="6"/>
  </w:num>
  <w:num w:numId="11" w16cid:durableId="132992456">
    <w:abstractNumId w:val="6"/>
  </w:num>
  <w:num w:numId="12" w16cid:durableId="1405645574">
    <w:abstractNumId w:val="6"/>
  </w:num>
  <w:num w:numId="13" w16cid:durableId="288821782">
    <w:abstractNumId w:val="3"/>
  </w:num>
  <w:num w:numId="14" w16cid:durableId="337121827">
    <w:abstractNumId w:val="2"/>
  </w:num>
  <w:num w:numId="15" w16cid:durableId="2069376041">
    <w:abstractNumId w:val="2"/>
  </w:num>
  <w:num w:numId="16" w16cid:durableId="1519003397">
    <w:abstractNumId w:val="2"/>
  </w:num>
  <w:num w:numId="17" w16cid:durableId="186866824">
    <w:abstractNumId w:val="2"/>
  </w:num>
  <w:num w:numId="18" w16cid:durableId="2003006917">
    <w:abstractNumId w:val="2"/>
  </w:num>
  <w:num w:numId="19" w16cid:durableId="1662927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417"/>
    <w:rsid w:val="00077D53"/>
    <w:rsid w:val="00105FD9"/>
    <w:rsid w:val="00117666"/>
    <w:rsid w:val="001549D3"/>
    <w:rsid w:val="00160065"/>
    <w:rsid w:val="00177D84"/>
    <w:rsid w:val="001A2BAA"/>
    <w:rsid w:val="002146C1"/>
    <w:rsid w:val="00267D18"/>
    <w:rsid w:val="00274347"/>
    <w:rsid w:val="002868E2"/>
    <w:rsid w:val="002869C3"/>
    <w:rsid w:val="002936E4"/>
    <w:rsid w:val="002B4A57"/>
    <w:rsid w:val="002C74CA"/>
    <w:rsid w:val="002E0FDA"/>
    <w:rsid w:val="003123F4"/>
    <w:rsid w:val="003544FB"/>
    <w:rsid w:val="003A0A10"/>
    <w:rsid w:val="003D2F2D"/>
    <w:rsid w:val="003D5719"/>
    <w:rsid w:val="00401590"/>
    <w:rsid w:val="00447801"/>
    <w:rsid w:val="00452E9C"/>
    <w:rsid w:val="00464BC4"/>
    <w:rsid w:val="004735C8"/>
    <w:rsid w:val="004947A6"/>
    <w:rsid w:val="004961FF"/>
    <w:rsid w:val="00517A89"/>
    <w:rsid w:val="005250F2"/>
    <w:rsid w:val="00593EEA"/>
    <w:rsid w:val="005A5EEE"/>
    <w:rsid w:val="00626319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16C1C"/>
    <w:rsid w:val="0093429D"/>
    <w:rsid w:val="00943573"/>
    <w:rsid w:val="00964134"/>
    <w:rsid w:val="00970F7D"/>
    <w:rsid w:val="00994A3D"/>
    <w:rsid w:val="009C2B12"/>
    <w:rsid w:val="00A174D9"/>
    <w:rsid w:val="00AA4D24"/>
    <w:rsid w:val="00AB30B5"/>
    <w:rsid w:val="00AB6715"/>
    <w:rsid w:val="00B1671E"/>
    <w:rsid w:val="00B25EB8"/>
    <w:rsid w:val="00B37F4D"/>
    <w:rsid w:val="00C52A7B"/>
    <w:rsid w:val="00C56BAF"/>
    <w:rsid w:val="00C679AA"/>
    <w:rsid w:val="00C75972"/>
    <w:rsid w:val="00C9338E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D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86DB94A"/>
  <w15:docId w15:val="{87677D07-DEF5-4768-AA3A-129B5089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dpis1">
    <w:name w:val="heading 1"/>
    <w:basedOn w:val="Odstavecseseznamem"/>
    <w:next w:val="Normln"/>
    <w:link w:val="Nadpis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dpis2">
    <w:name w:val="heading 2"/>
    <w:basedOn w:val="Nadpis1"/>
    <w:next w:val="Normln"/>
    <w:link w:val="Nadpis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dpis3">
    <w:name w:val="heading 3"/>
    <w:basedOn w:val="Normln"/>
    <w:next w:val="Normln"/>
    <w:link w:val="Nadpis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adpis3"/>
    <w:next w:val="Normln"/>
    <w:link w:val="Nadpis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dpis5">
    <w:name w:val="heading 5"/>
    <w:basedOn w:val="Nadpis4"/>
    <w:next w:val="Normln"/>
    <w:link w:val="Nadpis5Char"/>
    <w:uiPriority w:val="2"/>
    <w:qFormat/>
    <w:rsid w:val="00AB6715"/>
    <w:pPr>
      <w:numPr>
        <w:ilvl w:val="4"/>
      </w:numPr>
      <w:outlineLvl w:val="4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nadpis">
    <w:name w:val="Subtitle"/>
    <w:basedOn w:val="Normln"/>
    <w:next w:val="Normln"/>
    <w:link w:val="Podnadpis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nadpisChar">
    <w:name w:val="Podnadpis Char"/>
    <w:basedOn w:val="Standardnpsmoodstavce"/>
    <w:link w:val="Podnadpis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nadpis"/>
    <w:next w:val="Normln"/>
    <w:uiPriority w:val="1"/>
    <w:qFormat/>
    <w:rsid w:val="00AB6715"/>
  </w:style>
  <w:style w:type="paragraph" w:styleId="Textbubliny">
    <w:name w:val="Balloon Text"/>
    <w:basedOn w:val="Normln"/>
    <w:link w:val="Textbubliny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Nzevknihy">
    <w:name w:val="Book Title"/>
    <w:basedOn w:val="Standardnpsmoodstavc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Titulek">
    <w:name w:val="caption"/>
    <w:basedOn w:val="Normln"/>
    <w:next w:val="Bezmezer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mezer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AB67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67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67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AB6715"/>
    <w:rPr>
      <w:rFonts w:ascii="Times New Roman" w:hAnsi="Times New Roman"/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AB671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AB6715"/>
    <w:rPr>
      <w:rFonts w:ascii="Times New Roman" w:hAnsi="Times New Roman"/>
      <w:sz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AB671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ZhlavChar">
    <w:name w:val="Záhlaví Char"/>
    <w:basedOn w:val="Standardnpsmoodstavce"/>
    <w:link w:val="Zhlav"/>
    <w:uiPriority w:val="99"/>
    <w:rsid w:val="00AB6715"/>
    <w:rPr>
      <w:rFonts w:ascii="Times New Roman" w:hAnsi="Times New Roman"/>
      <w:b/>
      <w:sz w:val="24"/>
    </w:rPr>
  </w:style>
  <w:style w:type="paragraph" w:styleId="Odstavecseseznamem">
    <w:name w:val="List Paragraph"/>
    <w:basedOn w:val="Normln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textovodkaz">
    <w:name w:val="Hyperlink"/>
    <w:basedOn w:val="Standardnpsmoodstavce"/>
    <w:uiPriority w:val="99"/>
    <w:unhideWhenUsed/>
    <w:rsid w:val="00AB6715"/>
    <w:rPr>
      <w:color w:val="0000FF"/>
      <w:u w:val="single"/>
    </w:rPr>
  </w:style>
  <w:style w:type="character" w:styleId="Zdraznnintenzivn">
    <w:name w:val="Intense Emphasis"/>
    <w:basedOn w:val="Standardnpsmoodstavc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kazintenzivn">
    <w:name w:val="Intense Reference"/>
    <w:basedOn w:val="Standardnpsmoodstavce"/>
    <w:uiPriority w:val="32"/>
    <w:qFormat/>
    <w:rsid w:val="00AB6715"/>
    <w:rPr>
      <w:b/>
      <w:bCs/>
      <w:smallCaps/>
      <w:color w:val="auto"/>
      <w:spacing w:val="5"/>
    </w:rPr>
  </w:style>
  <w:style w:type="character" w:styleId="slodku">
    <w:name w:val="line number"/>
    <w:basedOn w:val="Standardnpsmoodstavce"/>
    <w:uiPriority w:val="99"/>
    <w:semiHidden/>
    <w:unhideWhenUsed/>
    <w:rsid w:val="00AB6715"/>
  </w:style>
  <w:style w:type="character" w:customStyle="1" w:styleId="Nadpis3Char">
    <w:name w:val="Nadpis 3 Char"/>
    <w:basedOn w:val="Standardnpsmoodstavce"/>
    <w:link w:val="Nadpis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lnweb">
    <w:name w:val="Normal (Web)"/>
    <w:basedOn w:val="Normln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iln">
    <w:name w:val="Strong"/>
    <w:basedOn w:val="Standardnpsmoodstavce"/>
    <w:uiPriority w:val="22"/>
    <w:qFormat/>
    <w:rsid w:val="00AB6715"/>
    <w:rPr>
      <w:rFonts w:ascii="Times New Roman" w:hAnsi="Times New Roman"/>
      <w:b/>
      <w:bCs/>
    </w:rPr>
  </w:style>
  <w:style w:type="character" w:styleId="Zdraznnjemn">
    <w:name w:val="Subtle Emphasis"/>
    <w:basedOn w:val="Standardnpsmoodstavc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Mkatabulky">
    <w:name w:val="Table Grid"/>
    <w:basedOn w:val="Normlntabulka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Nzev"/>
    <w:next w:val="Nzev"/>
    <w:qFormat/>
    <w:rsid w:val="0001436A"/>
    <w:pPr>
      <w:spacing w:after="120"/>
    </w:pPr>
    <w:rPr>
      <w:i/>
    </w:rPr>
  </w:style>
  <w:style w:type="table" w:customStyle="1" w:styleId="Mkatabulky1">
    <w:name w:val="Mřížka tabulky1"/>
    <w:basedOn w:val="Normlntabulka"/>
    <w:next w:val="Mkatabulky"/>
    <w:uiPriority w:val="59"/>
    <w:rsid w:val="00916C1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E593A67-9FB2-493C-BC61-9396C522E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634</TotalTime>
  <Pages>4</Pages>
  <Words>440</Words>
  <Characters>2596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Pekař Miloslav (2035)</cp:lastModifiedBy>
  <cp:revision>10</cp:revision>
  <cp:lastPrinted>2013-10-03T12:51:00Z</cp:lastPrinted>
  <dcterms:created xsi:type="dcterms:W3CDTF">2018-11-23T08:58:00Z</dcterms:created>
  <dcterms:modified xsi:type="dcterms:W3CDTF">2022-05-23T15:40:00Z</dcterms:modified>
</cp:coreProperties>
</file>