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969A" w14:textId="77777777" w:rsidR="00660E8A" w:rsidRDefault="00660E8A" w:rsidP="00660E8A">
      <w:pPr>
        <w:spacing w:line="480" w:lineRule="auto"/>
        <w:jc w:val="center"/>
        <w:rPr>
          <w:b/>
          <w:bCs/>
        </w:rPr>
      </w:pPr>
      <w:bookmarkStart w:id="0" w:name="_Hlk93670478"/>
      <w:bookmarkStart w:id="1" w:name="_Hlk93322026"/>
      <w:r>
        <w:rPr>
          <w:b/>
          <w:bCs/>
        </w:rPr>
        <w:t>Molecular heterogeneity in pediatric malignant rhabdoid tumors</w:t>
      </w:r>
    </w:p>
    <w:p w14:paraId="22DA6B56" w14:textId="77777777" w:rsidR="00660E8A" w:rsidRDefault="00660E8A" w:rsidP="00660E8A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 in patients with multi-organ involvement</w:t>
      </w:r>
    </w:p>
    <w:bookmarkEnd w:id="0"/>
    <w:p w14:paraId="5F242873" w14:textId="77777777" w:rsidR="00C837DC" w:rsidRPr="00092EBC" w:rsidRDefault="00C837DC" w:rsidP="00C837DC">
      <w:pPr>
        <w:spacing w:line="480" w:lineRule="auto"/>
        <w:jc w:val="center"/>
      </w:pPr>
    </w:p>
    <w:p w14:paraId="0930A676" w14:textId="26F7C1CB" w:rsidR="00C837DC" w:rsidRPr="00092EBC" w:rsidRDefault="00C837DC" w:rsidP="00C837DC">
      <w:pPr>
        <w:spacing w:line="480" w:lineRule="auto"/>
        <w:jc w:val="center"/>
        <w:rPr>
          <w:vertAlign w:val="superscript"/>
        </w:rPr>
      </w:pPr>
      <w:r w:rsidRPr="00092EBC">
        <w:t>Katherine E. Miller</w:t>
      </w:r>
      <w:bookmarkStart w:id="2" w:name="_Hlk78872995"/>
      <w:r w:rsidRPr="00092EBC">
        <w:rPr>
          <w:vertAlign w:val="superscript"/>
        </w:rPr>
        <w:t>1</w:t>
      </w:r>
      <w:bookmarkEnd w:id="2"/>
      <w:r>
        <w:rPr>
          <w:vertAlign w:val="superscript"/>
        </w:rPr>
        <w:t>,2</w:t>
      </w:r>
      <w:r w:rsidRPr="00092EBC">
        <w:t xml:space="preserve">, </w:t>
      </w:r>
      <w:r w:rsidR="00F94687" w:rsidRPr="00092EBC">
        <w:t>Gregory Wheeler</w:t>
      </w:r>
      <w:r w:rsidR="00F94687" w:rsidRPr="00092EBC">
        <w:rPr>
          <w:vertAlign w:val="superscript"/>
        </w:rPr>
        <w:t>1</w:t>
      </w:r>
      <w:r w:rsidR="00F94687" w:rsidRPr="00092EBC">
        <w:t xml:space="preserve">, </w:t>
      </w:r>
      <w:r w:rsidRPr="00092EBC">
        <w:t>Stephanie LaHaye</w:t>
      </w:r>
      <w:r w:rsidRPr="00092EBC">
        <w:rPr>
          <w:vertAlign w:val="superscript"/>
        </w:rPr>
        <w:t>1</w:t>
      </w:r>
      <w:r w:rsidRPr="00092EBC">
        <w:t>, Kathleen M. Schieffer</w:t>
      </w:r>
      <w:r w:rsidRPr="00092EBC">
        <w:rPr>
          <w:vertAlign w:val="superscript"/>
        </w:rPr>
        <w:t>1</w:t>
      </w:r>
      <w:r>
        <w:rPr>
          <w:vertAlign w:val="superscript"/>
        </w:rPr>
        <w:t>,3</w:t>
      </w:r>
      <w:r w:rsidRPr="00092EBC">
        <w:t>, Sydney Cearlock</w:t>
      </w:r>
      <w:r w:rsidRPr="00092EBC">
        <w:rPr>
          <w:vertAlign w:val="superscript"/>
        </w:rPr>
        <w:t>1</w:t>
      </w:r>
      <w:r w:rsidRPr="00092EBC">
        <w:t xml:space="preserve">, Lakshmi </w:t>
      </w:r>
      <w:proofErr w:type="spellStart"/>
      <w:r w:rsidRPr="00092EBC">
        <w:t>Prakruthi</w:t>
      </w:r>
      <w:proofErr w:type="spellEnd"/>
      <w:r w:rsidRPr="00092EBC">
        <w:t xml:space="preserve"> Rao Venkata</w:t>
      </w:r>
      <w:r w:rsidRPr="00092EBC">
        <w:rPr>
          <w:vertAlign w:val="superscript"/>
        </w:rPr>
        <w:t>1</w:t>
      </w:r>
      <w:r w:rsidRPr="00092EBC">
        <w:t>, Alejandro Otero Bravo</w:t>
      </w:r>
      <w:r w:rsidRPr="00092EBC">
        <w:rPr>
          <w:vertAlign w:val="superscript"/>
        </w:rPr>
        <w:t>1</w:t>
      </w:r>
      <w:r w:rsidRPr="00092EBC">
        <w:t xml:space="preserve">, Olivia </w:t>
      </w:r>
      <w:r>
        <w:t xml:space="preserve">E. </w:t>
      </w:r>
      <w:r w:rsidRPr="00092EBC">
        <w:t>Grischow</w:t>
      </w:r>
      <w:r w:rsidRPr="00092EBC">
        <w:rPr>
          <w:vertAlign w:val="superscript"/>
        </w:rPr>
        <w:t>1</w:t>
      </w:r>
      <w:r w:rsidRPr="00092EBC">
        <w:t xml:space="preserve">, </w:t>
      </w:r>
      <w:r w:rsidR="00E47F58">
        <w:t>Benjamin J. Kelly</w:t>
      </w:r>
      <w:r w:rsidR="00E47F58" w:rsidRPr="004107A0">
        <w:rPr>
          <w:vertAlign w:val="superscript"/>
        </w:rPr>
        <w:t>1</w:t>
      </w:r>
      <w:r w:rsidR="00E47F58">
        <w:t>, Peter White</w:t>
      </w:r>
      <w:r w:rsidR="00E47F58" w:rsidRPr="004107A0">
        <w:rPr>
          <w:vertAlign w:val="superscript"/>
        </w:rPr>
        <w:t>1,2</w:t>
      </w:r>
      <w:r w:rsidR="00E47F58">
        <w:t xml:space="preserve">, </w:t>
      </w:r>
      <w:r w:rsidRPr="00092EBC">
        <w:t>Christopher R. Pierson</w:t>
      </w:r>
      <w:r>
        <w:rPr>
          <w:vertAlign w:val="superscript"/>
        </w:rPr>
        <w:t>3,4,5</w:t>
      </w:r>
      <w:r w:rsidRPr="00092EBC">
        <w:t xml:space="preserve">, Daniel </w:t>
      </w:r>
      <w:r>
        <w:t xml:space="preserve">R. </w:t>
      </w:r>
      <w:r w:rsidRPr="00092EBC">
        <w:t>Boué</w:t>
      </w:r>
      <w:r>
        <w:rPr>
          <w:vertAlign w:val="superscript"/>
        </w:rPr>
        <w:t>3,4</w:t>
      </w:r>
      <w:r w:rsidRPr="00092EBC">
        <w:t xml:space="preserve">, </w:t>
      </w:r>
      <w:r>
        <w:t>Selene C. Koo</w:t>
      </w:r>
      <w:r>
        <w:rPr>
          <w:vertAlign w:val="superscript"/>
        </w:rPr>
        <w:t>3,4</w:t>
      </w:r>
      <w:r>
        <w:t xml:space="preserve">, </w:t>
      </w:r>
      <w:r w:rsidRPr="00092EBC">
        <w:t>Diana Osorio</w:t>
      </w:r>
      <w:r>
        <w:rPr>
          <w:vertAlign w:val="superscript"/>
        </w:rPr>
        <w:t>2,7,8</w:t>
      </w:r>
      <w:r w:rsidRPr="00092EBC">
        <w:t>, Darren Klawinski</w:t>
      </w:r>
      <w:r>
        <w:rPr>
          <w:vertAlign w:val="superscript"/>
        </w:rPr>
        <w:t>7,8</w:t>
      </w:r>
      <w:r w:rsidRPr="00092EBC">
        <w:t xml:space="preserve">, </w:t>
      </w:r>
      <w:r>
        <w:t>Mark A. Ranalli</w:t>
      </w:r>
      <w:r>
        <w:rPr>
          <w:vertAlign w:val="superscript"/>
        </w:rPr>
        <w:t>2,7</w:t>
      </w:r>
      <w:r>
        <w:t xml:space="preserve">, </w:t>
      </w:r>
      <w:r w:rsidRPr="00092EBC">
        <w:t>Ammar Shaikhouni</w:t>
      </w:r>
      <w:r>
        <w:rPr>
          <w:vertAlign w:val="superscript"/>
        </w:rPr>
        <w:t>9,10</w:t>
      </w:r>
      <w:r w:rsidRPr="00092EBC">
        <w:t>, Ralph Salloum</w:t>
      </w:r>
      <w:r>
        <w:rPr>
          <w:vertAlign w:val="superscript"/>
        </w:rPr>
        <w:t>2,7,8</w:t>
      </w:r>
      <w:r w:rsidRPr="00092EBC">
        <w:t>,</w:t>
      </w:r>
      <w:r>
        <w:t xml:space="preserve"> Margaret Shatara</w:t>
      </w:r>
      <w:r w:rsidRPr="00054028">
        <w:rPr>
          <w:vertAlign w:val="superscript"/>
        </w:rPr>
        <w:t>7,8</w:t>
      </w:r>
      <w:r>
        <w:t>, Jeffrey R. Leonard</w:t>
      </w:r>
      <w:r>
        <w:rPr>
          <w:vertAlign w:val="superscript"/>
        </w:rPr>
        <w:t>2,9,10</w:t>
      </w:r>
      <w:r>
        <w:t>,</w:t>
      </w:r>
      <w:r w:rsidRPr="00092EBC">
        <w:t xml:space="preserve"> Catherine E. Cottrell</w:t>
      </w:r>
      <w:r w:rsidRPr="00092EBC">
        <w:rPr>
          <w:vertAlign w:val="superscript"/>
        </w:rPr>
        <w:t>1,</w:t>
      </w:r>
      <w:r>
        <w:rPr>
          <w:vertAlign w:val="superscript"/>
        </w:rPr>
        <w:t>2,3</w:t>
      </w:r>
      <w:r w:rsidRPr="00092EBC">
        <w:t>, Elaine R. Mardis</w:t>
      </w:r>
      <w:r w:rsidRPr="00092EBC">
        <w:rPr>
          <w:vertAlign w:val="superscript"/>
        </w:rPr>
        <w:t>1,</w:t>
      </w:r>
      <w:r>
        <w:rPr>
          <w:vertAlign w:val="superscript"/>
        </w:rPr>
        <w:t>2</w:t>
      </w:r>
      <w:r w:rsidRPr="00092EBC">
        <w:rPr>
          <w:vertAlign w:val="superscript"/>
        </w:rPr>
        <w:t>,</w:t>
      </w:r>
      <w:r>
        <w:rPr>
          <w:vertAlign w:val="superscript"/>
        </w:rPr>
        <w:t>10</w:t>
      </w:r>
      <w:r w:rsidRPr="00092EBC">
        <w:t xml:space="preserve"> &amp; Daniel C. Koboldt</w:t>
      </w:r>
      <w:r w:rsidRPr="00092EBC">
        <w:rPr>
          <w:vertAlign w:val="superscript"/>
        </w:rPr>
        <w:t>1,</w:t>
      </w:r>
      <w:r>
        <w:rPr>
          <w:vertAlign w:val="superscript"/>
        </w:rPr>
        <w:t>2</w:t>
      </w:r>
    </w:p>
    <w:p w14:paraId="2A6EB8D0" w14:textId="77777777" w:rsidR="00C837DC" w:rsidRPr="00092EBC" w:rsidRDefault="00C837DC" w:rsidP="00C837DC">
      <w:pPr>
        <w:spacing w:line="360" w:lineRule="auto"/>
        <w:jc w:val="center"/>
      </w:pPr>
    </w:p>
    <w:p w14:paraId="74B4C306" w14:textId="77777777" w:rsidR="00C837DC" w:rsidRDefault="00C837DC" w:rsidP="00C837DC">
      <w:pPr>
        <w:spacing w:line="360" w:lineRule="auto"/>
      </w:pPr>
      <w:r w:rsidRPr="00092EBC">
        <w:rPr>
          <w:vertAlign w:val="superscript"/>
        </w:rPr>
        <w:t>1</w:t>
      </w:r>
      <w:r w:rsidRPr="00092EBC">
        <w:t>The Steve and Cindy Rasmussen Institute for Genomic Medicine, Abigail Wexner Research Institute at Nationwide Children's Hospital, Columbus, Ohio, USA</w:t>
      </w:r>
    </w:p>
    <w:p w14:paraId="55AAB79D" w14:textId="77777777" w:rsidR="00C837DC" w:rsidRPr="00092EBC" w:rsidRDefault="00C837DC" w:rsidP="00C837DC">
      <w:pPr>
        <w:spacing w:line="360" w:lineRule="auto"/>
      </w:pPr>
      <w:r>
        <w:rPr>
          <w:vertAlign w:val="superscript"/>
        </w:rPr>
        <w:t>2</w:t>
      </w:r>
      <w:r w:rsidRPr="00092EBC">
        <w:t>Department of Pediatrics, The Ohio State University College of Medicine, Columbus, Ohio, USA</w:t>
      </w:r>
    </w:p>
    <w:p w14:paraId="1152D462" w14:textId="77777777" w:rsidR="00C837DC" w:rsidRDefault="00C837DC" w:rsidP="00C837DC">
      <w:pPr>
        <w:spacing w:line="360" w:lineRule="auto"/>
      </w:pPr>
      <w:r>
        <w:rPr>
          <w:vertAlign w:val="superscript"/>
        </w:rPr>
        <w:t>3</w:t>
      </w:r>
      <w:r w:rsidRPr="00092EBC">
        <w:t>Department of Pathology, The Ohio State University College of Medicine, Columbus, Ohio, USA</w:t>
      </w:r>
    </w:p>
    <w:p w14:paraId="31AA7EFB" w14:textId="77777777" w:rsidR="00C837DC" w:rsidRDefault="00C837DC" w:rsidP="00C837DC">
      <w:pPr>
        <w:spacing w:line="360" w:lineRule="auto"/>
      </w:pPr>
      <w:r>
        <w:rPr>
          <w:vertAlign w:val="superscript"/>
        </w:rPr>
        <w:t>4</w:t>
      </w:r>
      <w:r w:rsidRPr="00454540">
        <w:t>Department of Pathology and Laboratory Medicine, Nationwide Children’s Hospital, Columbus, Ohio, USA</w:t>
      </w:r>
    </w:p>
    <w:p w14:paraId="74D632AE" w14:textId="77777777" w:rsidR="00C837DC" w:rsidRPr="00092EBC" w:rsidRDefault="00C837DC" w:rsidP="00C837DC">
      <w:pPr>
        <w:spacing w:line="360" w:lineRule="auto"/>
      </w:pPr>
      <w:r w:rsidRPr="007F14B0">
        <w:rPr>
          <w:vertAlign w:val="superscript"/>
        </w:rPr>
        <w:t>5</w:t>
      </w:r>
      <w:r w:rsidRPr="007F14B0">
        <w:t>Department of Biomedical Education &amp; Anatomy, Division of Anatomy, The Ohio State University College of Medicine, Columbus, OH USA</w:t>
      </w:r>
    </w:p>
    <w:p w14:paraId="586332B3" w14:textId="77777777" w:rsidR="00C837DC" w:rsidRPr="00092EBC" w:rsidRDefault="00C837DC" w:rsidP="00C837DC">
      <w:pPr>
        <w:spacing w:line="360" w:lineRule="auto"/>
      </w:pPr>
      <w:r>
        <w:rPr>
          <w:vertAlign w:val="superscript"/>
        </w:rPr>
        <w:t>6</w:t>
      </w:r>
      <w:r>
        <w:t>Department of Pathology, St. Jude Children’s Research Hospital, Memphis, Tennessee, USA</w:t>
      </w:r>
    </w:p>
    <w:p w14:paraId="709CCFAC" w14:textId="77777777" w:rsidR="00C837DC" w:rsidRPr="00092EBC" w:rsidRDefault="00C837DC" w:rsidP="00C837DC">
      <w:pPr>
        <w:spacing w:line="360" w:lineRule="auto"/>
      </w:pPr>
      <w:r>
        <w:rPr>
          <w:vertAlign w:val="superscript"/>
        </w:rPr>
        <w:t>7</w:t>
      </w:r>
      <w:r w:rsidRPr="00092EBC">
        <w:t>Division of Hematology, Oncology, and Bone Marrow Transplant, Nationwide Children's Hospital, Columbus, Ohio, USA</w:t>
      </w:r>
    </w:p>
    <w:p w14:paraId="4AD7E0BC" w14:textId="77777777" w:rsidR="00C837DC" w:rsidRPr="00092EBC" w:rsidRDefault="00C837DC" w:rsidP="00C837DC">
      <w:pPr>
        <w:spacing w:line="360" w:lineRule="auto"/>
      </w:pPr>
      <w:r>
        <w:rPr>
          <w:vertAlign w:val="superscript"/>
        </w:rPr>
        <w:t>8</w:t>
      </w:r>
      <w:r w:rsidRPr="00092EBC">
        <w:t>Pediatric Neuro-Oncology Program, Nationwide Children’s Hospital, Columbus, Ohio, USA</w:t>
      </w:r>
    </w:p>
    <w:p w14:paraId="56D571D3" w14:textId="77777777" w:rsidR="00C837DC" w:rsidRPr="00092EBC" w:rsidRDefault="00C837DC" w:rsidP="00C837DC">
      <w:pPr>
        <w:spacing w:line="360" w:lineRule="auto"/>
      </w:pPr>
      <w:r>
        <w:rPr>
          <w:vertAlign w:val="superscript"/>
        </w:rPr>
        <w:t>9</w:t>
      </w:r>
      <w:r w:rsidRPr="00092EBC">
        <w:t>Department of Neurosurgery, Nationwide Children’s Hospital, Columbus, Ohio, USA</w:t>
      </w:r>
    </w:p>
    <w:p w14:paraId="557C8A36" w14:textId="77777777" w:rsidR="00C837DC" w:rsidRDefault="00C837DC" w:rsidP="00C837DC">
      <w:pPr>
        <w:spacing w:line="360" w:lineRule="auto"/>
      </w:pPr>
      <w:r>
        <w:rPr>
          <w:vertAlign w:val="superscript"/>
        </w:rPr>
        <w:t>10</w:t>
      </w:r>
      <w:r w:rsidRPr="00092EBC">
        <w:t>Department of Neurosurgery, The Ohio State University College of Medicine, Columbus, Ohio, USA</w:t>
      </w:r>
    </w:p>
    <w:bookmarkEnd w:id="1"/>
    <w:p w14:paraId="48E17F46" w14:textId="77777777" w:rsidR="00C837DC" w:rsidRDefault="00C837DC" w:rsidP="00C837DC">
      <w:pPr>
        <w:spacing w:line="480" w:lineRule="auto"/>
        <w:rPr>
          <w:i/>
          <w:iCs/>
        </w:rPr>
      </w:pPr>
    </w:p>
    <w:p w14:paraId="5BD31730" w14:textId="0C0CC297" w:rsidR="00C837DC" w:rsidRPr="00C837DC" w:rsidRDefault="00C837DC" w:rsidP="00C837DC">
      <w:pPr>
        <w:spacing w:line="480" w:lineRule="auto"/>
      </w:pPr>
      <w:r>
        <w:lastRenderedPageBreak/>
        <w:t>SUPPLEMENTARY DATA FILE</w:t>
      </w:r>
      <w:r w:rsidR="00942ADD">
        <w:t>- Case Descriptions</w:t>
      </w:r>
    </w:p>
    <w:p w14:paraId="6447E840" w14:textId="77777777" w:rsidR="00C837DC" w:rsidRPr="004256B6" w:rsidRDefault="00C837DC" w:rsidP="00C837DC">
      <w:pPr>
        <w:spacing w:after="120" w:line="480" w:lineRule="auto"/>
        <w:rPr>
          <w:i/>
          <w:iCs/>
        </w:rPr>
      </w:pPr>
      <w:r>
        <w:rPr>
          <w:i/>
          <w:iCs/>
        </w:rPr>
        <w:t>Patient 1</w:t>
      </w:r>
    </w:p>
    <w:p w14:paraId="35A5D4AA" w14:textId="1444D1D4" w:rsidR="00C837DC" w:rsidRPr="00A73C18" w:rsidRDefault="00C837DC" w:rsidP="00C837DC">
      <w:pPr>
        <w:spacing w:line="480" w:lineRule="auto"/>
      </w:pPr>
      <w:r>
        <w:t xml:space="preserve">Patient 1 is a </w:t>
      </w:r>
      <w:r w:rsidRPr="001C6265">
        <w:t>female</w:t>
      </w:r>
      <w:r>
        <w:t xml:space="preserve"> who presented at 10 months of age to the emergency department due to parental concerns for progressive abdominal distention. A computed tomography (CT) scan revealed a left renal mass, and a nephrectomy was performed. Pathology was consistent with a rhabdoid tumor with renal sinus invasion with 9 of 10 lymph nodes testing positive for metastatic disease. Further evaluation with full body positron emission tomography (PET) imaging showed focal uptake at a mass in the left </w:t>
      </w:r>
      <w:proofErr w:type="spellStart"/>
      <w:r>
        <w:t>cerebello</w:t>
      </w:r>
      <w:proofErr w:type="spellEnd"/>
      <w:r>
        <w:t xml:space="preserve"> pontine angle. The brain mass was resected, and pathology was consistent with a diagnosis of AT/RT. </w:t>
      </w:r>
      <w:r w:rsidRPr="000C0C1C">
        <w:t>INI1</w:t>
      </w:r>
      <w:r>
        <w:rPr>
          <w:i/>
          <w:iCs/>
        </w:rPr>
        <w:t xml:space="preserve"> </w:t>
      </w:r>
      <w:r>
        <w:t xml:space="preserve">nuclear immunostaining was lost in tumor cells. The patient began treatment </w:t>
      </w:r>
      <w:r w:rsidRPr="00A73C18">
        <w:t>with vincristine, cisplatin, doxorubicin, cyclophosphamide, and triple intrathecal chemotherapy with methotrexate, cytarabine, and hydrocortisone</w:t>
      </w:r>
      <w:r>
        <w:t>; t</w:t>
      </w:r>
      <w:r w:rsidRPr="00A73C18">
        <w:t xml:space="preserve">his was followed by three tandem transplants with high dose chemotherapy with carboplatin and thiotepa and autologous stem cell rescue. Approximately </w:t>
      </w:r>
      <w:r>
        <w:t>four</w:t>
      </w:r>
      <w:r w:rsidRPr="00A73C18">
        <w:t xml:space="preserve"> months after the completion of treatment she was found to have a metastatic </w:t>
      </w:r>
      <w:r w:rsidR="0082150B">
        <w:t>lesion</w:t>
      </w:r>
      <w:r w:rsidRPr="00A73C18">
        <w:t xml:space="preserve"> in the right lung, which was resected, and she was enrolled on </w:t>
      </w:r>
      <w:r>
        <w:t>an</w:t>
      </w:r>
      <w:r w:rsidRPr="00A73C18">
        <w:t xml:space="preserve"> </w:t>
      </w:r>
      <w:r>
        <w:t>emergency investigational new drug</w:t>
      </w:r>
      <w:r w:rsidRPr="00A73C18">
        <w:t xml:space="preserve"> protocol with </w:t>
      </w:r>
      <w:proofErr w:type="spellStart"/>
      <w:r w:rsidRPr="00A73C18">
        <w:t>Ta</w:t>
      </w:r>
      <w:r>
        <w:t>z</w:t>
      </w:r>
      <w:r w:rsidRPr="00A73C18">
        <w:t>emetostat</w:t>
      </w:r>
      <w:proofErr w:type="spellEnd"/>
      <w:r>
        <w:t xml:space="preserve"> (ClinicalTrials.gov Identifier: NCT03213665)</w:t>
      </w:r>
      <w:r w:rsidRPr="00A73C18">
        <w:t>.</w:t>
      </w:r>
      <w:r>
        <w:t xml:space="preserve"> </w:t>
      </w:r>
      <w:r w:rsidRPr="00A73C18">
        <w:t xml:space="preserve">She experienced further pulmonary progression after approximately </w:t>
      </w:r>
      <w:r>
        <w:t>seven</w:t>
      </w:r>
      <w:r w:rsidRPr="00A73C18">
        <w:t xml:space="preserve"> months and therapy was discontinued.</w:t>
      </w:r>
      <w:r>
        <w:t xml:space="preserve"> </w:t>
      </w:r>
      <w:r w:rsidRPr="00A73C18">
        <w:t>She</w:t>
      </w:r>
      <w:r>
        <w:t xml:space="preserve"> then</w:t>
      </w:r>
      <w:r w:rsidRPr="00A73C18">
        <w:t xml:space="preserve"> enrolled on a phase 1 trial with </w:t>
      </w:r>
      <w:proofErr w:type="spellStart"/>
      <w:r w:rsidRPr="00A73C18">
        <w:t>palbociclib</w:t>
      </w:r>
      <w:proofErr w:type="spellEnd"/>
      <w:r w:rsidRPr="00A73C18">
        <w:t>, cyclophosphamide, and topotecan.</w:t>
      </w:r>
      <w:r>
        <w:t xml:space="preserve"> </w:t>
      </w:r>
      <w:r w:rsidRPr="00531579">
        <w:t>She developed right pulmonary and pleural</w:t>
      </w:r>
      <w:r>
        <w:t>-</w:t>
      </w:r>
      <w:r w:rsidRPr="00531579">
        <w:t>based nodules which were debulked. As she recovered from the procedure, she was enrolled in hospice</w:t>
      </w:r>
      <w:r>
        <w:t xml:space="preserve"> and died from her disease, nearly two years after initial diagnosis.</w:t>
      </w:r>
    </w:p>
    <w:p w14:paraId="35DC4970" w14:textId="77777777" w:rsidR="00C837DC" w:rsidRPr="004256B6" w:rsidRDefault="00C837DC" w:rsidP="00C837DC">
      <w:pPr>
        <w:spacing w:after="120" w:line="480" w:lineRule="auto"/>
        <w:rPr>
          <w:i/>
          <w:iCs/>
        </w:rPr>
      </w:pPr>
      <w:r>
        <w:rPr>
          <w:i/>
          <w:iCs/>
        </w:rPr>
        <w:t>Patient 2</w:t>
      </w:r>
    </w:p>
    <w:p w14:paraId="5EFA12B2" w14:textId="77777777" w:rsidR="00C837DC" w:rsidRDefault="00C837DC" w:rsidP="00C837DC">
      <w:pPr>
        <w:spacing w:line="480" w:lineRule="auto"/>
      </w:pPr>
      <w:r>
        <w:lastRenderedPageBreak/>
        <w:t>Patient 2</w:t>
      </w:r>
      <w:r w:rsidRPr="00EF6079">
        <w:t xml:space="preserve"> </w:t>
      </w:r>
      <w:r>
        <w:t>is a</w:t>
      </w:r>
      <w:r w:rsidRPr="00EF6079">
        <w:t xml:space="preserve"> female </w:t>
      </w:r>
      <w:r>
        <w:t>who presented</w:t>
      </w:r>
      <w:r w:rsidRPr="00EF6079">
        <w:t xml:space="preserve"> to medical attention </w:t>
      </w:r>
      <w:r>
        <w:t>two months after birth</w:t>
      </w:r>
      <w:r w:rsidRPr="00EF6079">
        <w:t xml:space="preserve"> with vomiting, decreased oral intake, and lethargy. </w:t>
      </w:r>
      <w:r>
        <w:t>S</w:t>
      </w:r>
      <w:r w:rsidRPr="00195917">
        <w:t>he was noted to have bulging fontanelles and increased head circumference. A head ultrasound revealed hydrocephalus and a posterior fossa mass. She was admitted to the pediatric intensive care unit and underwent a</w:t>
      </w:r>
      <w:r>
        <w:t>n</w:t>
      </w:r>
      <w:r w:rsidRPr="00195917">
        <w:t xml:space="preserve"> MRI of the brain and spine which further delineated </w:t>
      </w:r>
      <w:r>
        <w:t>a</w:t>
      </w:r>
      <w:r w:rsidRPr="00195917">
        <w:t xml:space="preserve"> posterior fossa mass centered in the fourth ventricle</w:t>
      </w:r>
      <w:r>
        <w:t>.</w:t>
      </w:r>
      <w:r w:rsidRPr="00195917">
        <w:t xml:space="preserve"> A </w:t>
      </w:r>
      <w:r>
        <w:t xml:space="preserve">CT </w:t>
      </w:r>
      <w:r w:rsidRPr="00195917">
        <w:t xml:space="preserve">scan of the chest, abdomen, and pelvis was performed which also showed </w:t>
      </w:r>
      <w:r>
        <w:t>a</w:t>
      </w:r>
      <w:r w:rsidRPr="00195917">
        <w:t xml:space="preserve"> large hypodense tumor within the right kidney centered in the interpolar region</w:t>
      </w:r>
      <w:r>
        <w:t>.</w:t>
      </w:r>
      <w:r w:rsidRPr="00195917">
        <w:t xml:space="preserve"> Initially </w:t>
      </w:r>
      <w:r>
        <w:t>the patient</w:t>
      </w:r>
      <w:r w:rsidRPr="00195917">
        <w:t xml:space="preserve"> had </w:t>
      </w:r>
      <w:r>
        <w:t xml:space="preserve">a </w:t>
      </w:r>
      <w:r w:rsidRPr="00195917">
        <w:t xml:space="preserve">gross total resection of the mass in the posterior fossa followed by a right radical nephroureterectomy approximately </w:t>
      </w:r>
      <w:r>
        <w:t>two</w:t>
      </w:r>
      <w:r w:rsidRPr="00195917">
        <w:t xml:space="preserve"> weeks later. </w:t>
      </w:r>
      <w:r>
        <w:t>P</w:t>
      </w:r>
      <w:r w:rsidRPr="00195917">
        <w:t>atholog</w:t>
      </w:r>
      <w:r>
        <w:t>ical evaluation</w:t>
      </w:r>
      <w:r w:rsidRPr="00195917">
        <w:t xml:space="preserve"> of the tumors revealed an </w:t>
      </w:r>
      <w:r>
        <w:t>AT/RT</w:t>
      </w:r>
      <w:r w:rsidRPr="00195917">
        <w:t xml:space="preserve"> in the posterior fossa and </w:t>
      </w:r>
      <w:r>
        <w:t>an RT</w:t>
      </w:r>
      <w:r w:rsidRPr="00195917">
        <w:t xml:space="preserve"> of the right kidney.</w:t>
      </w:r>
      <w:r>
        <w:t xml:space="preserve"> INI1 immunohistochemical stain was lost in tumor cells.</w:t>
      </w:r>
      <w:r w:rsidRPr="00EF6079">
        <w:t xml:space="preserve"> </w:t>
      </w:r>
      <w:r w:rsidRPr="00195917">
        <w:t>She received chemotherapy with vincristine, cisplatin, doxorubicin, cyclophosphamide, and triple intrathecal chemotherapy with methotrexate, cytarabine, and hydrocortisone</w:t>
      </w:r>
      <w:r>
        <w:t>; t</w:t>
      </w:r>
      <w:r w:rsidRPr="00195917">
        <w:t xml:space="preserve">his was followed by two tandem transplants </w:t>
      </w:r>
      <w:r>
        <w:t>and</w:t>
      </w:r>
      <w:r w:rsidRPr="00195917">
        <w:t xml:space="preserve"> high dose chemotherapy with carboplatin and thiotepa and autologous stem cell rescue.</w:t>
      </w:r>
      <w:r>
        <w:t xml:space="preserve"> </w:t>
      </w:r>
      <w:r w:rsidRPr="00195917">
        <w:t>She is now off therapy for over 5</w:t>
      </w:r>
      <w:r>
        <w:t>8</w:t>
      </w:r>
      <w:r w:rsidRPr="00195917">
        <w:t xml:space="preserve"> months without evidence of relapsed disease.</w:t>
      </w:r>
    </w:p>
    <w:p w14:paraId="3AAC1BAB" w14:textId="77777777" w:rsidR="00C837DC" w:rsidRPr="004256B6" w:rsidRDefault="00C837DC" w:rsidP="00C837DC">
      <w:pPr>
        <w:spacing w:after="120" w:line="480" w:lineRule="auto"/>
        <w:rPr>
          <w:i/>
          <w:iCs/>
        </w:rPr>
      </w:pPr>
      <w:r>
        <w:rPr>
          <w:i/>
          <w:iCs/>
        </w:rPr>
        <w:t>Patient 3</w:t>
      </w:r>
    </w:p>
    <w:p w14:paraId="77AE4343" w14:textId="7AFADC91" w:rsidR="00C837DC" w:rsidRDefault="00C837DC" w:rsidP="00C837DC">
      <w:pPr>
        <w:spacing w:line="480" w:lineRule="auto"/>
      </w:pPr>
      <w:r>
        <w:t>Patient 3</w:t>
      </w:r>
      <w:r w:rsidRPr="00EF6079">
        <w:t xml:space="preserve"> </w:t>
      </w:r>
      <w:r>
        <w:t>is</w:t>
      </w:r>
      <w:r w:rsidRPr="00EF6079">
        <w:t xml:space="preserve"> a </w:t>
      </w:r>
      <w:r>
        <w:t>f</w:t>
      </w:r>
      <w:r w:rsidRPr="00EF6079">
        <w:t xml:space="preserve">emale </w:t>
      </w:r>
      <w:r>
        <w:t>who</w:t>
      </w:r>
      <w:r w:rsidRPr="00EF6079">
        <w:t xml:space="preserve"> </w:t>
      </w:r>
      <w:r>
        <w:t>presented at two months of age with an abdominal mass</w:t>
      </w:r>
      <w:r w:rsidRPr="00D13610">
        <w:t xml:space="preserve"> </w:t>
      </w:r>
      <w:r>
        <w:t xml:space="preserve">and failure to thrive. She had an abdominal ultrasound </w:t>
      </w:r>
      <w:r w:rsidRPr="00337139">
        <w:t xml:space="preserve">followed by a CT of the abdomen </w:t>
      </w:r>
      <w:r>
        <w:t>which</w:t>
      </w:r>
      <w:r w:rsidRPr="00337139">
        <w:t xml:space="preserve"> demonstrated a right retroperitoneal mass</w:t>
      </w:r>
      <w:r>
        <w:t>, and s</w:t>
      </w:r>
      <w:r w:rsidRPr="00337139">
        <w:t>he</w:t>
      </w:r>
      <w:r>
        <w:t xml:space="preserve"> subsequently</w:t>
      </w:r>
      <w:r w:rsidRPr="00337139">
        <w:t xml:space="preserve"> underwent right radical nephroureterectomy. Pathology of the renal mass confirmed a</w:t>
      </w:r>
      <w:r>
        <w:t>n RTK, and</w:t>
      </w:r>
      <w:r w:rsidRPr="00337139">
        <w:t xml:space="preserve"> </w:t>
      </w:r>
      <w:r>
        <w:t xml:space="preserve">loss of INI1 expression was indicated by immunostaining.  While </w:t>
      </w:r>
      <w:r w:rsidR="00F272C8">
        <w:t>a</w:t>
      </w:r>
      <w:r w:rsidRPr="00337139">
        <w:t xml:space="preserve"> </w:t>
      </w:r>
      <w:proofErr w:type="spellStart"/>
      <w:r w:rsidRPr="00337139">
        <w:t>tectal</w:t>
      </w:r>
      <w:proofErr w:type="spellEnd"/>
      <w:r w:rsidRPr="00337139">
        <w:t xml:space="preserve"> mass</w:t>
      </w:r>
      <w:r w:rsidR="00F272C8">
        <w:t xml:space="preserve"> (identified by full body PET scan)</w:t>
      </w:r>
      <w:r w:rsidRPr="00337139">
        <w:t xml:space="preserve"> was </w:t>
      </w:r>
      <w:r>
        <w:t>thought</w:t>
      </w:r>
      <w:r w:rsidRPr="00337139">
        <w:t xml:space="preserve"> to be </w:t>
      </w:r>
      <w:r>
        <w:t>AT/RT, no biopsy was performed</w:t>
      </w:r>
      <w:r w:rsidRPr="00337139">
        <w:t xml:space="preserve">. </w:t>
      </w:r>
      <w:r>
        <w:t>The patient</w:t>
      </w:r>
      <w:r w:rsidRPr="00337139">
        <w:t xml:space="preserve"> began chemotherapy with vincristine, cisplatin, doxorubicin, cyclophosphamide, and triple intrathecal chemotherapy with methotrexate, </w:t>
      </w:r>
      <w:r w:rsidRPr="00337139">
        <w:lastRenderedPageBreak/>
        <w:t>cytarabine, and hydrocortisone</w:t>
      </w:r>
      <w:r>
        <w:t>; t</w:t>
      </w:r>
      <w:r w:rsidRPr="00337139">
        <w:t xml:space="preserve">his was followed by three tandem transplants with high dose chemotherapy with carboplatin and thiotepa and autologous stem cell rescue. Approximately </w:t>
      </w:r>
      <w:r>
        <w:t>three</w:t>
      </w:r>
      <w:r w:rsidRPr="00337139">
        <w:t xml:space="preserve"> months after completion of her third autologous transplant</w:t>
      </w:r>
      <w:r>
        <w:t>, an</w:t>
      </w:r>
      <w:r w:rsidRPr="00337139">
        <w:t xml:space="preserve"> MRI of the abdomen revealed a </w:t>
      </w:r>
      <w:r w:rsidR="00F272C8">
        <w:t>new,</w:t>
      </w:r>
      <w:r w:rsidRPr="00337139">
        <w:t xml:space="preserve"> peripherally</w:t>
      </w:r>
      <w:r>
        <w:t xml:space="preserve"> enhancing</w:t>
      </w:r>
      <w:r w:rsidRPr="00337139">
        <w:t xml:space="preserve"> retroperitoneal mass in the right lower quadrant. Exploratory laparotomy</w:t>
      </w:r>
      <w:r>
        <w:t xml:space="preserve"> and biopsy</w:t>
      </w:r>
      <w:r w:rsidRPr="00337139">
        <w:t xml:space="preserve"> revealed diffuse </w:t>
      </w:r>
      <w:r>
        <w:t xml:space="preserve">metastases throughout the abdominal cavity. </w:t>
      </w:r>
      <w:r w:rsidRPr="00337139">
        <w:t xml:space="preserve">The pathology of the </w:t>
      </w:r>
      <w:r>
        <w:t xml:space="preserve">retroperitoneal </w:t>
      </w:r>
      <w:r w:rsidRPr="00337139">
        <w:t>mass</w:t>
      </w:r>
      <w:r>
        <w:t>,</w:t>
      </w:r>
      <w:r w:rsidRPr="00337139">
        <w:t xml:space="preserve"> as well as samples of the multiple</w:t>
      </w:r>
      <w:r>
        <w:t xml:space="preserve"> abdominal</w:t>
      </w:r>
      <w:r w:rsidRPr="00337139">
        <w:t xml:space="preserve"> tumors</w:t>
      </w:r>
      <w:r>
        <w:t>,</w:t>
      </w:r>
      <w:r w:rsidRPr="00337139">
        <w:t xml:space="preserve"> was consistent with a recurrence of rhabdoid tumor. She was admitted to hospice and </w:t>
      </w:r>
      <w:r>
        <w:t>died</w:t>
      </w:r>
      <w:r w:rsidRPr="00337139">
        <w:t xml:space="preserve"> </w:t>
      </w:r>
      <w:r>
        <w:t>two</w:t>
      </w:r>
      <w:r w:rsidRPr="00337139">
        <w:t xml:space="preserve"> months after </w:t>
      </w:r>
      <w:r>
        <w:t xml:space="preserve">tumor </w:t>
      </w:r>
      <w:r w:rsidRPr="00337139">
        <w:t>recurrence</w:t>
      </w:r>
      <w:r>
        <w:t xml:space="preserve">. </w:t>
      </w:r>
    </w:p>
    <w:p w14:paraId="15E97F82" w14:textId="77777777" w:rsidR="008B7AED" w:rsidRDefault="008B7AED"/>
    <w:sectPr w:rsidR="008B7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DC"/>
    <w:rsid w:val="00277ED4"/>
    <w:rsid w:val="00595E81"/>
    <w:rsid w:val="00660E8A"/>
    <w:rsid w:val="00793F8E"/>
    <w:rsid w:val="0082150B"/>
    <w:rsid w:val="008B7AED"/>
    <w:rsid w:val="009211D2"/>
    <w:rsid w:val="00942ADD"/>
    <w:rsid w:val="00B5171D"/>
    <w:rsid w:val="00C837DC"/>
    <w:rsid w:val="00E47F58"/>
    <w:rsid w:val="00EF77E5"/>
    <w:rsid w:val="00F272C8"/>
    <w:rsid w:val="00F9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2257"/>
  <w15:chartTrackingRefBased/>
  <w15:docId w15:val="{45A14A66-F8D9-4B36-9758-38E5CEF8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3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7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7D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Katherine</dc:creator>
  <cp:keywords/>
  <dc:description/>
  <cp:lastModifiedBy>Miller, Katherine</cp:lastModifiedBy>
  <cp:revision>7</cp:revision>
  <dcterms:created xsi:type="dcterms:W3CDTF">2022-04-12T18:01:00Z</dcterms:created>
  <dcterms:modified xsi:type="dcterms:W3CDTF">2022-04-22T19:18:00Z</dcterms:modified>
</cp:coreProperties>
</file>